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1F38" w14:textId="55522F74" w:rsidR="00CC5DDB" w:rsidRPr="00A54413" w:rsidRDefault="00CC5DDB" w:rsidP="00CC5DDB">
      <w:pPr>
        <w:jc w:val="right"/>
        <w:rPr>
          <w:rFonts w:ascii="Cambria" w:hAnsi="Cambria"/>
          <w:b/>
          <w:sz w:val="20"/>
          <w:szCs w:val="20"/>
        </w:rPr>
      </w:pPr>
      <w:r w:rsidRPr="00A54413">
        <w:rPr>
          <w:rFonts w:ascii="Cambria" w:hAnsi="Cambria"/>
          <w:b/>
          <w:sz w:val="20"/>
          <w:szCs w:val="20"/>
        </w:rPr>
        <w:t>CP47-E-BFTPlan</w:t>
      </w:r>
    </w:p>
    <w:p w14:paraId="298EB6A2" w14:textId="77777777" w:rsidR="0028779B" w:rsidRPr="00A54413" w:rsidRDefault="0028779B" w:rsidP="0028779B">
      <w:pPr>
        <w:jc w:val="right"/>
        <w:rPr>
          <w:rFonts w:ascii="Cambria" w:hAnsi="Cambria"/>
          <w:b/>
          <w:color w:val="auto"/>
          <w:sz w:val="20"/>
          <w:szCs w:val="20"/>
        </w:rPr>
      </w:pPr>
    </w:p>
    <w:p w14:paraId="206F7B20" w14:textId="67285350" w:rsidR="0012001E" w:rsidRPr="00A54413" w:rsidRDefault="00060C4D" w:rsidP="0028779B">
      <w:pPr>
        <w:jc w:val="center"/>
        <w:rPr>
          <w:rFonts w:ascii="Cambria" w:hAnsi="Cambria"/>
          <w:b/>
          <w:color w:val="auto"/>
          <w:sz w:val="20"/>
          <w:szCs w:val="20"/>
        </w:rPr>
      </w:pPr>
      <w:r w:rsidRPr="00A54413">
        <w:rPr>
          <w:rFonts w:ascii="Cambria" w:hAnsi="Cambria"/>
          <w:b/>
          <w:color w:val="auto"/>
          <w:sz w:val="20"/>
          <w:szCs w:val="20"/>
        </w:rPr>
        <w:t>Plan</w:t>
      </w:r>
      <w:r w:rsidR="0059256A" w:rsidRPr="00A54413">
        <w:rPr>
          <w:rFonts w:ascii="Cambria" w:hAnsi="Cambria"/>
          <w:b/>
          <w:color w:val="auto"/>
          <w:sz w:val="20"/>
          <w:szCs w:val="20"/>
        </w:rPr>
        <w:t>s</w:t>
      </w:r>
      <w:r w:rsidRPr="00A54413">
        <w:rPr>
          <w:rFonts w:ascii="Cambria" w:hAnsi="Cambria"/>
          <w:b/>
          <w:color w:val="auto"/>
          <w:sz w:val="20"/>
          <w:szCs w:val="20"/>
        </w:rPr>
        <w:t xml:space="preserve"> de pêche, d’élevage, d'inspection et de gestion de la capacité pour le thon rouge de l'Atlantique Est et de la Méditerranée</w:t>
      </w:r>
    </w:p>
    <w:p w14:paraId="40B82185" w14:textId="77777777" w:rsidR="0028779B" w:rsidRPr="00A54413" w:rsidRDefault="0028779B" w:rsidP="0028779B">
      <w:pPr>
        <w:jc w:val="center"/>
        <w:rPr>
          <w:rFonts w:ascii="Cambria" w:hAnsi="Cambria"/>
          <w:b/>
          <w:color w:val="auto"/>
          <w:sz w:val="20"/>
          <w:szCs w:val="20"/>
        </w:rPr>
      </w:pPr>
    </w:p>
    <w:p w14:paraId="349755D3" w14:textId="77777777" w:rsidR="0028779B" w:rsidRPr="00A54413" w:rsidRDefault="0028779B" w:rsidP="0028779B">
      <w:pPr>
        <w:rPr>
          <w:rFonts w:ascii="Cambria" w:hAnsi="Cambria"/>
          <w:b/>
          <w:color w:val="auto"/>
          <w:sz w:val="20"/>
          <w:szCs w:val="20"/>
        </w:rPr>
      </w:pPr>
      <w:r w:rsidRPr="00A54413">
        <w:rPr>
          <w:rFonts w:ascii="Cambria" w:hAnsi="Cambria"/>
          <w:b/>
          <w:bCs/>
          <w:color w:val="auto"/>
          <w:sz w:val="20"/>
          <w:szCs w:val="20"/>
        </w:rPr>
        <w:t>Nom de la CPC :</w:t>
      </w:r>
      <w:r w:rsidRPr="00A54413">
        <w:rPr>
          <w:rFonts w:ascii="Cambria" w:hAnsi="Cambria"/>
          <w:b/>
          <w:color w:val="auto"/>
          <w:sz w:val="20"/>
          <w:szCs w:val="20"/>
        </w:rPr>
        <w:t xml:space="preserve"> </w:t>
      </w:r>
      <w:r w:rsidRPr="00A54413">
        <w:rPr>
          <w:rFonts w:ascii="Cambria" w:hAnsi="Cambria"/>
          <w:b/>
          <w:bCs/>
          <w:color w:val="auto"/>
          <w:sz w:val="20"/>
          <w:szCs w:val="20"/>
        </w:rPr>
        <w:t>XXX</w:t>
      </w:r>
    </w:p>
    <w:p w14:paraId="2CC447CF" w14:textId="77777777" w:rsidR="0028779B" w:rsidRPr="00A54413" w:rsidRDefault="0028779B" w:rsidP="0028779B">
      <w:pPr>
        <w:rPr>
          <w:rFonts w:ascii="Cambria" w:hAnsi="Cambria"/>
          <w:color w:val="auto"/>
          <w:sz w:val="20"/>
          <w:szCs w:val="20"/>
        </w:rPr>
      </w:pPr>
    </w:p>
    <w:p w14:paraId="15F2B6EA" w14:textId="213447B6" w:rsidR="0028779B" w:rsidRPr="00A54413" w:rsidRDefault="0028779B" w:rsidP="0028779B">
      <w:pPr>
        <w:rPr>
          <w:rFonts w:ascii="Cambria" w:hAnsi="Cambria"/>
          <w:b/>
          <w:color w:val="auto"/>
          <w:sz w:val="20"/>
          <w:szCs w:val="20"/>
        </w:rPr>
      </w:pPr>
      <w:r w:rsidRPr="00A54413">
        <w:rPr>
          <w:rFonts w:ascii="Cambria" w:hAnsi="Cambria"/>
          <w:b/>
          <w:color w:val="auto"/>
          <w:sz w:val="20"/>
          <w:szCs w:val="20"/>
        </w:rPr>
        <w:t xml:space="preserve">Année du plan de pêche : </w:t>
      </w:r>
      <w:r w:rsidR="005B24D2" w:rsidRPr="00A54413">
        <w:rPr>
          <w:rFonts w:ascii="Cambria" w:hAnsi="Cambria"/>
          <w:b/>
          <w:color w:val="auto"/>
          <w:sz w:val="20"/>
          <w:szCs w:val="20"/>
        </w:rPr>
        <w:t>2024</w:t>
      </w:r>
    </w:p>
    <w:p w14:paraId="51DD3127" w14:textId="77777777" w:rsidR="00CC36DE" w:rsidRPr="00A54413" w:rsidRDefault="00CC36DE" w:rsidP="0028779B">
      <w:pPr>
        <w:rPr>
          <w:rFonts w:ascii="Cambria" w:hAnsi="Cambria"/>
          <w:color w:val="auto"/>
          <w:sz w:val="20"/>
          <w:szCs w:val="20"/>
        </w:rPr>
      </w:pPr>
    </w:p>
    <w:p w14:paraId="1B5FFEA9" w14:textId="5517C6DF" w:rsidR="0028779B" w:rsidRPr="00A54413" w:rsidRDefault="00424D76" w:rsidP="00430F82">
      <w:pPr>
        <w:ind w:left="426" w:hanging="426"/>
        <w:rPr>
          <w:rFonts w:ascii="Cambria" w:hAnsi="Cambria"/>
          <w:b/>
          <w:color w:val="auto"/>
          <w:sz w:val="20"/>
          <w:szCs w:val="20"/>
        </w:rPr>
      </w:pPr>
      <w:r w:rsidRPr="00A54413">
        <w:rPr>
          <w:rFonts w:ascii="Cambria" w:hAnsi="Cambria"/>
          <w:b/>
          <w:color w:val="auto"/>
          <w:sz w:val="20"/>
          <w:szCs w:val="20"/>
        </w:rPr>
        <w:t xml:space="preserve">1. </w:t>
      </w:r>
      <w:r w:rsidR="00430F82" w:rsidRPr="00A54413">
        <w:rPr>
          <w:rFonts w:ascii="Cambria" w:hAnsi="Cambria"/>
          <w:b/>
          <w:color w:val="auto"/>
          <w:sz w:val="20"/>
          <w:szCs w:val="20"/>
        </w:rPr>
        <w:tab/>
      </w:r>
      <w:r w:rsidRPr="00A54413">
        <w:rPr>
          <w:rFonts w:ascii="Cambria" w:hAnsi="Cambria"/>
          <w:b/>
          <w:color w:val="auto"/>
          <w:sz w:val="20"/>
          <w:szCs w:val="20"/>
        </w:rPr>
        <w:t>Détails du plan annuel de pêche pour les navires de capture et les madragues</w:t>
      </w:r>
    </w:p>
    <w:p w14:paraId="64106ABA" w14:textId="77777777" w:rsidR="00FF0DC4" w:rsidRPr="00A54413" w:rsidRDefault="00FF0DC4" w:rsidP="0028779B">
      <w:pPr>
        <w:rPr>
          <w:rFonts w:ascii="Cambria" w:hAnsi="Cambria"/>
          <w:i/>
          <w:color w:val="auto"/>
          <w:sz w:val="20"/>
          <w:szCs w:val="20"/>
        </w:rPr>
      </w:pPr>
    </w:p>
    <w:p w14:paraId="1C28EA3C" w14:textId="55B4B39D" w:rsidR="00CC36DE" w:rsidRPr="00A54413" w:rsidRDefault="00CC36DE" w:rsidP="0028779B">
      <w:pPr>
        <w:rPr>
          <w:rFonts w:ascii="Cambria" w:hAnsi="Cambria"/>
          <w:b/>
          <w:bCs/>
          <w:i/>
          <w:iCs/>
          <w:sz w:val="20"/>
          <w:szCs w:val="20"/>
        </w:rPr>
      </w:pPr>
      <w:r w:rsidRPr="00A54413">
        <w:rPr>
          <w:rFonts w:ascii="Cambria" w:hAnsi="Cambria"/>
          <w:b/>
          <w:bCs/>
          <w:i/>
          <w:iCs/>
          <w:sz w:val="20"/>
          <w:szCs w:val="20"/>
        </w:rPr>
        <w:t>1a) Présentation</w:t>
      </w:r>
      <w:r w:rsidR="00C42927" w:rsidRPr="00A54413">
        <w:rPr>
          <w:rFonts w:ascii="Cambria" w:hAnsi="Cambria"/>
          <w:b/>
          <w:bCs/>
          <w:i/>
          <w:iCs/>
          <w:sz w:val="20"/>
          <w:szCs w:val="20"/>
        </w:rPr>
        <w:t xml:space="preserve"> (paragraphe 12)</w:t>
      </w:r>
      <w:r w:rsidR="00C42927" w:rsidRPr="00A54413">
        <w:rPr>
          <w:rStyle w:val="FootnoteReference"/>
          <w:rFonts w:ascii="Cambria" w:hAnsi="Cambria"/>
          <w:b/>
          <w:bCs/>
          <w:i/>
          <w:iCs/>
          <w:sz w:val="20"/>
          <w:szCs w:val="20"/>
        </w:rPr>
        <w:footnoteReference w:id="1"/>
      </w:r>
    </w:p>
    <w:p w14:paraId="1A4D317F" w14:textId="77777777" w:rsidR="00C42927" w:rsidRPr="00A54413" w:rsidRDefault="00C42927" w:rsidP="0028779B">
      <w:pPr>
        <w:rPr>
          <w:rFonts w:ascii="Cambria" w:hAnsi="Cambria"/>
          <w:sz w:val="20"/>
          <w:szCs w:val="20"/>
        </w:rPr>
      </w:pPr>
    </w:p>
    <w:p w14:paraId="372C77C3" w14:textId="041AFC49" w:rsidR="00FF0DC4" w:rsidRPr="00A54413" w:rsidRDefault="00CC36DE" w:rsidP="0028779B">
      <w:pPr>
        <w:rPr>
          <w:rFonts w:ascii="Cambria" w:hAnsi="Cambria"/>
          <w:sz w:val="20"/>
          <w:szCs w:val="20"/>
        </w:rPr>
      </w:pPr>
      <w:r w:rsidRPr="00A54413">
        <w:rPr>
          <w:rFonts w:ascii="Cambria" w:hAnsi="Cambria"/>
          <w:sz w:val="20"/>
          <w:szCs w:val="20"/>
        </w:rPr>
        <w:t xml:space="preserve">Le plan annuel de pêche devra identifier, entre autres, les quotas alloués à chaque groupe d’engin, le cas échéant, la méthode utilisée pour allouer et gérer les quotas ainsi que les mesures visant à garantir le respect des quotas individuels, les </w:t>
      </w:r>
      <w:r w:rsidR="006161A8" w:rsidRPr="00A54413">
        <w:rPr>
          <w:rFonts w:ascii="Cambria" w:hAnsi="Cambria"/>
          <w:sz w:val="20"/>
          <w:szCs w:val="20"/>
        </w:rPr>
        <w:t xml:space="preserve">périodes d’ouverture de la </w:t>
      </w:r>
      <w:r w:rsidRPr="00A54413">
        <w:rPr>
          <w:rFonts w:ascii="Cambria" w:hAnsi="Cambria"/>
          <w:sz w:val="20"/>
          <w:szCs w:val="20"/>
        </w:rPr>
        <w:t xml:space="preserve">saison de pêche pour chaque catégorie d’engins et les règles </w:t>
      </w:r>
      <w:r w:rsidR="006161A8" w:rsidRPr="00A54413">
        <w:rPr>
          <w:rFonts w:ascii="Cambria" w:hAnsi="Cambria"/>
          <w:sz w:val="20"/>
          <w:szCs w:val="20"/>
        </w:rPr>
        <w:t>concernant</w:t>
      </w:r>
      <w:r w:rsidRPr="00A54413">
        <w:rPr>
          <w:rFonts w:ascii="Cambria" w:hAnsi="Cambria"/>
          <w:sz w:val="20"/>
          <w:szCs w:val="20"/>
        </w:rPr>
        <w:t xml:space="preserve"> les prises accessoires.</w:t>
      </w:r>
    </w:p>
    <w:p w14:paraId="0437A051" w14:textId="650E0549" w:rsidR="00E92EF1" w:rsidRPr="00A54413" w:rsidRDefault="00E92EF1" w:rsidP="0028779B">
      <w:pPr>
        <w:rPr>
          <w:rFonts w:ascii="Cambria" w:hAnsi="Cambria"/>
          <w:sz w:val="20"/>
          <w:szCs w:val="20"/>
        </w:rPr>
      </w:pPr>
    </w:p>
    <w:p w14:paraId="11D84DD4" w14:textId="462BE5E1" w:rsidR="00CC36DE" w:rsidRPr="00A54413" w:rsidRDefault="00CC36DE" w:rsidP="0028779B">
      <w:pPr>
        <w:rPr>
          <w:rFonts w:ascii="Cambria" w:hAnsi="Cambria"/>
          <w:b/>
          <w:bCs/>
          <w:i/>
          <w:iCs/>
          <w:color w:val="auto"/>
          <w:sz w:val="20"/>
          <w:szCs w:val="20"/>
        </w:rPr>
      </w:pPr>
      <w:r w:rsidRPr="00A54413">
        <w:rPr>
          <w:rFonts w:ascii="Cambria" w:hAnsi="Cambria"/>
          <w:b/>
          <w:bCs/>
          <w:i/>
          <w:iCs/>
          <w:sz w:val="20"/>
          <w:szCs w:val="20"/>
        </w:rPr>
        <w:t xml:space="preserve">1b) </w:t>
      </w:r>
      <w:r w:rsidRPr="00A54413">
        <w:rPr>
          <w:rFonts w:ascii="Cambria" w:hAnsi="Cambria"/>
          <w:b/>
          <w:bCs/>
          <w:i/>
          <w:iCs/>
          <w:color w:val="auto"/>
          <w:sz w:val="20"/>
          <w:szCs w:val="20"/>
        </w:rPr>
        <w:t>Report</w:t>
      </w:r>
      <w:r w:rsidR="00C42927" w:rsidRPr="00A54413">
        <w:rPr>
          <w:rFonts w:ascii="Cambria" w:hAnsi="Cambria"/>
          <w:b/>
          <w:bCs/>
          <w:i/>
          <w:iCs/>
          <w:color w:val="auto"/>
          <w:sz w:val="20"/>
          <w:szCs w:val="20"/>
        </w:rPr>
        <w:t xml:space="preserve"> (paragraphe 6)</w:t>
      </w:r>
    </w:p>
    <w:p w14:paraId="609FC4E6" w14:textId="77777777" w:rsidR="00C42927" w:rsidRPr="00A54413" w:rsidRDefault="00C42927" w:rsidP="0028779B">
      <w:pPr>
        <w:rPr>
          <w:rFonts w:ascii="Cambria" w:hAnsi="Cambria"/>
          <w:sz w:val="20"/>
          <w:szCs w:val="20"/>
        </w:rPr>
      </w:pPr>
    </w:p>
    <w:p w14:paraId="65EDB4C2" w14:textId="1E7098B9" w:rsidR="00E92EF1" w:rsidRPr="00A54413" w:rsidRDefault="00E92EF1" w:rsidP="0028779B">
      <w:pPr>
        <w:rPr>
          <w:rFonts w:ascii="Cambria" w:hAnsi="Cambria"/>
          <w:i/>
          <w:color w:val="auto"/>
          <w:sz w:val="20"/>
          <w:szCs w:val="20"/>
        </w:rPr>
      </w:pPr>
      <w:r w:rsidRPr="00A54413">
        <w:rPr>
          <w:rFonts w:ascii="Cambria" w:hAnsi="Cambria"/>
          <w:sz w:val="20"/>
          <w:szCs w:val="20"/>
        </w:rPr>
        <w:t xml:space="preserve">Veuillez indiquer si le report de la sous-consommation de </w:t>
      </w:r>
      <w:r w:rsidR="005B24D2" w:rsidRPr="00A54413">
        <w:rPr>
          <w:rFonts w:ascii="Cambria" w:hAnsi="Cambria"/>
          <w:sz w:val="20"/>
          <w:szCs w:val="20"/>
        </w:rPr>
        <w:t>2023</w:t>
      </w:r>
      <w:r w:rsidRPr="00A54413">
        <w:rPr>
          <w:rFonts w:ascii="Cambria" w:hAnsi="Cambria"/>
          <w:sz w:val="20"/>
          <w:szCs w:val="20"/>
        </w:rPr>
        <w:t xml:space="preserve"> est demandé ou non et si oui, veuillez en indiquer le montant</w:t>
      </w:r>
      <w:r w:rsidR="00430F82" w:rsidRPr="00A54413">
        <w:rPr>
          <w:rFonts w:ascii="Cambria" w:hAnsi="Cambria"/>
          <w:sz w:val="20"/>
          <w:szCs w:val="20"/>
        </w:rPr>
        <w:t>.</w:t>
      </w:r>
    </w:p>
    <w:p w14:paraId="7C42731F" w14:textId="74946216" w:rsidR="0028779B" w:rsidRPr="00A54413" w:rsidRDefault="0028779B" w:rsidP="0028779B">
      <w:pPr>
        <w:rPr>
          <w:rFonts w:ascii="Cambria" w:hAnsi="Cambria"/>
          <w:i/>
          <w:color w:val="auto"/>
          <w:sz w:val="20"/>
          <w:szCs w:val="20"/>
        </w:rPr>
      </w:pPr>
    </w:p>
    <w:p w14:paraId="79F57854" w14:textId="1F3335B1" w:rsidR="00CC36DE" w:rsidRPr="00A54413" w:rsidRDefault="00CC36DE" w:rsidP="0028779B">
      <w:pPr>
        <w:rPr>
          <w:rFonts w:ascii="Cambria" w:hAnsi="Cambria"/>
          <w:b/>
          <w:bCs/>
          <w:i/>
          <w:color w:val="auto"/>
          <w:sz w:val="20"/>
          <w:szCs w:val="20"/>
        </w:rPr>
      </w:pPr>
      <w:r w:rsidRPr="00A54413">
        <w:rPr>
          <w:rFonts w:ascii="Cambria" w:hAnsi="Cambria"/>
          <w:b/>
          <w:bCs/>
          <w:i/>
          <w:color w:val="auto"/>
          <w:sz w:val="20"/>
          <w:szCs w:val="20"/>
        </w:rPr>
        <w:t>1c) Destination de la capture</w:t>
      </w:r>
    </w:p>
    <w:p w14:paraId="3578CB1C" w14:textId="6C68214D" w:rsidR="00C42927" w:rsidRPr="00A54413" w:rsidRDefault="00C42927">
      <w:pPr>
        <w:widowControl/>
        <w:jc w:val="left"/>
        <w:rPr>
          <w:rFonts w:ascii="Cambria" w:hAnsi="Cambria"/>
          <w:iCs/>
          <w:color w:val="auto"/>
          <w:sz w:val="20"/>
          <w:szCs w:val="20"/>
        </w:rPr>
      </w:pPr>
    </w:p>
    <w:p w14:paraId="7B83DA94" w14:textId="6C5FE248" w:rsidR="00E92EF1" w:rsidRPr="00A54413" w:rsidRDefault="00E92EF1" w:rsidP="0028779B">
      <w:pPr>
        <w:rPr>
          <w:rFonts w:ascii="Cambria" w:hAnsi="Cambria"/>
          <w:iCs/>
          <w:color w:val="auto"/>
          <w:sz w:val="20"/>
          <w:szCs w:val="20"/>
        </w:rPr>
      </w:pPr>
      <w:r w:rsidRPr="00A54413">
        <w:rPr>
          <w:rFonts w:ascii="Cambria" w:hAnsi="Cambria"/>
          <w:iCs/>
          <w:color w:val="auto"/>
          <w:sz w:val="20"/>
          <w:szCs w:val="20"/>
        </w:rPr>
        <w:t>Veuillez indiquer si les poissons seront destinés à l'élevage ou s'ils seront débarqués.</w:t>
      </w:r>
    </w:p>
    <w:p w14:paraId="50A99A05" w14:textId="1FCA19EB" w:rsidR="00E92EF1" w:rsidRPr="00A54413" w:rsidRDefault="00E92EF1" w:rsidP="00430F82">
      <w:pPr>
        <w:ind w:left="426"/>
        <w:rPr>
          <w:rFonts w:ascii="Cambria" w:hAnsi="Cambria"/>
          <w:iCs/>
          <w:color w:val="auto"/>
          <w:sz w:val="20"/>
          <w:szCs w:val="20"/>
        </w:rPr>
      </w:pPr>
      <w:r w:rsidRPr="00A54413">
        <w:rPr>
          <w:rFonts w:ascii="Cambria" w:hAnsi="Cambria"/>
          <w:iCs/>
          <w:color w:val="auto"/>
          <w:sz w:val="20"/>
          <w:szCs w:val="20"/>
        </w:rPr>
        <w:t>Élevage</w:t>
      </w:r>
      <w:r w:rsidR="00882820" w:rsidRPr="00A54413">
        <w:rPr>
          <w:rFonts w:ascii="Cambria" w:hAnsi="Cambria"/>
          <w:iCs/>
          <w:color w:val="auto"/>
          <w:sz w:val="20"/>
          <w:szCs w:val="20"/>
        </w:rPr>
        <w:t> :</w:t>
      </w:r>
    </w:p>
    <w:p w14:paraId="1DC2F8AB" w14:textId="7EE27970" w:rsidR="00E92EF1" w:rsidRPr="00A54413" w:rsidRDefault="00E92EF1" w:rsidP="00430F82">
      <w:pPr>
        <w:ind w:left="426"/>
        <w:rPr>
          <w:rFonts w:ascii="Cambria" w:hAnsi="Cambria"/>
          <w:iCs/>
          <w:color w:val="auto"/>
          <w:sz w:val="20"/>
          <w:szCs w:val="20"/>
        </w:rPr>
      </w:pPr>
      <w:r w:rsidRPr="00A54413">
        <w:rPr>
          <w:rFonts w:ascii="Cambria" w:hAnsi="Cambria"/>
          <w:iCs/>
          <w:color w:val="auto"/>
          <w:sz w:val="20"/>
          <w:szCs w:val="20"/>
        </w:rPr>
        <w:t>Débarquement</w:t>
      </w:r>
      <w:r w:rsidR="00882820" w:rsidRPr="00A54413">
        <w:rPr>
          <w:rFonts w:ascii="Cambria" w:hAnsi="Cambria"/>
          <w:iCs/>
          <w:color w:val="auto"/>
          <w:sz w:val="20"/>
          <w:szCs w:val="20"/>
        </w:rPr>
        <w:t> :</w:t>
      </w:r>
    </w:p>
    <w:p w14:paraId="65974A2A" w14:textId="7A24FC75" w:rsidR="00E92EF1" w:rsidRPr="00A54413" w:rsidRDefault="00E92EF1" w:rsidP="00430F82">
      <w:pPr>
        <w:ind w:left="426"/>
        <w:rPr>
          <w:rFonts w:ascii="Cambria" w:hAnsi="Cambria"/>
          <w:iCs/>
          <w:color w:val="auto"/>
          <w:sz w:val="20"/>
          <w:szCs w:val="20"/>
        </w:rPr>
      </w:pPr>
      <w:r w:rsidRPr="00A54413">
        <w:rPr>
          <w:rFonts w:ascii="Cambria" w:hAnsi="Cambria"/>
          <w:iCs/>
          <w:color w:val="auto"/>
          <w:sz w:val="20"/>
          <w:szCs w:val="20"/>
        </w:rPr>
        <w:t>Les deux</w:t>
      </w:r>
      <w:r w:rsidR="00430F82" w:rsidRPr="00A54413">
        <w:rPr>
          <w:rFonts w:ascii="Cambria" w:hAnsi="Cambria"/>
          <w:iCs/>
          <w:color w:val="auto"/>
          <w:sz w:val="20"/>
          <w:szCs w:val="20"/>
        </w:rPr>
        <w:t> :</w:t>
      </w:r>
      <w:r w:rsidRPr="00A54413">
        <w:rPr>
          <w:rFonts w:ascii="Cambria" w:hAnsi="Cambria"/>
          <w:iCs/>
          <w:color w:val="auto"/>
          <w:sz w:val="20"/>
          <w:szCs w:val="20"/>
        </w:rPr>
        <w:t xml:space="preserve"> (les proportions escomptées doivent être indiquées)</w:t>
      </w:r>
    </w:p>
    <w:p w14:paraId="26031728" w14:textId="77777777" w:rsidR="00E92EF1" w:rsidRPr="00A54413" w:rsidRDefault="00E92EF1" w:rsidP="0028779B">
      <w:pPr>
        <w:rPr>
          <w:rFonts w:ascii="Cambria" w:hAnsi="Cambria"/>
          <w:i/>
          <w:color w:val="auto"/>
          <w:sz w:val="20"/>
          <w:szCs w:val="20"/>
        </w:rPr>
      </w:pPr>
    </w:p>
    <w:p w14:paraId="1C475444" w14:textId="34A5C5A5" w:rsidR="0028779B" w:rsidRPr="00A54413" w:rsidRDefault="00CC36DE" w:rsidP="0028779B">
      <w:pPr>
        <w:rPr>
          <w:rFonts w:ascii="Cambria" w:hAnsi="Cambria"/>
          <w:i/>
          <w:color w:val="auto"/>
          <w:sz w:val="20"/>
          <w:szCs w:val="20"/>
        </w:rPr>
      </w:pPr>
      <w:r w:rsidRPr="00A54413">
        <w:rPr>
          <w:rFonts w:ascii="Cambria" w:hAnsi="Cambria"/>
          <w:b/>
          <w:bCs/>
          <w:i/>
          <w:color w:val="auto"/>
          <w:sz w:val="20"/>
          <w:szCs w:val="20"/>
        </w:rPr>
        <w:t xml:space="preserve">1d) </w:t>
      </w:r>
      <w:r w:rsidRPr="00A54413">
        <w:rPr>
          <w:rFonts w:ascii="Cambria" w:hAnsi="Cambria"/>
          <w:i/>
          <w:iCs/>
          <w:color w:val="auto"/>
          <w:sz w:val="20"/>
          <w:szCs w:val="20"/>
        </w:rPr>
        <w:t>Les CPC doivent également compléter le tableau suivant</w:t>
      </w:r>
      <w:r w:rsidR="00EB247C" w:rsidRPr="00A54413">
        <w:rPr>
          <w:rFonts w:ascii="Cambria" w:hAnsi="Cambria"/>
          <w:i/>
          <w:iCs/>
          <w:color w:val="auto"/>
          <w:sz w:val="20"/>
          <w:szCs w:val="20"/>
        </w:rPr>
        <w:t> :</w:t>
      </w:r>
    </w:p>
    <w:p w14:paraId="77786CAC" w14:textId="77777777" w:rsidR="0028779B" w:rsidRPr="00A54413" w:rsidRDefault="0028779B" w:rsidP="0028779B">
      <w:pPr>
        <w:rPr>
          <w:rFonts w:ascii="Cambria" w:hAnsi="Cambria"/>
          <w:i/>
          <w:color w:val="auto"/>
          <w:sz w:val="20"/>
          <w:szCs w:val="20"/>
        </w:rPr>
      </w:pPr>
    </w:p>
    <w:tbl>
      <w:tblPr>
        <w:tblStyle w:val="TableGrid"/>
        <w:tblW w:w="0" w:type="auto"/>
        <w:tblLook w:val="04A0" w:firstRow="1" w:lastRow="0" w:firstColumn="1" w:lastColumn="0" w:noHBand="0" w:noVBand="1"/>
      </w:tblPr>
      <w:tblGrid>
        <w:gridCol w:w="453"/>
        <w:gridCol w:w="2596"/>
        <w:gridCol w:w="1766"/>
        <w:gridCol w:w="2268"/>
        <w:gridCol w:w="1977"/>
      </w:tblGrid>
      <w:tr w:rsidR="0028779B" w:rsidRPr="00A54413" w14:paraId="5AF888EE" w14:textId="77777777" w:rsidTr="00C10ED5">
        <w:tc>
          <w:tcPr>
            <w:tcW w:w="453" w:type="dxa"/>
          </w:tcPr>
          <w:p w14:paraId="61EDF69F" w14:textId="77777777" w:rsidR="0028779B" w:rsidRPr="00A54413" w:rsidRDefault="0028779B" w:rsidP="003F622C">
            <w:pPr>
              <w:jc w:val="left"/>
              <w:rPr>
                <w:rFonts w:ascii="Cambria" w:hAnsi="Cambria"/>
                <w:color w:val="auto"/>
                <w:sz w:val="20"/>
                <w:szCs w:val="20"/>
              </w:rPr>
            </w:pPr>
          </w:p>
        </w:tc>
        <w:tc>
          <w:tcPr>
            <w:tcW w:w="2596" w:type="dxa"/>
            <w:vAlign w:val="center"/>
          </w:tcPr>
          <w:p w14:paraId="39F81FA9" w14:textId="77777777" w:rsidR="00C10ED5" w:rsidRPr="00A54413" w:rsidRDefault="0028779B" w:rsidP="005C1E47">
            <w:pPr>
              <w:jc w:val="center"/>
              <w:rPr>
                <w:rFonts w:ascii="Cambria" w:hAnsi="Cambria"/>
                <w:i/>
                <w:color w:val="auto"/>
                <w:sz w:val="20"/>
                <w:szCs w:val="20"/>
              </w:rPr>
            </w:pPr>
            <w:r w:rsidRPr="00A54413">
              <w:rPr>
                <w:rFonts w:ascii="Cambria" w:hAnsi="Cambria"/>
                <w:i/>
                <w:color w:val="auto"/>
                <w:sz w:val="20"/>
                <w:szCs w:val="20"/>
              </w:rPr>
              <w:t>Exigence de l’ICCAT</w:t>
            </w:r>
          </w:p>
          <w:p w14:paraId="011B2096" w14:textId="40A9B374" w:rsidR="0028779B" w:rsidRPr="00A54413" w:rsidRDefault="0028779B" w:rsidP="005C1E47">
            <w:pPr>
              <w:jc w:val="center"/>
              <w:rPr>
                <w:rFonts w:ascii="Cambria" w:hAnsi="Cambria"/>
                <w:i/>
                <w:color w:val="auto"/>
                <w:sz w:val="20"/>
                <w:szCs w:val="20"/>
              </w:rPr>
            </w:pPr>
            <w:r w:rsidRPr="00A54413">
              <w:rPr>
                <w:rFonts w:ascii="Cambria" w:hAnsi="Cambria"/>
                <w:i/>
                <w:color w:val="auto"/>
                <w:sz w:val="20"/>
                <w:szCs w:val="20"/>
              </w:rPr>
              <w:t>(</w:t>
            </w:r>
            <w:proofErr w:type="gramStart"/>
            <w:r w:rsidRPr="00A54413">
              <w:rPr>
                <w:rFonts w:ascii="Cambria" w:hAnsi="Cambria"/>
                <w:i/>
                <w:color w:val="auto"/>
                <w:sz w:val="20"/>
                <w:szCs w:val="20"/>
              </w:rPr>
              <w:t>en</w:t>
            </w:r>
            <w:proofErr w:type="gramEnd"/>
            <w:r w:rsidRPr="00A54413">
              <w:rPr>
                <w:rFonts w:ascii="Cambria" w:hAnsi="Cambria"/>
                <w:i/>
                <w:color w:val="auto"/>
                <w:sz w:val="20"/>
                <w:szCs w:val="20"/>
              </w:rPr>
              <w:t xml:space="preserve"> vertu de la </w:t>
            </w:r>
            <w:hyperlink r:id="rId8" w:history="1">
              <w:r w:rsidRPr="00A54413">
                <w:rPr>
                  <w:rStyle w:val="Hyperlink"/>
                  <w:rFonts w:ascii="Cambria" w:hAnsi="Cambria"/>
                  <w:i/>
                  <w:sz w:val="20"/>
                  <w:szCs w:val="20"/>
                  <w:u w:val="none"/>
                </w:rPr>
                <w:t>Rec.</w:t>
              </w:r>
              <w:r w:rsidR="00C10ED5" w:rsidRPr="00A54413">
                <w:rPr>
                  <w:rStyle w:val="Hyperlink"/>
                  <w:rFonts w:ascii="Cambria" w:hAnsi="Cambria"/>
                  <w:i/>
                  <w:sz w:val="20"/>
                  <w:szCs w:val="20"/>
                  <w:u w:val="none"/>
                </w:rPr>
                <w:t xml:space="preserve"> </w:t>
              </w:r>
              <w:r w:rsidRPr="00A54413">
                <w:rPr>
                  <w:rStyle w:val="Hyperlink"/>
                  <w:rFonts w:ascii="Cambria" w:hAnsi="Cambria"/>
                  <w:i/>
                  <w:sz w:val="20"/>
                  <w:szCs w:val="20"/>
                  <w:u w:val="none"/>
                </w:rPr>
                <w:t>22-08</w:t>
              </w:r>
            </w:hyperlink>
            <w:r w:rsidR="006161A8" w:rsidRPr="00A54413">
              <w:rPr>
                <w:rFonts w:ascii="Cambria" w:hAnsi="Cambria"/>
                <w:i/>
                <w:color w:val="auto"/>
                <w:sz w:val="20"/>
                <w:szCs w:val="20"/>
              </w:rPr>
              <w:t>)</w:t>
            </w:r>
          </w:p>
        </w:tc>
        <w:tc>
          <w:tcPr>
            <w:tcW w:w="1766" w:type="dxa"/>
            <w:vAlign w:val="center"/>
          </w:tcPr>
          <w:p w14:paraId="08BDC069" w14:textId="77777777" w:rsidR="0028779B" w:rsidRPr="00A54413" w:rsidRDefault="0028779B" w:rsidP="003F622C">
            <w:pPr>
              <w:jc w:val="center"/>
              <w:rPr>
                <w:rFonts w:ascii="Cambria" w:hAnsi="Cambria"/>
                <w:i/>
                <w:color w:val="auto"/>
                <w:sz w:val="20"/>
                <w:szCs w:val="20"/>
              </w:rPr>
            </w:pPr>
            <w:r w:rsidRPr="00A54413">
              <w:rPr>
                <w:rFonts w:ascii="Cambria" w:hAnsi="Cambria"/>
                <w:i/>
                <w:color w:val="auto"/>
                <w:sz w:val="20"/>
                <w:szCs w:val="20"/>
              </w:rPr>
              <w:t>Explication des actions prises par la CPC à des fins de mise en œuvre</w:t>
            </w:r>
          </w:p>
        </w:tc>
        <w:tc>
          <w:tcPr>
            <w:tcW w:w="2268" w:type="dxa"/>
            <w:vAlign w:val="center"/>
          </w:tcPr>
          <w:p w14:paraId="728B2C2C" w14:textId="77777777" w:rsidR="0028779B" w:rsidRPr="00A54413" w:rsidRDefault="0028779B" w:rsidP="003F622C">
            <w:pPr>
              <w:jc w:val="center"/>
              <w:rPr>
                <w:rFonts w:ascii="Cambria" w:hAnsi="Cambria"/>
                <w:i/>
                <w:color w:val="auto"/>
                <w:sz w:val="20"/>
                <w:szCs w:val="20"/>
              </w:rPr>
            </w:pPr>
            <w:r w:rsidRPr="00A54413">
              <w:rPr>
                <w:rFonts w:ascii="Cambria" w:hAnsi="Cambria"/>
                <w:i/>
                <w:color w:val="auto"/>
                <w:sz w:val="20"/>
                <w:szCs w:val="20"/>
              </w:rPr>
              <w:t>Lois ou réglementations nationales pertinentes (le cas échéant)</w:t>
            </w:r>
          </w:p>
        </w:tc>
        <w:tc>
          <w:tcPr>
            <w:tcW w:w="1977" w:type="dxa"/>
            <w:vAlign w:val="center"/>
          </w:tcPr>
          <w:p w14:paraId="602A89E2" w14:textId="56440589" w:rsidR="0028779B" w:rsidRPr="00A54413" w:rsidRDefault="0028779B" w:rsidP="003F622C">
            <w:pPr>
              <w:jc w:val="center"/>
              <w:rPr>
                <w:rFonts w:ascii="Cambria" w:hAnsi="Cambria"/>
                <w:i/>
                <w:color w:val="auto"/>
                <w:sz w:val="20"/>
                <w:szCs w:val="20"/>
              </w:rPr>
            </w:pPr>
            <w:r w:rsidRPr="00A54413">
              <w:rPr>
                <w:rFonts w:ascii="Cambria" w:hAnsi="Cambria"/>
                <w:i/>
                <w:color w:val="auto"/>
                <w:sz w:val="20"/>
                <w:szCs w:val="20"/>
              </w:rPr>
              <w:t>Note</w:t>
            </w:r>
          </w:p>
        </w:tc>
      </w:tr>
      <w:tr w:rsidR="00BD0551" w:rsidRPr="00A54413" w14:paraId="55C8247E" w14:textId="77777777" w:rsidTr="00C10ED5">
        <w:tc>
          <w:tcPr>
            <w:tcW w:w="453" w:type="dxa"/>
          </w:tcPr>
          <w:p w14:paraId="0BA9E689" w14:textId="77777777" w:rsidR="00BD0551" w:rsidRPr="00A54413" w:rsidRDefault="00BD0551" w:rsidP="00BD0551">
            <w:pPr>
              <w:jc w:val="left"/>
              <w:rPr>
                <w:rFonts w:ascii="Cambria" w:hAnsi="Cambria"/>
                <w:b/>
                <w:color w:val="auto"/>
                <w:sz w:val="20"/>
                <w:szCs w:val="20"/>
              </w:rPr>
            </w:pPr>
            <w:r w:rsidRPr="00A54413">
              <w:rPr>
                <w:rFonts w:ascii="Cambria" w:hAnsi="Cambria"/>
                <w:b/>
                <w:color w:val="auto"/>
                <w:sz w:val="20"/>
                <w:szCs w:val="20"/>
              </w:rPr>
              <w:t>1</w:t>
            </w:r>
          </w:p>
        </w:tc>
        <w:tc>
          <w:tcPr>
            <w:tcW w:w="2596" w:type="dxa"/>
          </w:tcPr>
          <w:p w14:paraId="0FFDC19B" w14:textId="0DC00B86" w:rsidR="00BD0551" w:rsidRPr="00A54413" w:rsidRDefault="00BD0551" w:rsidP="00BD0551">
            <w:pPr>
              <w:jc w:val="left"/>
              <w:rPr>
                <w:rFonts w:ascii="Cambria" w:hAnsi="Cambria"/>
                <w:b/>
                <w:color w:val="auto"/>
                <w:sz w:val="20"/>
                <w:szCs w:val="20"/>
              </w:rPr>
            </w:pPr>
            <w:r w:rsidRPr="00A54413">
              <w:rPr>
                <w:rFonts w:ascii="Cambria" w:hAnsi="Cambria"/>
                <w:b/>
                <w:color w:val="auto"/>
                <w:sz w:val="20"/>
                <w:szCs w:val="20"/>
              </w:rPr>
              <w:t>Enregistrement et déclaration de la capture (paragraphes 74-88)</w:t>
            </w:r>
          </w:p>
        </w:tc>
        <w:tc>
          <w:tcPr>
            <w:tcW w:w="1766" w:type="dxa"/>
          </w:tcPr>
          <w:p w14:paraId="14F914C1" w14:textId="77777777" w:rsidR="00BD0551" w:rsidRPr="00A54413" w:rsidRDefault="00BD0551" w:rsidP="00BD0551">
            <w:pPr>
              <w:jc w:val="left"/>
              <w:rPr>
                <w:rFonts w:ascii="Cambria" w:hAnsi="Cambria"/>
                <w:color w:val="auto"/>
                <w:sz w:val="20"/>
                <w:szCs w:val="20"/>
              </w:rPr>
            </w:pPr>
          </w:p>
        </w:tc>
        <w:tc>
          <w:tcPr>
            <w:tcW w:w="2268" w:type="dxa"/>
          </w:tcPr>
          <w:p w14:paraId="329DE17E" w14:textId="77777777" w:rsidR="00BD0551" w:rsidRPr="00A54413" w:rsidRDefault="00BD0551" w:rsidP="00BD0551">
            <w:pPr>
              <w:jc w:val="left"/>
              <w:rPr>
                <w:rFonts w:ascii="Cambria" w:hAnsi="Cambria"/>
                <w:color w:val="auto"/>
                <w:sz w:val="20"/>
                <w:szCs w:val="20"/>
              </w:rPr>
            </w:pPr>
          </w:p>
        </w:tc>
        <w:tc>
          <w:tcPr>
            <w:tcW w:w="1977" w:type="dxa"/>
          </w:tcPr>
          <w:p w14:paraId="6DE06D25" w14:textId="330ACB6F" w:rsidR="00BD0551" w:rsidRPr="00A54413" w:rsidRDefault="00BD0551" w:rsidP="00430F82">
            <w:pPr>
              <w:rPr>
                <w:rFonts w:ascii="Cambria" w:hAnsi="Cambria"/>
                <w:color w:val="auto"/>
                <w:sz w:val="20"/>
                <w:szCs w:val="20"/>
              </w:rPr>
            </w:pPr>
            <w:r w:rsidRPr="00A54413">
              <w:rPr>
                <w:rFonts w:ascii="Cambria" w:hAnsi="Cambria"/>
                <w:color w:val="auto"/>
                <w:sz w:val="20"/>
                <w:szCs w:val="20"/>
              </w:rPr>
              <w:t>Les informations devraient inclure le type de carnet de pêche (électronique ou relié) et préciser que les poissons morts (retenus ou rejetés) seront déduits du quota.</w:t>
            </w:r>
          </w:p>
        </w:tc>
      </w:tr>
      <w:tr w:rsidR="0010457C" w:rsidRPr="00A54413" w14:paraId="021A6EF6" w14:textId="77777777" w:rsidTr="00C10ED5">
        <w:tc>
          <w:tcPr>
            <w:tcW w:w="453" w:type="dxa"/>
          </w:tcPr>
          <w:p w14:paraId="7A2CDFF2" w14:textId="77777777" w:rsidR="0010457C" w:rsidRPr="00A54413" w:rsidRDefault="0010457C" w:rsidP="0010457C">
            <w:pPr>
              <w:jc w:val="left"/>
              <w:rPr>
                <w:rFonts w:ascii="Cambria" w:hAnsi="Cambria"/>
                <w:b/>
                <w:color w:val="auto"/>
                <w:sz w:val="20"/>
                <w:szCs w:val="20"/>
              </w:rPr>
            </w:pPr>
            <w:r w:rsidRPr="00A54413">
              <w:rPr>
                <w:rFonts w:ascii="Cambria" w:hAnsi="Cambria"/>
                <w:b/>
                <w:color w:val="auto"/>
                <w:sz w:val="20"/>
                <w:szCs w:val="20"/>
              </w:rPr>
              <w:t>2</w:t>
            </w:r>
          </w:p>
        </w:tc>
        <w:tc>
          <w:tcPr>
            <w:tcW w:w="2596" w:type="dxa"/>
          </w:tcPr>
          <w:p w14:paraId="26982F84" w14:textId="1B86CCC7" w:rsidR="0010457C" w:rsidRPr="00A54413" w:rsidRDefault="0010457C" w:rsidP="0010457C">
            <w:pPr>
              <w:jc w:val="left"/>
              <w:rPr>
                <w:rFonts w:ascii="Cambria" w:hAnsi="Cambria"/>
                <w:b/>
                <w:color w:val="auto"/>
                <w:sz w:val="20"/>
                <w:szCs w:val="20"/>
              </w:rPr>
            </w:pPr>
            <w:r w:rsidRPr="00A54413">
              <w:rPr>
                <w:rFonts w:ascii="Cambria" w:hAnsi="Cambria"/>
                <w:b/>
                <w:color w:val="auto"/>
                <w:sz w:val="20"/>
                <w:szCs w:val="20"/>
              </w:rPr>
              <w:t>Périodes d’ouverture de la pêche (paragraphes 28-32)</w:t>
            </w:r>
          </w:p>
        </w:tc>
        <w:tc>
          <w:tcPr>
            <w:tcW w:w="1766" w:type="dxa"/>
          </w:tcPr>
          <w:p w14:paraId="3763A44F" w14:textId="77777777" w:rsidR="0010457C" w:rsidRPr="00A54413" w:rsidRDefault="0010457C" w:rsidP="0010457C">
            <w:pPr>
              <w:jc w:val="left"/>
              <w:rPr>
                <w:rFonts w:ascii="Cambria" w:hAnsi="Cambria"/>
                <w:color w:val="auto"/>
                <w:sz w:val="20"/>
                <w:szCs w:val="20"/>
              </w:rPr>
            </w:pPr>
          </w:p>
        </w:tc>
        <w:tc>
          <w:tcPr>
            <w:tcW w:w="2268" w:type="dxa"/>
          </w:tcPr>
          <w:p w14:paraId="04A33DE0" w14:textId="77777777" w:rsidR="0010457C" w:rsidRPr="00A54413" w:rsidRDefault="0010457C" w:rsidP="0010457C">
            <w:pPr>
              <w:jc w:val="left"/>
              <w:rPr>
                <w:rFonts w:ascii="Cambria" w:hAnsi="Cambria"/>
                <w:color w:val="auto"/>
                <w:sz w:val="20"/>
                <w:szCs w:val="20"/>
              </w:rPr>
            </w:pPr>
          </w:p>
        </w:tc>
        <w:tc>
          <w:tcPr>
            <w:tcW w:w="1977" w:type="dxa"/>
          </w:tcPr>
          <w:p w14:paraId="05895F52" w14:textId="7956B93F" w:rsidR="00FF5DBD" w:rsidRPr="00A54413" w:rsidRDefault="0010457C" w:rsidP="00430F82">
            <w:pPr>
              <w:rPr>
                <w:rFonts w:ascii="Cambria" w:hAnsi="Cambria"/>
                <w:color w:val="auto"/>
                <w:sz w:val="20"/>
                <w:szCs w:val="20"/>
              </w:rPr>
            </w:pPr>
            <w:r w:rsidRPr="00A54413">
              <w:rPr>
                <w:rFonts w:ascii="Cambria" w:hAnsi="Cambria"/>
                <w:color w:val="auto"/>
                <w:sz w:val="20"/>
                <w:szCs w:val="20"/>
              </w:rPr>
              <w:t>Les zones et les saisons de pêche devraient être clairement définies pour chaque engin utilisé.</w:t>
            </w:r>
          </w:p>
        </w:tc>
      </w:tr>
      <w:tr w:rsidR="0010457C" w:rsidRPr="00A54413" w14:paraId="20BFB076" w14:textId="77777777" w:rsidTr="00C10ED5">
        <w:tc>
          <w:tcPr>
            <w:tcW w:w="453" w:type="dxa"/>
          </w:tcPr>
          <w:p w14:paraId="4B1F8040" w14:textId="77777777" w:rsidR="0010457C" w:rsidRPr="00A54413" w:rsidRDefault="0010457C" w:rsidP="0010457C">
            <w:pPr>
              <w:jc w:val="left"/>
              <w:rPr>
                <w:rFonts w:ascii="Cambria" w:hAnsi="Cambria"/>
                <w:b/>
                <w:color w:val="auto"/>
                <w:sz w:val="20"/>
                <w:szCs w:val="20"/>
              </w:rPr>
            </w:pPr>
            <w:r w:rsidRPr="00A54413">
              <w:rPr>
                <w:rFonts w:ascii="Cambria" w:hAnsi="Cambria"/>
                <w:b/>
                <w:color w:val="auto"/>
                <w:sz w:val="20"/>
                <w:szCs w:val="20"/>
              </w:rPr>
              <w:t>3</w:t>
            </w:r>
          </w:p>
        </w:tc>
        <w:tc>
          <w:tcPr>
            <w:tcW w:w="2596" w:type="dxa"/>
          </w:tcPr>
          <w:p w14:paraId="1287E987" w14:textId="32EC75B3" w:rsidR="0010457C" w:rsidRPr="00A54413" w:rsidRDefault="0010457C" w:rsidP="0010457C">
            <w:pPr>
              <w:jc w:val="left"/>
              <w:rPr>
                <w:rFonts w:ascii="Cambria" w:hAnsi="Cambria"/>
                <w:b/>
                <w:color w:val="auto"/>
                <w:sz w:val="20"/>
                <w:szCs w:val="20"/>
              </w:rPr>
            </w:pPr>
            <w:r w:rsidRPr="00A54413">
              <w:rPr>
                <w:rFonts w:ascii="Cambria" w:hAnsi="Cambria"/>
                <w:b/>
                <w:bCs/>
                <w:color w:val="auto"/>
                <w:sz w:val="20"/>
                <w:szCs w:val="20"/>
              </w:rPr>
              <w:t>Taille minimale (</w:t>
            </w:r>
            <w:r w:rsidR="006161A8" w:rsidRPr="00A54413">
              <w:rPr>
                <w:rFonts w:ascii="Cambria" w:hAnsi="Cambria"/>
                <w:b/>
                <w:color w:val="auto"/>
                <w:sz w:val="20"/>
                <w:szCs w:val="20"/>
              </w:rPr>
              <w:t xml:space="preserve">paragraphes </w:t>
            </w:r>
            <w:r w:rsidRPr="00A54413">
              <w:rPr>
                <w:rFonts w:ascii="Cambria" w:hAnsi="Cambria"/>
                <w:b/>
                <w:bCs/>
                <w:color w:val="auto"/>
                <w:sz w:val="20"/>
                <w:szCs w:val="20"/>
              </w:rPr>
              <w:t>33-35)</w:t>
            </w:r>
          </w:p>
        </w:tc>
        <w:tc>
          <w:tcPr>
            <w:tcW w:w="1766" w:type="dxa"/>
          </w:tcPr>
          <w:p w14:paraId="03169519" w14:textId="77777777" w:rsidR="0010457C" w:rsidRPr="00A54413" w:rsidRDefault="0010457C" w:rsidP="0010457C">
            <w:pPr>
              <w:jc w:val="left"/>
              <w:rPr>
                <w:rFonts w:ascii="Cambria" w:hAnsi="Cambria"/>
                <w:color w:val="auto"/>
                <w:sz w:val="20"/>
                <w:szCs w:val="20"/>
              </w:rPr>
            </w:pPr>
          </w:p>
        </w:tc>
        <w:tc>
          <w:tcPr>
            <w:tcW w:w="2268" w:type="dxa"/>
          </w:tcPr>
          <w:p w14:paraId="14628446" w14:textId="77777777" w:rsidR="0010457C" w:rsidRPr="00A54413" w:rsidRDefault="0010457C" w:rsidP="0010457C">
            <w:pPr>
              <w:jc w:val="left"/>
              <w:rPr>
                <w:rFonts w:ascii="Cambria" w:hAnsi="Cambria"/>
                <w:color w:val="auto"/>
                <w:sz w:val="20"/>
                <w:szCs w:val="20"/>
              </w:rPr>
            </w:pPr>
          </w:p>
        </w:tc>
        <w:tc>
          <w:tcPr>
            <w:tcW w:w="1977" w:type="dxa"/>
          </w:tcPr>
          <w:p w14:paraId="22794102" w14:textId="77777777" w:rsidR="0010457C" w:rsidRPr="00A54413" w:rsidRDefault="0010457C" w:rsidP="0010457C">
            <w:pPr>
              <w:jc w:val="left"/>
              <w:rPr>
                <w:rFonts w:ascii="Cambria" w:hAnsi="Cambria"/>
                <w:color w:val="auto"/>
                <w:sz w:val="20"/>
                <w:szCs w:val="20"/>
              </w:rPr>
            </w:pPr>
          </w:p>
        </w:tc>
      </w:tr>
      <w:tr w:rsidR="0010457C" w:rsidRPr="00A54413" w14:paraId="40BAEA2B" w14:textId="77777777" w:rsidTr="00C10ED5">
        <w:tc>
          <w:tcPr>
            <w:tcW w:w="453" w:type="dxa"/>
          </w:tcPr>
          <w:p w14:paraId="74E16453" w14:textId="77777777" w:rsidR="0010457C" w:rsidRPr="00A54413" w:rsidRDefault="0010457C" w:rsidP="0010457C">
            <w:pPr>
              <w:jc w:val="left"/>
              <w:rPr>
                <w:rFonts w:ascii="Cambria" w:hAnsi="Cambria"/>
                <w:b/>
                <w:color w:val="auto"/>
                <w:sz w:val="20"/>
                <w:szCs w:val="20"/>
              </w:rPr>
            </w:pPr>
            <w:r w:rsidRPr="00A54413">
              <w:rPr>
                <w:rFonts w:ascii="Cambria" w:hAnsi="Cambria"/>
                <w:b/>
                <w:color w:val="auto"/>
                <w:sz w:val="20"/>
                <w:szCs w:val="20"/>
              </w:rPr>
              <w:t>4</w:t>
            </w:r>
          </w:p>
        </w:tc>
        <w:tc>
          <w:tcPr>
            <w:tcW w:w="2596" w:type="dxa"/>
          </w:tcPr>
          <w:p w14:paraId="05D2AC9B" w14:textId="71368D7D" w:rsidR="0010457C" w:rsidRPr="00A54413" w:rsidRDefault="0010457C" w:rsidP="0010457C">
            <w:pPr>
              <w:jc w:val="left"/>
              <w:rPr>
                <w:rFonts w:ascii="Cambria" w:hAnsi="Cambria"/>
                <w:b/>
                <w:color w:val="auto"/>
                <w:sz w:val="20"/>
                <w:szCs w:val="20"/>
              </w:rPr>
            </w:pPr>
            <w:r w:rsidRPr="00A54413">
              <w:rPr>
                <w:rFonts w:ascii="Cambria" w:hAnsi="Cambria"/>
                <w:b/>
                <w:color w:val="auto"/>
                <w:sz w:val="20"/>
                <w:szCs w:val="20"/>
              </w:rPr>
              <w:t xml:space="preserve">Prises accessoires (paragraphe 37, incluant le % de réserve) </w:t>
            </w:r>
          </w:p>
        </w:tc>
        <w:tc>
          <w:tcPr>
            <w:tcW w:w="1766" w:type="dxa"/>
          </w:tcPr>
          <w:p w14:paraId="7E3471E0" w14:textId="77777777" w:rsidR="0010457C" w:rsidRPr="00A54413" w:rsidRDefault="0010457C" w:rsidP="0010457C">
            <w:pPr>
              <w:jc w:val="left"/>
              <w:rPr>
                <w:rFonts w:ascii="Cambria" w:hAnsi="Cambria"/>
                <w:color w:val="auto"/>
                <w:sz w:val="20"/>
                <w:szCs w:val="20"/>
              </w:rPr>
            </w:pPr>
          </w:p>
        </w:tc>
        <w:tc>
          <w:tcPr>
            <w:tcW w:w="2268" w:type="dxa"/>
          </w:tcPr>
          <w:p w14:paraId="3D0187BA" w14:textId="77777777" w:rsidR="0010457C" w:rsidRPr="00A54413" w:rsidRDefault="0010457C" w:rsidP="0010457C">
            <w:pPr>
              <w:jc w:val="left"/>
              <w:rPr>
                <w:rFonts w:ascii="Cambria" w:hAnsi="Cambria"/>
                <w:color w:val="auto"/>
                <w:sz w:val="20"/>
                <w:szCs w:val="20"/>
              </w:rPr>
            </w:pPr>
          </w:p>
        </w:tc>
        <w:tc>
          <w:tcPr>
            <w:tcW w:w="1977" w:type="dxa"/>
          </w:tcPr>
          <w:p w14:paraId="70F3DC53" w14:textId="77777777" w:rsidR="0010457C" w:rsidRPr="00A54413" w:rsidRDefault="0010457C" w:rsidP="0010457C">
            <w:pPr>
              <w:rPr>
                <w:rFonts w:ascii="Cambria" w:hAnsi="Cambria"/>
                <w:color w:val="auto"/>
                <w:sz w:val="20"/>
                <w:szCs w:val="20"/>
              </w:rPr>
            </w:pPr>
            <w:r w:rsidRPr="00A54413">
              <w:rPr>
                <w:rFonts w:ascii="Cambria" w:hAnsi="Cambria"/>
                <w:color w:val="auto"/>
                <w:sz w:val="20"/>
                <w:szCs w:val="20"/>
              </w:rPr>
              <w:t>Préciser un quota pour les prises accessoires.</w:t>
            </w:r>
          </w:p>
          <w:p w14:paraId="7EC0AD07" w14:textId="56584D11" w:rsidR="0010457C" w:rsidRPr="00A54413" w:rsidRDefault="0010457C" w:rsidP="00430F82">
            <w:pPr>
              <w:rPr>
                <w:rFonts w:ascii="Cambria" w:hAnsi="Cambria"/>
                <w:color w:val="auto"/>
                <w:sz w:val="20"/>
                <w:szCs w:val="20"/>
              </w:rPr>
            </w:pPr>
            <w:r w:rsidRPr="00A54413">
              <w:rPr>
                <w:rFonts w:ascii="Cambria" w:hAnsi="Cambria"/>
                <w:color w:val="auto"/>
                <w:sz w:val="20"/>
                <w:szCs w:val="20"/>
              </w:rPr>
              <w:t xml:space="preserve">Inclure les niveaux </w:t>
            </w:r>
            <w:r w:rsidRPr="00A54413">
              <w:rPr>
                <w:rFonts w:ascii="Cambria" w:hAnsi="Cambria"/>
                <w:color w:val="auto"/>
                <w:sz w:val="20"/>
                <w:szCs w:val="20"/>
              </w:rPr>
              <w:lastRenderedPageBreak/>
              <w:t>de prises accessoires des années précédentes à titre de référence. Préciser si les prises accessoires, y compris les rejets, sont déduites du quota.</w:t>
            </w:r>
          </w:p>
        </w:tc>
      </w:tr>
      <w:tr w:rsidR="0010457C" w:rsidRPr="00A54413" w14:paraId="578E76D3" w14:textId="77777777" w:rsidTr="00C10ED5">
        <w:tc>
          <w:tcPr>
            <w:tcW w:w="453" w:type="dxa"/>
          </w:tcPr>
          <w:p w14:paraId="5DB63A94" w14:textId="77777777" w:rsidR="0010457C" w:rsidRPr="00A54413" w:rsidRDefault="0010457C" w:rsidP="0010457C">
            <w:pPr>
              <w:jc w:val="left"/>
              <w:rPr>
                <w:rFonts w:ascii="Cambria" w:hAnsi="Cambria"/>
                <w:b/>
                <w:color w:val="auto"/>
                <w:sz w:val="20"/>
                <w:szCs w:val="20"/>
              </w:rPr>
            </w:pPr>
            <w:r w:rsidRPr="00A54413">
              <w:rPr>
                <w:rFonts w:ascii="Cambria" w:hAnsi="Cambria"/>
                <w:b/>
                <w:color w:val="auto"/>
                <w:sz w:val="20"/>
                <w:szCs w:val="20"/>
              </w:rPr>
              <w:lastRenderedPageBreak/>
              <w:t>5</w:t>
            </w:r>
          </w:p>
        </w:tc>
        <w:tc>
          <w:tcPr>
            <w:tcW w:w="2596" w:type="dxa"/>
          </w:tcPr>
          <w:p w14:paraId="32F21A21" w14:textId="7D9D1706" w:rsidR="0010457C" w:rsidRPr="00A54413" w:rsidRDefault="0010457C" w:rsidP="0010457C">
            <w:pPr>
              <w:jc w:val="left"/>
              <w:rPr>
                <w:rFonts w:ascii="Cambria" w:hAnsi="Cambria"/>
                <w:b/>
                <w:color w:val="auto"/>
                <w:sz w:val="20"/>
                <w:szCs w:val="20"/>
              </w:rPr>
            </w:pPr>
            <w:r w:rsidRPr="00A54413">
              <w:rPr>
                <w:rFonts w:ascii="Cambria" w:hAnsi="Cambria"/>
                <w:b/>
                <w:bCs/>
                <w:color w:val="auto"/>
                <w:sz w:val="20"/>
                <w:szCs w:val="20"/>
              </w:rPr>
              <w:t>Pêcheries récréatives et sportives (paragraphes 38-46)</w:t>
            </w:r>
          </w:p>
        </w:tc>
        <w:tc>
          <w:tcPr>
            <w:tcW w:w="1766" w:type="dxa"/>
          </w:tcPr>
          <w:p w14:paraId="0CE14014" w14:textId="77777777" w:rsidR="0010457C" w:rsidRPr="00A54413" w:rsidRDefault="0010457C" w:rsidP="0010457C">
            <w:pPr>
              <w:jc w:val="left"/>
              <w:rPr>
                <w:rFonts w:ascii="Cambria" w:hAnsi="Cambria"/>
                <w:color w:val="auto"/>
                <w:sz w:val="20"/>
                <w:szCs w:val="20"/>
              </w:rPr>
            </w:pPr>
          </w:p>
        </w:tc>
        <w:tc>
          <w:tcPr>
            <w:tcW w:w="2268" w:type="dxa"/>
          </w:tcPr>
          <w:p w14:paraId="3863FBCF" w14:textId="77777777" w:rsidR="0010457C" w:rsidRPr="00A54413" w:rsidRDefault="0010457C" w:rsidP="0010457C">
            <w:pPr>
              <w:jc w:val="left"/>
              <w:rPr>
                <w:rFonts w:ascii="Cambria" w:hAnsi="Cambria"/>
                <w:color w:val="auto"/>
                <w:sz w:val="20"/>
                <w:szCs w:val="20"/>
              </w:rPr>
            </w:pPr>
          </w:p>
        </w:tc>
        <w:tc>
          <w:tcPr>
            <w:tcW w:w="1977" w:type="dxa"/>
          </w:tcPr>
          <w:p w14:paraId="6EC0050B" w14:textId="77777777" w:rsidR="0010457C" w:rsidRPr="00A54413" w:rsidRDefault="0010457C" w:rsidP="0010457C">
            <w:pPr>
              <w:jc w:val="left"/>
              <w:rPr>
                <w:rFonts w:ascii="Cambria" w:hAnsi="Cambria"/>
                <w:color w:val="auto"/>
                <w:sz w:val="20"/>
                <w:szCs w:val="20"/>
              </w:rPr>
            </w:pPr>
          </w:p>
        </w:tc>
      </w:tr>
      <w:tr w:rsidR="0010457C" w:rsidRPr="00A54413" w14:paraId="3479E145" w14:textId="77777777" w:rsidTr="00C10ED5">
        <w:tc>
          <w:tcPr>
            <w:tcW w:w="453" w:type="dxa"/>
          </w:tcPr>
          <w:p w14:paraId="0F715200" w14:textId="77777777" w:rsidR="0010457C" w:rsidRPr="00A54413" w:rsidRDefault="0010457C" w:rsidP="0010457C">
            <w:pPr>
              <w:jc w:val="left"/>
              <w:rPr>
                <w:rFonts w:ascii="Cambria" w:hAnsi="Cambria"/>
                <w:b/>
                <w:color w:val="auto"/>
                <w:sz w:val="20"/>
                <w:szCs w:val="20"/>
              </w:rPr>
            </w:pPr>
            <w:r w:rsidRPr="00A54413">
              <w:rPr>
                <w:rFonts w:ascii="Cambria" w:hAnsi="Cambria"/>
                <w:b/>
                <w:color w:val="auto"/>
                <w:sz w:val="20"/>
                <w:szCs w:val="20"/>
              </w:rPr>
              <w:t>6</w:t>
            </w:r>
          </w:p>
        </w:tc>
        <w:tc>
          <w:tcPr>
            <w:tcW w:w="2596" w:type="dxa"/>
          </w:tcPr>
          <w:p w14:paraId="09637935" w14:textId="7E968B10" w:rsidR="0010457C" w:rsidRPr="00A54413" w:rsidRDefault="0010457C" w:rsidP="0010457C">
            <w:pPr>
              <w:jc w:val="left"/>
              <w:rPr>
                <w:rFonts w:ascii="Cambria" w:hAnsi="Cambria"/>
                <w:b/>
                <w:color w:val="auto"/>
                <w:sz w:val="20"/>
                <w:szCs w:val="20"/>
              </w:rPr>
            </w:pPr>
            <w:r w:rsidRPr="00A54413">
              <w:rPr>
                <w:rFonts w:ascii="Cambria" w:hAnsi="Cambria"/>
                <w:b/>
                <w:color w:val="auto"/>
                <w:sz w:val="20"/>
                <w:szCs w:val="20"/>
              </w:rPr>
              <w:t xml:space="preserve">Transbordement (paragraphes 89-94) </w:t>
            </w:r>
          </w:p>
        </w:tc>
        <w:tc>
          <w:tcPr>
            <w:tcW w:w="1766" w:type="dxa"/>
          </w:tcPr>
          <w:p w14:paraId="482DAA5D" w14:textId="77777777" w:rsidR="0010457C" w:rsidRPr="00A54413" w:rsidRDefault="0010457C" w:rsidP="0010457C">
            <w:pPr>
              <w:jc w:val="left"/>
              <w:rPr>
                <w:rFonts w:ascii="Cambria" w:hAnsi="Cambria"/>
                <w:color w:val="auto"/>
                <w:sz w:val="20"/>
                <w:szCs w:val="20"/>
              </w:rPr>
            </w:pPr>
          </w:p>
        </w:tc>
        <w:tc>
          <w:tcPr>
            <w:tcW w:w="2268" w:type="dxa"/>
          </w:tcPr>
          <w:p w14:paraId="1AED8FE6" w14:textId="77777777" w:rsidR="0010457C" w:rsidRPr="00A54413" w:rsidRDefault="0010457C" w:rsidP="0010457C">
            <w:pPr>
              <w:jc w:val="left"/>
              <w:rPr>
                <w:rFonts w:ascii="Cambria" w:hAnsi="Cambria"/>
                <w:color w:val="auto"/>
                <w:sz w:val="20"/>
                <w:szCs w:val="20"/>
              </w:rPr>
            </w:pPr>
          </w:p>
        </w:tc>
        <w:tc>
          <w:tcPr>
            <w:tcW w:w="1977" w:type="dxa"/>
          </w:tcPr>
          <w:p w14:paraId="26B6236D" w14:textId="3604EE5F" w:rsidR="0010457C" w:rsidRPr="00A54413" w:rsidRDefault="005B24D2" w:rsidP="00430F82">
            <w:pPr>
              <w:rPr>
                <w:rFonts w:ascii="Cambria" w:hAnsi="Cambria"/>
                <w:color w:val="auto"/>
                <w:sz w:val="20"/>
                <w:szCs w:val="20"/>
              </w:rPr>
            </w:pPr>
            <w:r w:rsidRPr="00A54413">
              <w:rPr>
                <w:rFonts w:ascii="Cambria" w:hAnsi="Cambria"/>
                <w:color w:val="auto"/>
                <w:sz w:val="20"/>
                <w:szCs w:val="20"/>
              </w:rPr>
              <w:t>Indiquer</w:t>
            </w:r>
            <w:r w:rsidR="0010457C" w:rsidRPr="00A54413">
              <w:rPr>
                <w:rFonts w:ascii="Cambria" w:hAnsi="Cambria"/>
                <w:color w:val="auto"/>
                <w:sz w:val="20"/>
                <w:szCs w:val="20"/>
              </w:rPr>
              <w:t xml:space="preserve"> que seul le transbordement </w:t>
            </w:r>
            <w:r w:rsidR="00AD5D65" w:rsidRPr="00A54413">
              <w:rPr>
                <w:rFonts w:ascii="Cambria" w:hAnsi="Cambria"/>
                <w:color w:val="auto"/>
                <w:sz w:val="20"/>
                <w:szCs w:val="20"/>
              </w:rPr>
              <w:t>au</w:t>
            </w:r>
            <w:r w:rsidR="0010457C" w:rsidRPr="00A54413">
              <w:rPr>
                <w:rFonts w:ascii="Cambria" w:hAnsi="Cambria"/>
                <w:color w:val="auto"/>
                <w:sz w:val="20"/>
                <w:szCs w:val="20"/>
              </w:rPr>
              <w:t xml:space="preserve"> port est autorisé</w:t>
            </w:r>
            <w:r w:rsidRPr="00A54413">
              <w:rPr>
                <w:rFonts w:ascii="Cambria" w:hAnsi="Cambria"/>
                <w:color w:val="auto"/>
                <w:sz w:val="20"/>
                <w:szCs w:val="20"/>
              </w:rPr>
              <w:t xml:space="preserve"> en vertu de la réglementation nationale.</w:t>
            </w:r>
          </w:p>
        </w:tc>
      </w:tr>
      <w:tr w:rsidR="0010457C" w:rsidRPr="00A54413" w14:paraId="10D4286B" w14:textId="77777777" w:rsidTr="00C10ED5">
        <w:tc>
          <w:tcPr>
            <w:tcW w:w="453" w:type="dxa"/>
          </w:tcPr>
          <w:p w14:paraId="42C3D148" w14:textId="77777777" w:rsidR="0010457C" w:rsidRPr="00A54413" w:rsidRDefault="0010457C" w:rsidP="0010457C">
            <w:pPr>
              <w:jc w:val="left"/>
              <w:rPr>
                <w:rFonts w:ascii="Cambria" w:hAnsi="Cambria"/>
                <w:b/>
                <w:color w:val="auto"/>
                <w:sz w:val="20"/>
                <w:szCs w:val="20"/>
              </w:rPr>
            </w:pPr>
            <w:r w:rsidRPr="00A54413">
              <w:rPr>
                <w:rFonts w:ascii="Cambria" w:hAnsi="Cambria"/>
                <w:b/>
                <w:color w:val="auto"/>
                <w:sz w:val="20"/>
                <w:szCs w:val="20"/>
              </w:rPr>
              <w:t>7</w:t>
            </w:r>
          </w:p>
        </w:tc>
        <w:tc>
          <w:tcPr>
            <w:tcW w:w="2596" w:type="dxa"/>
          </w:tcPr>
          <w:p w14:paraId="6D40A05A" w14:textId="15BC4D8C" w:rsidR="0010457C" w:rsidRPr="00A54413" w:rsidRDefault="0010457C" w:rsidP="0010457C">
            <w:pPr>
              <w:jc w:val="left"/>
              <w:rPr>
                <w:rFonts w:ascii="Cambria" w:hAnsi="Cambria"/>
                <w:b/>
                <w:color w:val="auto"/>
                <w:sz w:val="20"/>
                <w:szCs w:val="20"/>
              </w:rPr>
            </w:pPr>
            <w:r w:rsidRPr="00A54413">
              <w:rPr>
                <w:rFonts w:ascii="Cambria" w:hAnsi="Cambria"/>
                <w:b/>
                <w:color w:val="auto"/>
                <w:sz w:val="20"/>
                <w:szCs w:val="20"/>
              </w:rPr>
              <w:t>VMS (paragraphes 219-225)</w:t>
            </w:r>
          </w:p>
        </w:tc>
        <w:tc>
          <w:tcPr>
            <w:tcW w:w="1766" w:type="dxa"/>
          </w:tcPr>
          <w:p w14:paraId="63549DCC" w14:textId="77777777" w:rsidR="0010457C" w:rsidRPr="00A54413" w:rsidRDefault="0010457C" w:rsidP="0010457C">
            <w:pPr>
              <w:jc w:val="left"/>
              <w:rPr>
                <w:rFonts w:ascii="Cambria" w:hAnsi="Cambria"/>
                <w:color w:val="auto"/>
                <w:sz w:val="20"/>
                <w:szCs w:val="20"/>
              </w:rPr>
            </w:pPr>
          </w:p>
        </w:tc>
        <w:tc>
          <w:tcPr>
            <w:tcW w:w="2268" w:type="dxa"/>
          </w:tcPr>
          <w:p w14:paraId="403673C0" w14:textId="77777777" w:rsidR="0010457C" w:rsidRPr="00A54413" w:rsidRDefault="0010457C" w:rsidP="0010457C">
            <w:pPr>
              <w:jc w:val="left"/>
              <w:rPr>
                <w:rFonts w:ascii="Cambria" w:hAnsi="Cambria"/>
                <w:color w:val="auto"/>
                <w:sz w:val="20"/>
                <w:szCs w:val="20"/>
              </w:rPr>
            </w:pPr>
          </w:p>
        </w:tc>
        <w:tc>
          <w:tcPr>
            <w:tcW w:w="1977" w:type="dxa"/>
          </w:tcPr>
          <w:p w14:paraId="04036206" w14:textId="7743608A" w:rsidR="0010457C" w:rsidRPr="00A54413" w:rsidRDefault="00E92EF1" w:rsidP="00430F82">
            <w:pPr>
              <w:rPr>
                <w:rFonts w:ascii="Cambria" w:hAnsi="Cambria"/>
                <w:color w:val="auto"/>
                <w:sz w:val="20"/>
                <w:szCs w:val="20"/>
              </w:rPr>
            </w:pPr>
            <w:r w:rsidRPr="00A54413">
              <w:rPr>
                <w:rFonts w:ascii="Cambria" w:hAnsi="Cambria"/>
                <w:color w:val="auto"/>
                <w:sz w:val="20"/>
                <w:szCs w:val="20"/>
              </w:rPr>
              <w:t>Indiquer la fréquence de</w:t>
            </w:r>
            <w:r w:rsidR="00AD5D65" w:rsidRPr="00A54413">
              <w:rPr>
                <w:rFonts w:ascii="Cambria" w:hAnsi="Cambria"/>
                <w:color w:val="auto"/>
                <w:sz w:val="20"/>
                <w:szCs w:val="20"/>
              </w:rPr>
              <w:t xml:space="preserve"> transmission des </w:t>
            </w:r>
            <w:r w:rsidRPr="00A54413">
              <w:rPr>
                <w:rFonts w:ascii="Cambria" w:hAnsi="Cambria"/>
                <w:color w:val="auto"/>
                <w:sz w:val="20"/>
                <w:szCs w:val="20"/>
              </w:rPr>
              <w:t>messages VMS pour les navires de pêche et de remorquage.</w:t>
            </w:r>
          </w:p>
        </w:tc>
      </w:tr>
      <w:tr w:rsidR="0010457C" w:rsidRPr="00A54413" w14:paraId="2F33B023" w14:textId="77777777" w:rsidTr="00C10ED5">
        <w:tc>
          <w:tcPr>
            <w:tcW w:w="453" w:type="dxa"/>
          </w:tcPr>
          <w:p w14:paraId="361F591A" w14:textId="77777777" w:rsidR="0010457C" w:rsidRPr="00A54413" w:rsidRDefault="0010457C" w:rsidP="0010457C">
            <w:pPr>
              <w:jc w:val="left"/>
              <w:rPr>
                <w:rFonts w:ascii="Cambria" w:hAnsi="Cambria"/>
                <w:b/>
                <w:color w:val="auto"/>
                <w:sz w:val="20"/>
                <w:szCs w:val="20"/>
              </w:rPr>
            </w:pPr>
            <w:r w:rsidRPr="00A54413">
              <w:rPr>
                <w:rFonts w:ascii="Cambria" w:hAnsi="Cambria"/>
                <w:b/>
                <w:color w:val="auto"/>
                <w:sz w:val="20"/>
                <w:szCs w:val="20"/>
              </w:rPr>
              <w:t>8</w:t>
            </w:r>
          </w:p>
        </w:tc>
        <w:tc>
          <w:tcPr>
            <w:tcW w:w="2596" w:type="dxa"/>
          </w:tcPr>
          <w:p w14:paraId="6BAA182E" w14:textId="569C0BC1" w:rsidR="0010457C" w:rsidRPr="00A54413" w:rsidRDefault="0010457C" w:rsidP="00EB247C">
            <w:pPr>
              <w:jc w:val="left"/>
              <w:rPr>
                <w:rFonts w:ascii="Cambria" w:hAnsi="Cambria"/>
                <w:b/>
                <w:color w:val="auto"/>
                <w:sz w:val="20"/>
                <w:szCs w:val="20"/>
              </w:rPr>
            </w:pPr>
            <w:r w:rsidRPr="00A54413">
              <w:rPr>
                <w:rFonts w:ascii="Cambria" w:hAnsi="Cambria"/>
                <w:b/>
                <w:color w:val="auto"/>
                <w:sz w:val="20"/>
                <w:szCs w:val="20"/>
              </w:rPr>
              <w:t>Programme d’observateurs des CPC (paragraphes 95-100)</w:t>
            </w:r>
          </w:p>
        </w:tc>
        <w:tc>
          <w:tcPr>
            <w:tcW w:w="1766" w:type="dxa"/>
          </w:tcPr>
          <w:p w14:paraId="776E7F77" w14:textId="77777777" w:rsidR="0010457C" w:rsidRPr="00A54413" w:rsidRDefault="0010457C" w:rsidP="0010457C">
            <w:pPr>
              <w:jc w:val="left"/>
              <w:rPr>
                <w:rFonts w:ascii="Cambria" w:hAnsi="Cambria"/>
                <w:color w:val="auto"/>
                <w:sz w:val="20"/>
                <w:szCs w:val="20"/>
              </w:rPr>
            </w:pPr>
          </w:p>
        </w:tc>
        <w:tc>
          <w:tcPr>
            <w:tcW w:w="2268" w:type="dxa"/>
          </w:tcPr>
          <w:p w14:paraId="651CE1A7" w14:textId="77777777" w:rsidR="0010457C" w:rsidRPr="00A54413" w:rsidRDefault="0010457C" w:rsidP="0010457C">
            <w:pPr>
              <w:jc w:val="left"/>
              <w:rPr>
                <w:rFonts w:ascii="Cambria" w:hAnsi="Cambria"/>
                <w:color w:val="auto"/>
                <w:sz w:val="20"/>
                <w:szCs w:val="20"/>
              </w:rPr>
            </w:pPr>
          </w:p>
        </w:tc>
        <w:tc>
          <w:tcPr>
            <w:tcW w:w="1977" w:type="dxa"/>
          </w:tcPr>
          <w:p w14:paraId="2009B363" w14:textId="77777777" w:rsidR="0010457C" w:rsidRPr="00A54413" w:rsidRDefault="0010457C" w:rsidP="0010457C">
            <w:pPr>
              <w:jc w:val="left"/>
              <w:rPr>
                <w:rFonts w:ascii="Cambria" w:hAnsi="Cambria"/>
                <w:color w:val="auto"/>
                <w:sz w:val="20"/>
                <w:szCs w:val="20"/>
              </w:rPr>
            </w:pPr>
          </w:p>
        </w:tc>
      </w:tr>
      <w:tr w:rsidR="0010457C" w:rsidRPr="00A54413" w14:paraId="2336749E" w14:textId="77777777" w:rsidTr="00C10ED5">
        <w:tc>
          <w:tcPr>
            <w:tcW w:w="453" w:type="dxa"/>
          </w:tcPr>
          <w:p w14:paraId="6CF8FA04" w14:textId="77777777" w:rsidR="0010457C" w:rsidRPr="00A54413" w:rsidRDefault="0010457C" w:rsidP="0010457C">
            <w:pPr>
              <w:jc w:val="left"/>
              <w:rPr>
                <w:rFonts w:ascii="Cambria" w:hAnsi="Cambria"/>
                <w:b/>
                <w:color w:val="auto"/>
                <w:sz w:val="20"/>
                <w:szCs w:val="20"/>
              </w:rPr>
            </w:pPr>
            <w:r w:rsidRPr="00A54413">
              <w:rPr>
                <w:rFonts w:ascii="Cambria" w:hAnsi="Cambria"/>
                <w:b/>
                <w:color w:val="auto"/>
                <w:sz w:val="20"/>
                <w:szCs w:val="20"/>
              </w:rPr>
              <w:t>9</w:t>
            </w:r>
          </w:p>
        </w:tc>
        <w:tc>
          <w:tcPr>
            <w:tcW w:w="2596" w:type="dxa"/>
          </w:tcPr>
          <w:p w14:paraId="269C5A59" w14:textId="76BFC716" w:rsidR="0010457C" w:rsidRPr="00A54413" w:rsidRDefault="0010457C" w:rsidP="0010457C">
            <w:pPr>
              <w:jc w:val="left"/>
              <w:rPr>
                <w:rFonts w:ascii="Cambria" w:hAnsi="Cambria"/>
                <w:b/>
                <w:color w:val="auto"/>
                <w:sz w:val="20"/>
                <w:szCs w:val="20"/>
              </w:rPr>
            </w:pPr>
            <w:r w:rsidRPr="00A54413">
              <w:rPr>
                <w:rFonts w:ascii="Cambria" w:hAnsi="Cambria"/>
                <w:b/>
                <w:color w:val="auto"/>
                <w:sz w:val="20"/>
                <w:szCs w:val="20"/>
              </w:rPr>
              <w:t>Programme d'observateurs régionaux (paragraphes 101-107)</w:t>
            </w:r>
          </w:p>
        </w:tc>
        <w:tc>
          <w:tcPr>
            <w:tcW w:w="1766" w:type="dxa"/>
          </w:tcPr>
          <w:p w14:paraId="5742DB94" w14:textId="77777777" w:rsidR="0010457C" w:rsidRPr="00A54413" w:rsidRDefault="0010457C" w:rsidP="0010457C">
            <w:pPr>
              <w:jc w:val="left"/>
              <w:rPr>
                <w:rFonts w:ascii="Cambria" w:hAnsi="Cambria"/>
                <w:color w:val="auto"/>
                <w:sz w:val="20"/>
                <w:szCs w:val="20"/>
              </w:rPr>
            </w:pPr>
          </w:p>
        </w:tc>
        <w:tc>
          <w:tcPr>
            <w:tcW w:w="2268" w:type="dxa"/>
          </w:tcPr>
          <w:p w14:paraId="3AEE8F0A" w14:textId="77777777" w:rsidR="0010457C" w:rsidRPr="00A54413" w:rsidRDefault="0010457C" w:rsidP="0010457C">
            <w:pPr>
              <w:jc w:val="left"/>
              <w:rPr>
                <w:rFonts w:ascii="Cambria" w:hAnsi="Cambria"/>
                <w:color w:val="auto"/>
                <w:sz w:val="20"/>
                <w:szCs w:val="20"/>
              </w:rPr>
            </w:pPr>
          </w:p>
        </w:tc>
        <w:tc>
          <w:tcPr>
            <w:tcW w:w="1977" w:type="dxa"/>
          </w:tcPr>
          <w:p w14:paraId="6CF2370A" w14:textId="77777777" w:rsidR="0010457C" w:rsidRPr="00A54413" w:rsidRDefault="0010457C" w:rsidP="0010457C">
            <w:pPr>
              <w:jc w:val="left"/>
              <w:rPr>
                <w:rFonts w:ascii="Cambria" w:hAnsi="Cambria"/>
                <w:color w:val="auto"/>
                <w:sz w:val="20"/>
                <w:szCs w:val="20"/>
              </w:rPr>
            </w:pPr>
          </w:p>
        </w:tc>
      </w:tr>
      <w:tr w:rsidR="00E92EF1" w:rsidRPr="00A54413" w14:paraId="26F61B36" w14:textId="77777777" w:rsidTr="00C10ED5">
        <w:tc>
          <w:tcPr>
            <w:tcW w:w="453" w:type="dxa"/>
          </w:tcPr>
          <w:p w14:paraId="5C8B5FA5" w14:textId="770F8F32" w:rsidR="00E92EF1" w:rsidRPr="00A54413" w:rsidRDefault="00E92EF1" w:rsidP="0010457C">
            <w:pPr>
              <w:jc w:val="left"/>
              <w:rPr>
                <w:rFonts w:ascii="Cambria" w:hAnsi="Cambria"/>
                <w:b/>
                <w:bCs/>
                <w:iCs/>
                <w:color w:val="auto"/>
                <w:sz w:val="20"/>
                <w:szCs w:val="20"/>
              </w:rPr>
            </w:pPr>
            <w:r w:rsidRPr="00A54413">
              <w:rPr>
                <w:rFonts w:ascii="Cambria" w:hAnsi="Cambria"/>
                <w:b/>
                <w:bCs/>
                <w:iCs/>
                <w:color w:val="auto"/>
                <w:sz w:val="20"/>
                <w:szCs w:val="20"/>
              </w:rPr>
              <w:t>10</w:t>
            </w:r>
          </w:p>
        </w:tc>
        <w:tc>
          <w:tcPr>
            <w:tcW w:w="2596" w:type="dxa"/>
          </w:tcPr>
          <w:p w14:paraId="69E1156E" w14:textId="2E09CA62" w:rsidR="00E92EF1" w:rsidRPr="00A54413" w:rsidRDefault="00E92EF1" w:rsidP="0010457C">
            <w:pPr>
              <w:jc w:val="left"/>
              <w:rPr>
                <w:rFonts w:ascii="Cambria" w:hAnsi="Cambria"/>
                <w:b/>
                <w:bCs/>
                <w:iCs/>
                <w:color w:val="auto"/>
                <w:sz w:val="20"/>
                <w:szCs w:val="20"/>
              </w:rPr>
            </w:pPr>
            <w:r w:rsidRPr="00A54413">
              <w:rPr>
                <w:rFonts w:ascii="Cambria" w:hAnsi="Cambria"/>
                <w:b/>
                <w:bCs/>
                <w:iCs/>
                <w:color w:val="auto"/>
                <w:sz w:val="20"/>
                <w:szCs w:val="20"/>
              </w:rPr>
              <w:t>Législation nationale</w:t>
            </w:r>
          </w:p>
        </w:tc>
        <w:tc>
          <w:tcPr>
            <w:tcW w:w="1766" w:type="dxa"/>
          </w:tcPr>
          <w:p w14:paraId="7B000AA7" w14:textId="77777777" w:rsidR="00E92EF1" w:rsidRPr="00A54413" w:rsidRDefault="00E92EF1" w:rsidP="0010457C">
            <w:pPr>
              <w:jc w:val="left"/>
              <w:rPr>
                <w:rFonts w:ascii="Cambria" w:hAnsi="Cambria"/>
                <w:color w:val="auto"/>
                <w:sz w:val="20"/>
                <w:szCs w:val="20"/>
              </w:rPr>
            </w:pPr>
          </w:p>
        </w:tc>
        <w:tc>
          <w:tcPr>
            <w:tcW w:w="2268" w:type="dxa"/>
          </w:tcPr>
          <w:p w14:paraId="4BA5A5DF" w14:textId="77777777" w:rsidR="00E92EF1" w:rsidRPr="00A54413" w:rsidRDefault="00E92EF1" w:rsidP="0010457C">
            <w:pPr>
              <w:jc w:val="left"/>
              <w:rPr>
                <w:rFonts w:ascii="Cambria" w:hAnsi="Cambria"/>
                <w:color w:val="auto"/>
                <w:sz w:val="20"/>
                <w:szCs w:val="20"/>
              </w:rPr>
            </w:pPr>
          </w:p>
        </w:tc>
        <w:tc>
          <w:tcPr>
            <w:tcW w:w="1977" w:type="dxa"/>
          </w:tcPr>
          <w:p w14:paraId="2CD949EF" w14:textId="7EF986CD" w:rsidR="00E92EF1" w:rsidRPr="00A54413" w:rsidRDefault="00E1171D" w:rsidP="00430F82">
            <w:pPr>
              <w:rPr>
                <w:rFonts w:ascii="Cambria" w:hAnsi="Cambria"/>
                <w:color w:val="auto"/>
                <w:sz w:val="20"/>
                <w:szCs w:val="20"/>
              </w:rPr>
            </w:pPr>
            <w:r w:rsidRPr="00A54413">
              <w:rPr>
                <w:rFonts w:ascii="Cambria" w:hAnsi="Cambria"/>
                <w:color w:val="auto"/>
                <w:sz w:val="20"/>
                <w:szCs w:val="20"/>
              </w:rPr>
              <w:t>I</w:t>
            </w:r>
            <w:r w:rsidR="00E92EF1" w:rsidRPr="00A54413">
              <w:rPr>
                <w:rFonts w:ascii="Cambria" w:hAnsi="Cambria"/>
                <w:color w:val="auto"/>
                <w:sz w:val="20"/>
                <w:szCs w:val="20"/>
              </w:rPr>
              <w:t>ndiquer si les recommandations ont été transposées en droit interne et citer la législation pertinente</w:t>
            </w:r>
          </w:p>
        </w:tc>
      </w:tr>
      <w:tr w:rsidR="0010457C" w:rsidRPr="00A54413" w14:paraId="57FF3ACE" w14:textId="77777777" w:rsidTr="00C10ED5">
        <w:tc>
          <w:tcPr>
            <w:tcW w:w="453" w:type="dxa"/>
          </w:tcPr>
          <w:p w14:paraId="7B24A025" w14:textId="77777777" w:rsidR="0010457C" w:rsidRPr="00A54413" w:rsidRDefault="0010457C" w:rsidP="0010457C">
            <w:pPr>
              <w:jc w:val="left"/>
              <w:rPr>
                <w:rFonts w:ascii="Cambria" w:hAnsi="Cambria"/>
                <w:i/>
                <w:color w:val="auto"/>
                <w:sz w:val="20"/>
                <w:szCs w:val="20"/>
              </w:rPr>
            </w:pPr>
          </w:p>
        </w:tc>
        <w:tc>
          <w:tcPr>
            <w:tcW w:w="2596" w:type="dxa"/>
          </w:tcPr>
          <w:p w14:paraId="00EFAC45" w14:textId="77777777" w:rsidR="0010457C" w:rsidRPr="00A54413" w:rsidRDefault="0010457C" w:rsidP="00EB247C">
            <w:pPr>
              <w:rPr>
                <w:rFonts w:ascii="Cambria" w:hAnsi="Cambria"/>
                <w:i/>
                <w:color w:val="auto"/>
                <w:sz w:val="20"/>
                <w:szCs w:val="20"/>
              </w:rPr>
            </w:pPr>
            <w:r w:rsidRPr="00A54413">
              <w:rPr>
                <w:rFonts w:ascii="Cambria" w:hAnsi="Cambria"/>
                <w:i/>
                <w:color w:val="auto"/>
                <w:sz w:val="20"/>
                <w:szCs w:val="20"/>
              </w:rPr>
              <w:t>Autres exigences, telles que :</w:t>
            </w:r>
          </w:p>
          <w:p w14:paraId="4720A7F9" w14:textId="2DAE70DD" w:rsidR="0010457C" w:rsidRPr="00A54413" w:rsidRDefault="00423158" w:rsidP="0010457C">
            <w:pPr>
              <w:jc w:val="left"/>
              <w:rPr>
                <w:rFonts w:ascii="Cambria" w:hAnsi="Cambria"/>
                <w:i/>
                <w:color w:val="auto"/>
                <w:sz w:val="20"/>
                <w:szCs w:val="20"/>
              </w:rPr>
            </w:pPr>
            <w:proofErr w:type="gramStart"/>
            <w:r w:rsidRPr="00A54413">
              <w:rPr>
                <w:rFonts w:ascii="Cambria" w:hAnsi="Cambria"/>
                <w:i/>
                <w:color w:val="auto"/>
                <w:sz w:val="20"/>
                <w:szCs w:val="20"/>
              </w:rPr>
              <w:t>programme</w:t>
            </w:r>
            <w:proofErr w:type="gramEnd"/>
            <w:r w:rsidRPr="00A54413">
              <w:rPr>
                <w:rFonts w:ascii="Cambria" w:hAnsi="Cambria"/>
                <w:i/>
                <w:color w:val="auto"/>
                <w:sz w:val="20"/>
                <w:szCs w:val="20"/>
              </w:rPr>
              <w:t xml:space="preserve"> </w:t>
            </w:r>
            <w:r w:rsidR="0010457C" w:rsidRPr="00A54413">
              <w:rPr>
                <w:rFonts w:ascii="Cambria" w:hAnsi="Cambria"/>
                <w:i/>
                <w:color w:val="auto"/>
                <w:sz w:val="20"/>
                <w:szCs w:val="20"/>
              </w:rPr>
              <w:t>de marquage (paragraphe 44), etc.</w:t>
            </w:r>
          </w:p>
        </w:tc>
        <w:tc>
          <w:tcPr>
            <w:tcW w:w="1766" w:type="dxa"/>
          </w:tcPr>
          <w:p w14:paraId="4AD8D11A" w14:textId="77777777" w:rsidR="0010457C" w:rsidRPr="00A54413" w:rsidRDefault="0010457C" w:rsidP="0010457C">
            <w:pPr>
              <w:jc w:val="left"/>
              <w:rPr>
                <w:rFonts w:ascii="Cambria" w:hAnsi="Cambria"/>
                <w:color w:val="auto"/>
                <w:sz w:val="20"/>
                <w:szCs w:val="20"/>
              </w:rPr>
            </w:pPr>
          </w:p>
        </w:tc>
        <w:tc>
          <w:tcPr>
            <w:tcW w:w="2268" w:type="dxa"/>
          </w:tcPr>
          <w:p w14:paraId="7ADA9D85" w14:textId="77777777" w:rsidR="0010457C" w:rsidRPr="00A54413" w:rsidRDefault="0010457C" w:rsidP="0010457C">
            <w:pPr>
              <w:jc w:val="left"/>
              <w:rPr>
                <w:rFonts w:ascii="Cambria" w:hAnsi="Cambria"/>
                <w:color w:val="auto"/>
                <w:sz w:val="20"/>
                <w:szCs w:val="20"/>
              </w:rPr>
            </w:pPr>
          </w:p>
        </w:tc>
        <w:tc>
          <w:tcPr>
            <w:tcW w:w="1977" w:type="dxa"/>
          </w:tcPr>
          <w:p w14:paraId="2FD9F7AB" w14:textId="77777777" w:rsidR="0010457C" w:rsidRPr="00A54413" w:rsidRDefault="0010457C" w:rsidP="0010457C">
            <w:pPr>
              <w:jc w:val="left"/>
              <w:rPr>
                <w:rFonts w:ascii="Cambria" w:hAnsi="Cambria"/>
                <w:color w:val="auto"/>
                <w:sz w:val="20"/>
                <w:szCs w:val="20"/>
              </w:rPr>
            </w:pPr>
          </w:p>
        </w:tc>
      </w:tr>
    </w:tbl>
    <w:p w14:paraId="29D9D5B1" w14:textId="77777777" w:rsidR="00CC36DE" w:rsidRPr="00A54413" w:rsidRDefault="00CC36DE" w:rsidP="0010457C">
      <w:pPr>
        <w:jc w:val="left"/>
        <w:rPr>
          <w:rFonts w:ascii="Cambria" w:hAnsi="Cambria"/>
          <w:bCs/>
          <w:color w:val="auto"/>
          <w:sz w:val="20"/>
          <w:szCs w:val="20"/>
        </w:rPr>
      </w:pPr>
      <w:bookmarkStart w:id="0" w:name="_Hlk95288498"/>
    </w:p>
    <w:p w14:paraId="04A4F234" w14:textId="71674A59" w:rsidR="00CC36DE" w:rsidRPr="00A54413" w:rsidRDefault="00CC36DE" w:rsidP="0010457C">
      <w:pPr>
        <w:jc w:val="left"/>
        <w:rPr>
          <w:rFonts w:ascii="Cambria" w:hAnsi="Cambria"/>
          <w:b/>
          <w:i/>
          <w:iCs/>
          <w:color w:val="auto"/>
          <w:sz w:val="20"/>
          <w:szCs w:val="20"/>
        </w:rPr>
      </w:pPr>
      <w:r w:rsidRPr="00A54413">
        <w:rPr>
          <w:rFonts w:ascii="Cambria" w:hAnsi="Cambria"/>
          <w:b/>
          <w:i/>
          <w:iCs/>
          <w:color w:val="auto"/>
          <w:sz w:val="20"/>
          <w:szCs w:val="20"/>
        </w:rPr>
        <w:t>1e) Ports désignés</w:t>
      </w:r>
      <w:r w:rsidR="00C42927" w:rsidRPr="00A54413">
        <w:rPr>
          <w:rFonts w:ascii="Cambria" w:hAnsi="Cambria"/>
          <w:b/>
          <w:i/>
          <w:iCs/>
          <w:color w:val="auto"/>
          <w:sz w:val="20"/>
          <w:szCs w:val="20"/>
        </w:rPr>
        <w:t xml:space="preserve"> (paragraphe 80)</w:t>
      </w:r>
    </w:p>
    <w:p w14:paraId="5EB5EB91" w14:textId="77777777" w:rsidR="00C42927" w:rsidRPr="00A54413" w:rsidRDefault="00C42927" w:rsidP="0010457C">
      <w:pPr>
        <w:jc w:val="left"/>
        <w:rPr>
          <w:rFonts w:ascii="Cambria" w:hAnsi="Cambria"/>
          <w:color w:val="auto"/>
          <w:sz w:val="20"/>
          <w:szCs w:val="20"/>
        </w:rPr>
      </w:pPr>
    </w:p>
    <w:p w14:paraId="7BD5380D" w14:textId="229C3BFC" w:rsidR="0010457C" w:rsidRPr="00A54413" w:rsidRDefault="00CC36DE" w:rsidP="0010457C">
      <w:pPr>
        <w:jc w:val="left"/>
        <w:rPr>
          <w:rFonts w:ascii="Cambria" w:hAnsi="Cambria"/>
          <w:color w:val="auto"/>
          <w:sz w:val="20"/>
          <w:szCs w:val="20"/>
        </w:rPr>
      </w:pPr>
      <w:r w:rsidRPr="00A54413">
        <w:rPr>
          <w:rFonts w:ascii="Cambria" w:hAnsi="Cambria"/>
          <w:color w:val="auto"/>
          <w:sz w:val="20"/>
          <w:szCs w:val="20"/>
        </w:rPr>
        <w:t>Le plan doit être accompagné d'une liste des ports désignés pour le débarquement et le transbordement (à joindre à la dernière page du plan).</w:t>
      </w:r>
      <w:r w:rsidRPr="00A54413">
        <w:rPr>
          <w:rFonts w:ascii="Cambria" w:hAnsi="Cambria"/>
          <w:bCs/>
          <w:color w:val="auto"/>
          <w:sz w:val="20"/>
          <w:szCs w:val="20"/>
        </w:rPr>
        <w:t xml:space="preserve"> </w:t>
      </w:r>
      <w:r w:rsidRPr="00A54413">
        <w:rPr>
          <w:rFonts w:ascii="Cambria" w:hAnsi="Cambria"/>
          <w:color w:val="auto"/>
          <w:sz w:val="20"/>
          <w:szCs w:val="20"/>
        </w:rPr>
        <w:t>En outre, un formulaire CP24 doit être soumis avec le plan, sauf si des ports de tiers sont utilisés, auquel cas ceux-ci devraient être énumérés ici</w:t>
      </w:r>
      <w:r w:rsidR="00423158" w:rsidRPr="00A54413">
        <w:rPr>
          <w:rFonts w:ascii="Cambria" w:hAnsi="Cambria"/>
          <w:color w:val="auto"/>
          <w:sz w:val="20"/>
          <w:szCs w:val="20"/>
        </w:rPr>
        <w:t> :</w:t>
      </w:r>
    </w:p>
    <w:bookmarkEnd w:id="0"/>
    <w:p w14:paraId="5A27DD20" w14:textId="7136928A" w:rsidR="0010457C" w:rsidRPr="00A54413" w:rsidRDefault="0010457C" w:rsidP="00424D76">
      <w:pPr>
        <w:jc w:val="left"/>
        <w:rPr>
          <w:rFonts w:ascii="Cambria" w:hAnsi="Cambria"/>
          <w:b/>
          <w:color w:val="auto"/>
          <w:sz w:val="20"/>
          <w:szCs w:val="20"/>
          <w:lang w:eastAsia="ja-JP"/>
        </w:rPr>
      </w:pPr>
    </w:p>
    <w:p w14:paraId="55A09E1C" w14:textId="77777777" w:rsidR="00430F82" w:rsidRPr="00A54413" w:rsidRDefault="00430F82" w:rsidP="00424D76">
      <w:pPr>
        <w:jc w:val="left"/>
        <w:rPr>
          <w:rFonts w:ascii="Cambria" w:hAnsi="Cambria"/>
          <w:b/>
          <w:color w:val="auto"/>
          <w:sz w:val="20"/>
          <w:szCs w:val="20"/>
          <w:lang w:eastAsia="ja-JP"/>
        </w:rPr>
      </w:pPr>
    </w:p>
    <w:p w14:paraId="23577B76" w14:textId="291BD8EA" w:rsidR="00424D76" w:rsidRPr="00A54413" w:rsidRDefault="00424D76" w:rsidP="00430F82">
      <w:pPr>
        <w:ind w:left="426" w:hanging="426"/>
        <w:jc w:val="left"/>
        <w:rPr>
          <w:rFonts w:ascii="Cambria" w:hAnsi="Cambria"/>
          <w:b/>
          <w:color w:val="auto"/>
          <w:sz w:val="20"/>
          <w:szCs w:val="20"/>
        </w:rPr>
      </w:pPr>
      <w:r w:rsidRPr="00A54413">
        <w:rPr>
          <w:rFonts w:ascii="Cambria" w:hAnsi="Cambria"/>
          <w:b/>
          <w:color w:val="auto"/>
          <w:sz w:val="20"/>
          <w:szCs w:val="20"/>
        </w:rPr>
        <w:t>2.</w:t>
      </w:r>
      <w:r w:rsidR="00430F82" w:rsidRPr="00A54413">
        <w:rPr>
          <w:rFonts w:ascii="Cambria" w:hAnsi="Cambria"/>
          <w:b/>
          <w:color w:val="auto"/>
          <w:sz w:val="20"/>
          <w:szCs w:val="20"/>
        </w:rPr>
        <w:tab/>
      </w:r>
      <w:r w:rsidRPr="00A54413">
        <w:rPr>
          <w:rFonts w:ascii="Cambria" w:hAnsi="Cambria"/>
          <w:b/>
          <w:color w:val="auto"/>
          <w:sz w:val="20"/>
          <w:szCs w:val="20"/>
        </w:rPr>
        <w:t xml:space="preserve">Plan annuel de gestion de la capacité de pêche (paragraphes </w:t>
      </w:r>
      <w:r w:rsidR="00C42927" w:rsidRPr="00A54413">
        <w:rPr>
          <w:rFonts w:ascii="Cambria" w:hAnsi="Cambria"/>
          <w:b/>
          <w:color w:val="auto"/>
          <w:sz w:val="20"/>
          <w:szCs w:val="20"/>
        </w:rPr>
        <w:t>14</w:t>
      </w:r>
      <w:r w:rsidRPr="00A54413">
        <w:rPr>
          <w:rFonts w:ascii="Cambria" w:hAnsi="Cambria"/>
          <w:b/>
          <w:color w:val="auto"/>
          <w:sz w:val="20"/>
          <w:szCs w:val="20"/>
        </w:rPr>
        <w:t>-</w:t>
      </w:r>
      <w:r w:rsidR="00C42927" w:rsidRPr="00A54413">
        <w:rPr>
          <w:rFonts w:ascii="Cambria" w:hAnsi="Cambria"/>
          <w:b/>
          <w:color w:val="auto"/>
          <w:sz w:val="20"/>
          <w:szCs w:val="20"/>
        </w:rPr>
        <w:t>19</w:t>
      </w:r>
      <w:r w:rsidRPr="00A54413">
        <w:rPr>
          <w:rFonts w:ascii="Cambria" w:hAnsi="Cambria"/>
          <w:b/>
          <w:color w:val="auto"/>
          <w:sz w:val="20"/>
          <w:szCs w:val="20"/>
        </w:rPr>
        <w:t>)</w:t>
      </w:r>
    </w:p>
    <w:p w14:paraId="6E2835AE" w14:textId="77777777" w:rsidR="00424D76" w:rsidRPr="00A54413" w:rsidRDefault="00424D76" w:rsidP="00424D76">
      <w:pPr>
        <w:jc w:val="left"/>
        <w:rPr>
          <w:rFonts w:ascii="Cambria" w:hAnsi="Cambria"/>
          <w:b/>
          <w:color w:val="auto"/>
          <w:sz w:val="20"/>
          <w:szCs w:val="20"/>
        </w:rPr>
      </w:pPr>
    </w:p>
    <w:p w14:paraId="17A04FEC" w14:textId="77777777" w:rsidR="00424D76" w:rsidRPr="00A54413" w:rsidRDefault="00424D76" w:rsidP="00424D76">
      <w:pPr>
        <w:rPr>
          <w:rFonts w:ascii="Cambria" w:hAnsi="Cambria"/>
          <w:i/>
          <w:color w:val="auto"/>
          <w:sz w:val="20"/>
          <w:szCs w:val="20"/>
        </w:rPr>
      </w:pPr>
      <w:r w:rsidRPr="00A54413">
        <w:rPr>
          <w:rFonts w:ascii="Cambria" w:hAnsi="Cambria"/>
          <w:i/>
          <w:color w:val="auto"/>
          <w:sz w:val="20"/>
          <w:szCs w:val="20"/>
        </w:rPr>
        <w:t>Chaque CPC indiquera le nombre de navires de pêche et la capacité de pêche correspondante dans le modèle fourni par le Secrétariat (ci-joint).</w:t>
      </w:r>
    </w:p>
    <w:p w14:paraId="66AD3BA3" w14:textId="49166406" w:rsidR="00424D76" w:rsidRPr="00A54413" w:rsidRDefault="00424D76" w:rsidP="00424D76">
      <w:pPr>
        <w:rPr>
          <w:rFonts w:ascii="Cambria" w:hAnsi="Cambria"/>
          <w:i/>
          <w:color w:val="auto"/>
          <w:sz w:val="20"/>
          <w:szCs w:val="20"/>
          <w:lang w:eastAsia="ja-JP"/>
        </w:rPr>
      </w:pPr>
    </w:p>
    <w:p w14:paraId="7B0813DE" w14:textId="2E47E1D0" w:rsidR="00A80DE3" w:rsidRPr="00A54413" w:rsidRDefault="00A80DE3" w:rsidP="00424D76">
      <w:pPr>
        <w:rPr>
          <w:rFonts w:ascii="Cambria" w:hAnsi="Cambria"/>
          <w:iCs/>
          <w:color w:val="auto"/>
          <w:sz w:val="20"/>
          <w:szCs w:val="20"/>
        </w:rPr>
      </w:pPr>
      <w:r w:rsidRPr="00A54413">
        <w:rPr>
          <w:rFonts w:ascii="Cambria" w:hAnsi="Cambria"/>
          <w:iCs/>
          <w:color w:val="auto"/>
          <w:sz w:val="20"/>
          <w:szCs w:val="20"/>
        </w:rPr>
        <w:t>En cas d'augmentation importante de la capacité au cours des dernières années, une brève explication doit être fournie ici.</w:t>
      </w:r>
    </w:p>
    <w:p w14:paraId="7F48647F" w14:textId="0DDE7A42" w:rsidR="00430F82" w:rsidRPr="00A54413" w:rsidRDefault="00430F82" w:rsidP="00424D76">
      <w:pPr>
        <w:rPr>
          <w:rFonts w:ascii="Cambria" w:hAnsi="Cambria"/>
          <w:i/>
          <w:color w:val="auto"/>
          <w:sz w:val="20"/>
          <w:szCs w:val="20"/>
          <w:lang w:eastAsia="ja-JP"/>
        </w:rPr>
      </w:pPr>
    </w:p>
    <w:p w14:paraId="2B04E08A" w14:textId="77777777" w:rsidR="00430F82" w:rsidRPr="00A54413" w:rsidRDefault="00430F82" w:rsidP="00424D76">
      <w:pPr>
        <w:rPr>
          <w:rFonts w:ascii="Cambria" w:hAnsi="Cambria"/>
          <w:i/>
          <w:color w:val="auto"/>
          <w:sz w:val="20"/>
          <w:szCs w:val="20"/>
          <w:lang w:eastAsia="ja-JP"/>
        </w:rPr>
      </w:pPr>
    </w:p>
    <w:p w14:paraId="34539E33" w14:textId="77777777" w:rsidR="00C42927" w:rsidRPr="00A54413" w:rsidRDefault="00C42927">
      <w:pPr>
        <w:widowControl/>
        <w:jc w:val="left"/>
        <w:rPr>
          <w:rFonts w:ascii="Cambria" w:hAnsi="Cambria"/>
          <w:b/>
          <w:color w:val="auto"/>
          <w:sz w:val="20"/>
          <w:szCs w:val="20"/>
        </w:rPr>
      </w:pPr>
      <w:r w:rsidRPr="00A54413">
        <w:rPr>
          <w:rFonts w:ascii="Cambria" w:hAnsi="Cambria"/>
          <w:b/>
          <w:color w:val="auto"/>
          <w:sz w:val="20"/>
          <w:szCs w:val="20"/>
        </w:rPr>
        <w:br w:type="page"/>
      </w:r>
    </w:p>
    <w:p w14:paraId="4501711E" w14:textId="0D3CDC18" w:rsidR="00424D76" w:rsidRPr="00A54413" w:rsidRDefault="00424D76" w:rsidP="00430F82">
      <w:pPr>
        <w:ind w:left="426" w:hanging="426"/>
        <w:rPr>
          <w:rFonts w:ascii="Cambria" w:hAnsi="Cambria"/>
          <w:b/>
          <w:color w:val="auto"/>
          <w:sz w:val="20"/>
          <w:szCs w:val="20"/>
        </w:rPr>
      </w:pPr>
      <w:r w:rsidRPr="00A54413">
        <w:rPr>
          <w:rFonts w:ascii="Cambria" w:hAnsi="Cambria"/>
          <w:b/>
          <w:color w:val="auto"/>
          <w:sz w:val="20"/>
          <w:szCs w:val="20"/>
        </w:rPr>
        <w:lastRenderedPageBreak/>
        <w:t>3.</w:t>
      </w:r>
      <w:r w:rsidR="00430F82" w:rsidRPr="00A54413">
        <w:rPr>
          <w:rFonts w:ascii="Cambria" w:hAnsi="Cambria"/>
          <w:b/>
          <w:color w:val="auto"/>
          <w:sz w:val="20"/>
          <w:szCs w:val="20"/>
        </w:rPr>
        <w:tab/>
      </w:r>
      <w:r w:rsidRPr="00A54413">
        <w:rPr>
          <w:rFonts w:ascii="Cambria" w:hAnsi="Cambria"/>
          <w:b/>
          <w:color w:val="auto"/>
          <w:sz w:val="20"/>
          <w:szCs w:val="20"/>
        </w:rPr>
        <w:t xml:space="preserve">Plan annuel de gestion de l’élevage (paragraphes </w:t>
      </w:r>
      <w:r w:rsidR="00C42927" w:rsidRPr="00A54413">
        <w:rPr>
          <w:rFonts w:ascii="Cambria" w:hAnsi="Cambria"/>
          <w:b/>
          <w:color w:val="auto"/>
          <w:sz w:val="20"/>
          <w:szCs w:val="20"/>
        </w:rPr>
        <w:t>20 et</w:t>
      </w:r>
      <w:r w:rsidRPr="00A54413">
        <w:rPr>
          <w:rFonts w:ascii="Cambria" w:hAnsi="Cambria"/>
          <w:b/>
          <w:color w:val="auto"/>
          <w:sz w:val="20"/>
          <w:szCs w:val="20"/>
        </w:rPr>
        <w:t xml:space="preserve"> </w:t>
      </w:r>
      <w:r w:rsidR="005B24D2" w:rsidRPr="00A54413">
        <w:rPr>
          <w:rFonts w:ascii="Cambria" w:hAnsi="Cambria"/>
          <w:b/>
          <w:color w:val="auto"/>
          <w:sz w:val="20"/>
          <w:szCs w:val="20"/>
        </w:rPr>
        <w:t>23</w:t>
      </w:r>
      <w:r w:rsidR="00C42927" w:rsidRPr="00A54413">
        <w:rPr>
          <w:rFonts w:ascii="Cambria" w:hAnsi="Cambria"/>
          <w:b/>
          <w:color w:val="auto"/>
          <w:sz w:val="20"/>
          <w:szCs w:val="20"/>
        </w:rPr>
        <w:t xml:space="preserve"> de la </w:t>
      </w:r>
      <w:hyperlink r:id="rId9" w:history="1">
        <w:r w:rsidR="00C42927" w:rsidRPr="00A54413">
          <w:rPr>
            <w:rStyle w:val="Hyperlink"/>
            <w:rFonts w:ascii="Cambria" w:hAnsi="Cambria"/>
            <w:b/>
            <w:sz w:val="20"/>
            <w:szCs w:val="20"/>
            <w:u w:val="none"/>
          </w:rPr>
          <w:t>Rec. 23-06</w:t>
        </w:r>
      </w:hyperlink>
      <w:r w:rsidR="00C42927" w:rsidRPr="00A54413">
        <w:rPr>
          <w:rFonts w:ascii="Cambria" w:hAnsi="Cambria"/>
          <w:b/>
          <w:color w:val="auto"/>
          <w:sz w:val="20"/>
          <w:szCs w:val="20"/>
        </w:rPr>
        <w:t>)</w:t>
      </w:r>
      <w:r w:rsidRPr="00A54413">
        <w:rPr>
          <w:rFonts w:ascii="Cambria" w:hAnsi="Cambria"/>
          <w:b/>
          <w:color w:val="auto"/>
          <w:sz w:val="20"/>
          <w:szCs w:val="20"/>
        </w:rPr>
        <w:t>, le cas échéant</w:t>
      </w:r>
    </w:p>
    <w:p w14:paraId="635D56AD" w14:textId="77777777" w:rsidR="00424D76" w:rsidRPr="00A54413" w:rsidRDefault="00424D76" w:rsidP="00424D76">
      <w:pPr>
        <w:rPr>
          <w:rFonts w:ascii="Cambria" w:hAnsi="Cambria"/>
          <w:b/>
          <w:color w:val="auto"/>
          <w:sz w:val="20"/>
          <w:szCs w:val="20"/>
        </w:rPr>
      </w:pPr>
    </w:p>
    <w:p w14:paraId="54AFD869" w14:textId="1BEF7C11" w:rsidR="00424D76" w:rsidRPr="00A54413" w:rsidRDefault="004307C3" w:rsidP="00424D76">
      <w:pPr>
        <w:rPr>
          <w:rFonts w:ascii="Cambria" w:hAnsi="Cambria"/>
          <w:i/>
          <w:sz w:val="20"/>
          <w:szCs w:val="20"/>
        </w:rPr>
      </w:pPr>
      <w:r w:rsidRPr="00A54413">
        <w:rPr>
          <w:rFonts w:ascii="Cambria" w:hAnsi="Cambria"/>
          <w:sz w:val="20"/>
          <w:szCs w:val="20"/>
        </w:rPr>
        <w:t xml:space="preserve">Chaque CPC d’élevage devra établir un plan annuel de gestion de l’élevage. Ce plan devra démontrer que la capacité totale d’entrée et la capacité totale d’élevage sont proportionnelles à la quantité estimée de thon rouge disponible à des fins d'élevage, y compris les informations mentionnées aux paragraphes </w:t>
      </w:r>
      <w:r w:rsidR="00C42927" w:rsidRPr="00A54413">
        <w:rPr>
          <w:rFonts w:ascii="Cambria" w:hAnsi="Cambria"/>
          <w:sz w:val="20"/>
          <w:szCs w:val="20"/>
        </w:rPr>
        <w:t>20</w:t>
      </w:r>
      <w:r w:rsidRPr="00A54413">
        <w:rPr>
          <w:rFonts w:ascii="Cambria" w:hAnsi="Cambria"/>
          <w:sz w:val="20"/>
          <w:szCs w:val="20"/>
        </w:rPr>
        <w:t xml:space="preserve"> et </w:t>
      </w:r>
      <w:r w:rsidR="00C42927" w:rsidRPr="00A54413">
        <w:rPr>
          <w:rFonts w:ascii="Cambria" w:hAnsi="Cambria"/>
          <w:sz w:val="20"/>
          <w:szCs w:val="20"/>
        </w:rPr>
        <w:t xml:space="preserve">23 de la </w:t>
      </w:r>
      <w:hyperlink r:id="rId10" w:history="1">
        <w:r w:rsidR="00C42927" w:rsidRPr="00A54413">
          <w:rPr>
            <w:rStyle w:val="Hyperlink"/>
            <w:rFonts w:ascii="Cambria" w:hAnsi="Cambria"/>
            <w:sz w:val="20"/>
            <w:szCs w:val="20"/>
            <w:u w:val="none"/>
          </w:rPr>
          <w:t>Rec. 23-06</w:t>
        </w:r>
      </w:hyperlink>
      <w:r w:rsidRPr="00A54413">
        <w:rPr>
          <w:rFonts w:ascii="Cambria" w:hAnsi="Cambria"/>
          <w:sz w:val="20"/>
          <w:szCs w:val="20"/>
        </w:rPr>
        <w:t>. La Commission devra s’assurer que la capacité totale d’élevage dans l’Atlantique Est et en Méditerranée est proportionnelle à la quantité totale de thon rouge disponible à des fins d’élevage dans la zone.</w:t>
      </w:r>
    </w:p>
    <w:p w14:paraId="00593E31" w14:textId="5E2ACD69" w:rsidR="00060C4D" w:rsidRPr="00A54413" w:rsidRDefault="00060C4D">
      <w:pPr>
        <w:widowControl/>
        <w:jc w:val="left"/>
        <w:rPr>
          <w:rFonts w:ascii="Cambria" w:hAnsi="Cambria"/>
          <w:sz w:val="20"/>
          <w:szCs w:val="20"/>
        </w:rPr>
      </w:pPr>
    </w:p>
    <w:p w14:paraId="2237DF2F" w14:textId="640A75E2" w:rsidR="00430F82" w:rsidRPr="00A54413" w:rsidRDefault="004307C3" w:rsidP="005B24D2">
      <w:pPr>
        <w:rPr>
          <w:rFonts w:ascii="Cambria" w:hAnsi="Cambria"/>
          <w:color w:val="auto"/>
          <w:sz w:val="20"/>
          <w:szCs w:val="20"/>
        </w:rPr>
      </w:pPr>
      <w:r w:rsidRPr="00A54413">
        <w:rPr>
          <w:rFonts w:ascii="Cambria" w:hAnsi="Cambria"/>
          <w:sz w:val="20"/>
          <w:szCs w:val="20"/>
        </w:rPr>
        <w:t>Cette section devrait inclure tout</w:t>
      </w:r>
      <w:r w:rsidR="00FB7D34" w:rsidRPr="00A54413">
        <w:rPr>
          <w:rFonts w:ascii="Cambria" w:hAnsi="Cambria"/>
          <w:sz w:val="20"/>
          <w:szCs w:val="20"/>
        </w:rPr>
        <w:t>e</w:t>
      </w:r>
      <w:r w:rsidRPr="00A54413">
        <w:rPr>
          <w:rFonts w:ascii="Cambria" w:hAnsi="Cambria"/>
          <w:sz w:val="20"/>
          <w:szCs w:val="20"/>
        </w:rPr>
        <w:t xml:space="preserve"> information pertinente sur la mise en œuvre des paragraphes 140-218 de la </w:t>
      </w:r>
      <w:hyperlink r:id="rId11" w:history="1">
        <w:r w:rsidRPr="00A54413">
          <w:rPr>
            <w:rStyle w:val="Hyperlink"/>
            <w:rFonts w:ascii="Cambria" w:hAnsi="Cambria"/>
            <w:sz w:val="20"/>
            <w:szCs w:val="20"/>
            <w:u w:val="none"/>
          </w:rPr>
          <w:t>Rec. 22-08</w:t>
        </w:r>
      </w:hyperlink>
      <w:r w:rsidRPr="00A54413">
        <w:rPr>
          <w:rFonts w:ascii="Cambria" w:hAnsi="Cambria"/>
          <w:color w:val="auto"/>
          <w:sz w:val="20"/>
          <w:szCs w:val="20"/>
        </w:rPr>
        <w:t xml:space="preserve"> et indiquer le nombre minimum de contrôles aléatoires à effectuer dans chaque ferme.</w:t>
      </w:r>
    </w:p>
    <w:p w14:paraId="33DA4586" w14:textId="77777777" w:rsidR="00C10ED5" w:rsidRPr="00A54413" w:rsidRDefault="00C10ED5" w:rsidP="005B24D2">
      <w:pPr>
        <w:rPr>
          <w:rFonts w:ascii="Cambria" w:hAnsi="Cambria"/>
          <w:color w:val="auto"/>
          <w:sz w:val="20"/>
          <w:szCs w:val="20"/>
        </w:rPr>
      </w:pPr>
    </w:p>
    <w:p w14:paraId="2C8C07B8" w14:textId="77777777" w:rsidR="00C10ED5" w:rsidRPr="00A54413" w:rsidRDefault="00C10ED5" w:rsidP="005B24D2">
      <w:pPr>
        <w:rPr>
          <w:rFonts w:ascii="Cambria" w:hAnsi="Cambria"/>
          <w:b/>
          <w:color w:val="auto"/>
          <w:sz w:val="20"/>
          <w:szCs w:val="20"/>
        </w:rPr>
      </w:pPr>
    </w:p>
    <w:p w14:paraId="421B200A" w14:textId="6D06354E" w:rsidR="0028779B" w:rsidRPr="00A54413" w:rsidRDefault="00424D76" w:rsidP="00430F82">
      <w:pPr>
        <w:ind w:left="426" w:hanging="426"/>
        <w:jc w:val="left"/>
        <w:rPr>
          <w:rFonts w:ascii="Cambria" w:hAnsi="Cambria"/>
          <w:b/>
          <w:color w:val="auto"/>
          <w:sz w:val="20"/>
          <w:szCs w:val="20"/>
        </w:rPr>
      </w:pPr>
      <w:r w:rsidRPr="00A54413">
        <w:rPr>
          <w:rFonts w:ascii="Cambria" w:hAnsi="Cambria"/>
          <w:b/>
          <w:color w:val="auto"/>
          <w:sz w:val="20"/>
          <w:szCs w:val="20"/>
        </w:rPr>
        <w:t xml:space="preserve">4. </w:t>
      </w:r>
      <w:r w:rsidR="00430F82" w:rsidRPr="00A54413">
        <w:rPr>
          <w:rFonts w:ascii="Cambria" w:hAnsi="Cambria"/>
          <w:b/>
          <w:color w:val="auto"/>
          <w:sz w:val="20"/>
          <w:szCs w:val="20"/>
        </w:rPr>
        <w:tab/>
      </w:r>
      <w:r w:rsidRPr="00A54413">
        <w:rPr>
          <w:rFonts w:ascii="Cambria" w:hAnsi="Cambria"/>
          <w:b/>
          <w:color w:val="auto"/>
          <w:sz w:val="20"/>
          <w:szCs w:val="20"/>
        </w:rPr>
        <w:t>Plan de suivi, contrôle et inspection</w:t>
      </w:r>
    </w:p>
    <w:p w14:paraId="25A8E8FD" w14:textId="77777777" w:rsidR="0028779B" w:rsidRPr="00A54413" w:rsidRDefault="0028779B" w:rsidP="0028779B">
      <w:pPr>
        <w:jc w:val="left"/>
        <w:rPr>
          <w:rFonts w:ascii="Cambria" w:hAnsi="Cambria"/>
          <w:b/>
          <w:color w:val="auto"/>
          <w:sz w:val="20"/>
          <w:szCs w:val="20"/>
        </w:rPr>
      </w:pPr>
    </w:p>
    <w:p w14:paraId="5BFF0514" w14:textId="54E3285F" w:rsidR="0028779B" w:rsidRPr="00A54413" w:rsidRDefault="0028779B" w:rsidP="0028779B">
      <w:pPr>
        <w:jc w:val="left"/>
        <w:rPr>
          <w:rFonts w:ascii="Cambria" w:hAnsi="Cambria"/>
          <w:b/>
          <w:i/>
          <w:iCs/>
          <w:color w:val="auto"/>
          <w:sz w:val="20"/>
          <w:szCs w:val="20"/>
        </w:rPr>
      </w:pPr>
      <w:r w:rsidRPr="00A54413">
        <w:rPr>
          <w:rFonts w:ascii="Cambria" w:hAnsi="Cambria"/>
          <w:b/>
          <w:i/>
          <w:iCs/>
          <w:color w:val="auto"/>
          <w:sz w:val="20"/>
          <w:szCs w:val="20"/>
        </w:rPr>
        <w:t xml:space="preserve">a) Suivi, contrôle et inspection de la CPC (paragraphe </w:t>
      </w:r>
      <w:r w:rsidR="00C42927" w:rsidRPr="00A54413">
        <w:rPr>
          <w:rFonts w:ascii="Cambria" w:hAnsi="Cambria"/>
          <w:b/>
          <w:i/>
          <w:iCs/>
          <w:color w:val="auto"/>
          <w:sz w:val="20"/>
          <w:szCs w:val="20"/>
        </w:rPr>
        <w:t>10</w:t>
      </w:r>
      <w:r w:rsidRPr="00A54413">
        <w:rPr>
          <w:rFonts w:ascii="Cambria" w:hAnsi="Cambria"/>
          <w:b/>
          <w:i/>
          <w:iCs/>
          <w:color w:val="auto"/>
          <w:sz w:val="20"/>
          <w:szCs w:val="20"/>
        </w:rPr>
        <w:t xml:space="preserve"> c)</w:t>
      </w:r>
    </w:p>
    <w:p w14:paraId="5F4316DE" w14:textId="77777777" w:rsidR="00036CE4" w:rsidRPr="00A54413" w:rsidRDefault="00036CE4" w:rsidP="0028779B">
      <w:pPr>
        <w:jc w:val="left"/>
        <w:rPr>
          <w:rFonts w:ascii="Cambria" w:hAnsi="Cambria"/>
          <w:sz w:val="20"/>
          <w:szCs w:val="20"/>
        </w:rPr>
      </w:pPr>
    </w:p>
    <w:p w14:paraId="36E37E6E" w14:textId="6BA5A10E" w:rsidR="00FF0DC4" w:rsidRPr="00A54413" w:rsidRDefault="00FF0DC4" w:rsidP="00036CE4">
      <w:pPr>
        <w:rPr>
          <w:rFonts w:ascii="Cambria" w:hAnsi="Cambria"/>
          <w:sz w:val="20"/>
          <w:szCs w:val="20"/>
        </w:rPr>
      </w:pPr>
      <w:r w:rsidRPr="00A54413">
        <w:rPr>
          <w:rFonts w:ascii="Cambria" w:hAnsi="Cambria"/>
          <w:sz w:val="20"/>
          <w:szCs w:val="20"/>
        </w:rPr>
        <w:t>Le plan de suivi, de contrôle et d’inspection devrait garantir l’application des dispositions de cette Recommandation. Ce plan devra indiquer également l'autorité compétente de contrôle et la liste des points de contact de la CPC désignés comme responsables de la mise en œuvre dudit plan de suivi, contrôle et inspection.</w:t>
      </w:r>
    </w:p>
    <w:p w14:paraId="0EF3BAAE" w14:textId="77777777" w:rsidR="0012001E" w:rsidRPr="00A54413" w:rsidRDefault="0012001E" w:rsidP="006D304E">
      <w:pPr>
        <w:rPr>
          <w:rFonts w:ascii="Cambria" w:hAnsi="Cambria"/>
          <w:b/>
          <w:color w:val="auto"/>
          <w:sz w:val="20"/>
          <w:szCs w:val="20"/>
        </w:rPr>
      </w:pPr>
    </w:p>
    <w:p w14:paraId="6172C1EE" w14:textId="756A3AB0" w:rsidR="0028779B" w:rsidRPr="00A54413" w:rsidRDefault="0028779B" w:rsidP="0028779B">
      <w:pPr>
        <w:rPr>
          <w:rFonts w:ascii="Cambria" w:hAnsi="Cambria"/>
          <w:i/>
          <w:color w:val="auto"/>
          <w:sz w:val="20"/>
          <w:szCs w:val="20"/>
        </w:rPr>
      </w:pPr>
      <w:r w:rsidRPr="00A54413">
        <w:rPr>
          <w:rFonts w:ascii="Cambria" w:hAnsi="Cambria"/>
          <w:i/>
          <w:color w:val="auto"/>
          <w:sz w:val="20"/>
          <w:szCs w:val="20"/>
        </w:rPr>
        <w:t>Chaque CPC fournira des informations sur son plan de suivi, de contrôle et d'inspection et inclura toute information non répertoriée ci-dessus, y compris, le cas échéant, des informations sur les contrôles des transferts de poissons vivants (paragraphes 108-139).</w:t>
      </w:r>
    </w:p>
    <w:p w14:paraId="0A86B65C" w14:textId="77777777" w:rsidR="0028779B" w:rsidRPr="00A54413" w:rsidRDefault="0028779B" w:rsidP="0028779B">
      <w:pPr>
        <w:jc w:val="left"/>
        <w:rPr>
          <w:rFonts w:ascii="Cambria" w:hAnsi="Cambria"/>
          <w:color w:val="auto"/>
          <w:sz w:val="20"/>
          <w:szCs w:val="20"/>
        </w:rPr>
      </w:pPr>
    </w:p>
    <w:p w14:paraId="6D0E944D" w14:textId="4AD8583B" w:rsidR="0028779B" w:rsidRPr="00A54413" w:rsidRDefault="0028779B" w:rsidP="0028779B">
      <w:pPr>
        <w:jc w:val="left"/>
        <w:rPr>
          <w:rFonts w:ascii="Cambria" w:hAnsi="Cambria"/>
          <w:b/>
          <w:i/>
          <w:iCs/>
          <w:color w:val="auto"/>
          <w:sz w:val="20"/>
          <w:szCs w:val="20"/>
        </w:rPr>
      </w:pPr>
      <w:r w:rsidRPr="00A54413">
        <w:rPr>
          <w:rFonts w:ascii="Cambria" w:hAnsi="Cambria"/>
          <w:b/>
          <w:i/>
          <w:iCs/>
          <w:color w:val="auto"/>
          <w:sz w:val="20"/>
          <w:szCs w:val="20"/>
        </w:rPr>
        <w:t xml:space="preserve">b) Programme d’inspection internationale conjointe </w:t>
      </w:r>
      <w:r w:rsidR="00C10ED5" w:rsidRPr="00A54413">
        <w:rPr>
          <w:rFonts w:ascii="Cambria" w:hAnsi="Cambria"/>
          <w:b/>
          <w:i/>
          <w:iCs/>
          <w:color w:val="auto"/>
          <w:sz w:val="20"/>
          <w:szCs w:val="20"/>
        </w:rPr>
        <w:t xml:space="preserve">(JIS) </w:t>
      </w:r>
      <w:r w:rsidRPr="00A54413">
        <w:rPr>
          <w:rFonts w:ascii="Cambria" w:hAnsi="Cambria"/>
          <w:b/>
          <w:i/>
          <w:iCs/>
          <w:color w:val="auto"/>
          <w:sz w:val="20"/>
          <w:szCs w:val="20"/>
        </w:rPr>
        <w:t>(paragraphes 229-232)</w:t>
      </w:r>
    </w:p>
    <w:p w14:paraId="25296B97" w14:textId="77777777" w:rsidR="00C94C2D" w:rsidRPr="00A54413" w:rsidRDefault="00C94C2D" w:rsidP="0028779B">
      <w:pPr>
        <w:jc w:val="left"/>
        <w:rPr>
          <w:rFonts w:ascii="Cambria" w:hAnsi="Cambria"/>
          <w:b/>
          <w:i/>
          <w:iCs/>
          <w:color w:val="auto"/>
          <w:sz w:val="20"/>
          <w:szCs w:val="20"/>
        </w:rPr>
      </w:pPr>
    </w:p>
    <w:p w14:paraId="4CCACDC4" w14:textId="09B06EA7" w:rsidR="00630543" w:rsidRPr="00A54413" w:rsidRDefault="0028779B" w:rsidP="00BE5524">
      <w:pPr>
        <w:rPr>
          <w:rFonts w:ascii="Cambria" w:hAnsi="Cambria"/>
          <w:i/>
          <w:color w:val="auto"/>
          <w:sz w:val="20"/>
          <w:szCs w:val="20"/>
        </w:rPr>
      </w:pPr>
      <w:r w:rsidRPr="00A54413">
        <w:rPr>
          <w:rFonts w:ascii="Cambria" w:hAnsi="Cambria"/>
          <w:i/>
          <w:color w:val="auto"/>
          <w:sz w:val="20"/>
          <w:szCs w:val="20"/>
        </w:rPr>
        <w:t xml:space="preserve">Chaque CPC apportera des informations au sujet des inspections internationales conjointes mises en œuvre conformément aux paragraphes 229-232 de la </w:t>
      </w:r>
      <w:hyperlink r:id="rId12" w:history="1">
        <w:r w:rsidRPr="00A54413">
          <w:rPr>
            <w:rStyle w:val="Hyperlink"/>
            <w:rFonts w:ascii="Cambria" w:hAnsi="Cambria"/>
            <w:i/>
            <w:sz w:val="20"/>
            <w:szCs w:val="20"/>
            <w:u w:val="none"/>
          </w:rPr>
          <w:t>Rec. 22-08</w:t>
        </w:r>
      </w:hyperlink>
      <w:r w:rsidRPr="00A54413">
        <w:rPr>
          <w:rFonts w:ascii="Cambria" w:hAnsi="Cambria"/>
          <w:i/>
          <w:color w:val="auto"/>
          <w:sz w:val="20"/>
          <w:szCs w:val="20"/>
        </w:rPr>
        <w:t xml:space="preserve"> et de l’annexe 7 (le cas échéant). Remarque : les CPC ayant plus de 15 senneurs doivent adhérer au JIS, sauf si le plan mentionne </w:t>
      </w:r>
      <w:r w:rsidR="00A15891" w:rsidRPr="00A54413">
        <w:rPr>
          <w:rFonts w:ascii="Cambria" w:hAnsi="Cambria"/>
          <w:i/>
          <w:color w:val="auto"/>
          <w:sz w:val="20"/>
          <w:szCs w:val="20"/>
        </w:rPr>
        <w:t>le recours à</w:t>
      </w:r>
      <w:r w:rsidRPr="00A54413">
        <w:rPr>
          <w:rFonts w:ascii="Cambria" w:hAnsi="Cambria"/>
          <w:i/>
          <w:color w:val="auto"/>
          <w:sz w:val="20"/>
          <w:szCs w:val="20"/>
        </w:rPr>
        <w:t xml:space="preserve"> la dérogation du paragraphe 231.</w:t>
      </w:r>
    </w:p>
    <w:p w14:paraId="7DAA456E" w14:textId="5479CCA3" w:rsidR="0012001E" w:rsidRPr="00A54413" w:rsidRDefault="0012001E" w:rsidP="00BE5524">
      <w:pPr>
        <w:rPr>
          <w:rFonts w:ascii="Cambria" w:hAnsi="Cambria"/>
          <w:i/>
          <w:color w:val="auto"/>
          <w:sz w:val="20"/>
          <w:szCs w:val="20"/>
        </w:rPr>
      </w:pPr>
    </w:p>
    <w:p w14:paraId="5FAC7CC1" w14:textId="77777777" w:rsidR="00430F82" w:rsidRPr="00A54413" w:rsidRDefault="00430F82" w:rsidP="00BE5524">
      <w:pPr>
        <w:rPr>
          <w:rFonts w:ascii="Cambria" w:hAnsi="Cambria"/>
          <w:i/>
          <w:color w:val="auto"/>
          <w:sz w:val="20"/>
          <w:szCs w:val="20"/>
        </w:rPr>
      </w:pPr>
    </w:p>
    <w:p w14:paraId="33E20430" w14:textId="10FD590E" w:rsidR="00630543" w:rsidRPr="00A54413" w:rsidRDefault="00630543" w:rsidP="00430F82">
      <w:pPr>
        <w:ind w:left="426" w:hanging="426"/>
        <w:rPr>
          <w:rFonts w:ascii="Cambria" w:hAnsi="Cambria"/>
          <w:b/>
          <w:color w:val="auto"/>
          <w:sz w:val="20"/>
          <w:szCs w:val="20"/>
        </w:rPr>
      </w:pPr>
      <w:r w:rsidRPr="00A54413">
        <w:rPr>
          <w:rFonts w:ascii="Cambria" w:hAnsi="Cambria"/>
          <w:b/>
          <w:color w:val="auto"/>
          <w:sz w:val="20"/>
          <w:szCs w:val="20"/>
        </w:rPr>
        <w:t>5.</w:t>
      </w:r>
      <w:r w:rsidR="00430F82" w:rsidRPr="00A54413">
        <w:rPr>
          <w:rFonts w:ascii="Cambria" w:hAnsi="Cambria"/>
          <w:b/>
          <w:color w:val="auto"/>
          <w:sz w:val="20"/>
          <w:szCs w:val="20"/>
        </w:rPr>
        <w:tab/>
      </w:r>
      <w:r w:rsidRPr="00A54413">
        <w:rPr>
          <w:rFonts w:ascii="Cambria" w:hAnsi="Cambria"/>
          <w:b/>
          <w:color w:val="auto"/>
          <w:sz w:val="20"/>
          <w:szCs w:val="20"/>
        </w:rPr>
        <w:t>Autres</w:t>
      </w:r>
    </w:p>
    <w:p w14:paraId="56FE25E3" w14:textId="77777777" w:rsidR="0012001E" w:rsidRPr="00A54413" w:rsidRDefault="0012001E" w:rsidP="00630543">
      <w:pPr>
        <w:rPr>
          <w:rFonts w:ascii="Cambria" w:hAnsi="Cambria"/>
          <w:b/>
          <w:color w:val="auto"/>
          <w:sz w:val="20"/>
          <w:szCs w:val="20"/>
        </w:rPr>
      </w:pPr>
    </w:p>
    <w:p w14:paraId="5F67E492" w14:textId="00C76D60" w:rsidR="0028779B" w:rsidRPr="00A54413" w:rsidRDefault="00630543" w:rsidP="00630543">
      <w:pPr>
        <w:rPr>
          <w:rFonts w:ascii="Cambria" w:hAnsi="Cambria"/>
          <w:i/>
          <w:color w:val="auto"/>
          <w:sz w:val="20"/>
          <w:szCs w:val="20"/>
        </w:rPr>
      </w:pPr>
      <w:r w:rsidRPr="00A54413">
        <w:rPr>
          <w:rFonts w:ascii="Cambria" w:hAnsi="Cambria"/>
          <w:i/>
          <w:color w:val="auto"/>
          <w:sz w:val="20"/>
          <w:szCs w:val="20"/>
        </w:rPr>
        <w:t>Les CPC ayant des projets de recherche sont encouragées à expliquer brièvement leurs plans de recherche.</w:t>
      </w:r>
      <w:r w:rsidRPr="00A54413">
        <w:rPr>
          <w:rFonts w:ascii="Cambria" w:hAnsi="Cambria"/>
          <w:sz w:val="20"/>
          <w:szCs w:val="20"/>
        </w:rPr>
        <w:br w:type="page"/>
      </w:r>
    </w:p>
    <w:p w14:paraId="6762DA60" w14:textId="77777777" w:rsidR="008079E8" w:rsidRPr="00A54413" w:rsidRDefault="008079E8" w:rsidP="0028779B">
      <w:pPr>
        <w:rPr>
          <w:rFonts w:ascii="Cambria" w:hAnsi="Cambria"/>
          <w:i/>
          <w:color w:val="auto"/>
          <w:sz w:val="20"/>
          <w:szCs w:val="20"/>
        </w:rPr>
        <w:sectPr w:rsidR="008079E8" w:rsidRPr="00A54413" w:rsidSect="008B1486">
          <w:footerReference w:type="default" r:id="rId13"/>
          <w:headerReference w:type="first" r:id="rId14"/>
          <w:footerReference w:type="first" r:id="rId15"/>
          <w:pgSz w:w="11906" w:h="16838" w:code="9"/>
          <w:pgMar w:top="1418" w:right="1418" w:bottom="1418" w:left="1418" w:header="851" w:footer="1134" w:gutter="0"/>
          <w:cols w:space="425"/>
          <w:docGrid w:linePitch="360"/>
        </w:sectPr>
      </w:pPr>
    </w:p>
    <w:p w14:paraId="6BDB0BE1" w14:textId="469D7DF9" w:rsidR="005B24D2" w:rsidRPr="00A54413" w:rsidRDefault="001F7D48" w:rsidP="00630543">
      <w:pPr>
        <w:widowControl/>
        <w:jc w:val="left"/>
        <w:rPr>
          <w:rFonts w:ascii="Cambria" w:hAnsi="Cambria"/>
          <w:b/>
          <w:bCs/>
          <w:color w:val="auto"/>
          <w:sz w:val="20"/>
          <w:szCs w:val="20"/>
        </w:rPr>
      </w:pPr>
      <w:r w:rsidRPr="00A54413">
        <w:rPr>
          <w:rFonts w:ascii="Cambria" w:hAnsi="Cambria"/>
          <w:b/>
          <w:bCs/>
          <w:color w:val="auto"/>
          <w:sz w:val="20"/>
          <w:szCs w:val="20"/>
        </w:rPr>
        <w:lastRenderedPageBreak/>
        <w:t>Tableau de la capacité</w:t>
      </w:r>
    </w:p>
    <w:p w14:paraId="021853C9" w14:textId="77777777" w:rsidR="005B24D2" w:rsidRPr="00A54413" w:rsidRDefault="005B24D2" w:rsidP="00630543">
      <w:pPr>
        <w:widowControl/>
        <w:jc w:val="left"/>
        <w:rPr>
          <w:rFonts w:ascii="Cambria" w:hAnsi="Cambria"/>
          <w:b/>
          <w:bCs/>
          <w:color w:val="auto"/>
          <w:sz w:val="16"/>
          <w:szCs w:val="16"/>
        </w:rPr>
      </w:pPr>
    </w:p>
    <w:tbl>
      <w:tblPr>
        <w:tblW w:w="14271" w:type="dxa"/>
        <w:tblLook w:val="04A0" w:firstRow="1" w:lastRow="0" w:firstColumn="1" w:lastColumn="0" w:noHBand="0" w:noVBand="1"/>
      </w:tblPr>
      <w:tblGrid>
        <w:gridCol w:w="2922"/>
        <w:gridCol w:w="1641"/>
        <w:gridCol w:w="657"/>
        <w:gridCol w:w="659"/>
        <w:gridCol w:w="876"/>
        <w:gridCol w:w="749"/>
        <w:gridCol w:w="749"/>
        <w:gridCol w:w="749"/>
        <w:gridCol w:w="276"/>
        <w:gridCol w:w="615"/>
        <w:gridCol w:w="749"/>
        <w:gridCol w:w="749"/>
        <w:gridCol w:w="960"/>
        <w:gridCol w:w="960"/>
        <w:gridCol w:w="960"/>
      </w:tblGrid>
      <w:tr w:rsidR="005B24D2" w:rsidRPr="00A54413" w14:paraId="28C0915C" w14:textId="77777777" w:rsidTr="0058761C">
        <w:trPr>
          <w:trHeight w:val="20"/>
        </w:trPr>
        <w:tc>
          <w:tcPr>
            <w:tcW w:w="29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53034F" w14:textId="77777777" w:rsidR="005B24D2" w:rsidRPr="00A54413" w:rsidRDefault="005B24D2" w:rsidP="00627460">
            <w:pPr>
              <w:widowControl/>
              <w:jc w:val="center"/>
              <w:rPr>
                <w:rFonts w:ascii="Cambria" w:eastAsia="Times New Roman" w:hAnsi="Cambria" w:cs="Calibri"/>
                <w:i/>
                <w:iCs/>
                <w:color w:val="auto"/>
                <w:sz w:val="18"/>
                <w:szCs w:val="18"/>
              </w:rPr>
            </w:pPr>
            <w:r w:rsidRPr="00A54413">
              <w:rPr>
                <w:rFonts w:ascii="Cambria" w:hAnsi="Cambria"/>
                <w:i/>
                <w:iCs/>
                <w:color w:val="auto"/>
                <w:sz w:val="18"/>
                <w:szCs w:val="18"/>
              </w:rPr>
              <w:t>Type de navires thoniers</w:t>
            </w:r>
          </w:p>
        </w:tc>
        <w:tc>
          <w:tcPr>
            <w:tcW w:w="1641" w:type="dxa"/>
            <w:tcBorders>
              <w:top w:val="single" w:sz="8" w:space="0" w:color="auto"/>
              <w:left w:val="nil"/>
              <w:bottom w:val="single" w:sz="8" w:space="0" w:color="auto"/>
              <w:right w:val="single" w:sz="8" w:space="0" w:color="auto"/>
            </w:tcBorders>
            <w:shd w:val="clear" w:color="auto" w:fill="auto"/>
            <w:noWrap/>
            <w:vAlign w:val="center"/>
            <w:hideMark/>
          </w:tcPr>
          <w:p w14:paraId="5DB2DDDE" w14:textId="77777777" w:rsidR="005B24D2" w:rsidRPr="00A54413" w:rsidRDefault="005B24D2" w:rsidP="00627460">
            <w:pPr>
              <w:widowControl/>
              <w:jc w:val="left"/>
              <w:rPr>
                <w:rFonts w:ascii="Calibri" w:eastAsia="Times New Roman" w:hAnsi="Calibri" w:cs="Calibri"/>
                <w:sz w:val="18"/>
                <w:szCs w:val="18"/>
              </w:rPr>
            </w:pPr>
            <w:r w:rsidRPr="00A54413">
              <w:rPr>
                <w:rFonts w:ascii="Calibri" w:hAnsi="Calibri"/>
                <w:sz w:val="18"/>
                <w:szCs w:val="18"/>
              </w:rPr>
              <w:t> -</w:t>
            </w:r>
          </w:p>
        </w:tc>
        <w:tc>
          <w:tcPr>
            <w:tcW w:w="659" w:type="dxa"/>
            <w:tcBorders>
              <w:top w:val="single" w:sz="8" w:space="0" w:color="auto"/>
              <w:left w:val="nil"/>
              <w:bottom w:val="single" w:sz="8" w:space="0" w:color="auto"/>
              <w:right w:val="single" w:sz="4" w:space="0" w:color="auto"/>
            </w:tcBorders>
            <w:shd w:val="clear" w:color="auto" w:fill="auto"/>
          </w:tcPr>
          <w:p w14:paraId="31F67B45" w14:textId="77777777" w:rsidR="005B24D2" w:rsidRPr="00A54413" w:rsidRDefault="005B24D2" w:rsidP="00627460">
            <w:pPr>
              <w:widowControl/>
              <w:jc w:val="center"/>
              <w:rPr>
                <w:rFonts w:ascii="Cambria" w:eastAsia="Times New Roman" w:hAnsi="Cambria" w:cs="Calibri"/>
                <w:i/>
                <w:iCs/>
                <w:color w:val="auto"/>
                <w:sz w:val="18"/>
                <w:szCs w:val="18"/>
                <w:lang w:eastAsia="ja-JP" w:bidi="ar-SA"/>
              </w:rPr>
            </w:pPr>
          </w:p>
        </w:tc>
        <w:tc>
          <w:tcPr>
            <w:tcW w:w="1539"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57E3D5F0" w14:textId="77777777" w:rsidR="005B24D2" w:rsidRPr="00A54413" w:rsidRDefault="005B24D2" w:rsidP="00627460">
            <w:pPr>
              <w:widowControl/>
              <w:jc w:val="center"/>
              <w:rPr>
                <w:rFonts w:ascii="Cambria" w:eastAsia="Times New Roman" w:hAnsi="Cambria" w:cs="Calibri"/>
                <w:i/>
                <w:iCs/>
                <w:color w:val="auto"/>
                <w:sz w:val="18"/>
                <w:szCs w:val="18"/>
              </w:rPr>
            </w:pPr>
            <w:r w:rsidRPr="00A54413">
              <w:rPr>
                <w:rFonts w:ascii="Cambria" w:hAnsi="Cambria"/>
                <w:i/>
                <w:iCs/>
                <w:color w:val="auto"/>
                <w:sz w:val="18"/>
                <w:szCs w:val="18"/>
              </w:rPr>
              <w:t>Année de réf.</w:t>
            </w:r>
          </w:p>
        </w:tc>
        <w:tc>
          <w:tcPr>
            <w:tcW w:w="2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934A27" w14:textId="77777777" w:rsidR="005B24D2" w:rsidRPr="00A54413" w:rsidRDefault="005B24D2" w:rsidP="00627460">
            <w:pPr>
              <w:widowControl/>
              <w:jc w:val="center"/>
              <w:rPr>
                <w:rFonts w:ascii="Cambria" w:eastAsia="Times New Roman" w:hAnsi="Cambria" w:cs="Calibri"/>
                <w:i/>
                <w:iCs/>
                <w:color w:val="auto"/>
                <w:sz w:val="18"/>
                <w:szCs w:val="18"/>
              </w:rPr>
            </w:pPr>
            <w:r w:rsidRPr="00A54413">
              <w:rPr>
                <w:rFonts w:ascii="Cambria" w:hAnsi="Cambria"/>
                <w:i/>
                <w:iCs/>
                <w:color w:val="auto"/>
                <w:sz w:val="18"/>
                <w:szCs w:val="18"/>
              </w:rPr>
              <w:t>Nombre de navires</w:t>
            </w:r>
          </w:p>
        </w:tc>
        <w:tc>
          <w:tcPr>
            <w:tcW w:w="276" w:type="dxa"/>
            <w:tcBorders>
              <w:top w:val="single" w:sz="8" w:space="0" w:color="auto"/>
              <w:left w:val="single" w:sz="4" w:space="0" w:color="auto"/>
              <w:bottom w:val="single" w:sz="8" w:space="0" w:color="auto"/>
              <w:right w:val="nil"/>
            </w:tcBorders>
            <w:shd w:val="clear" w:color="auto" w:fill="auto"/>
            <w:vAlign w:val="center"/>
            <w:hideMark/>
          </w:tcPr>
          <w:p w14:paraId="5F909E92" w14:textId="77777777" w:rsidR="005B24D2" w:rsidRPr="00A54413" w:rsidRDefault="005B24D2" w:rsidP="00627460">
            <w:pPr>
              <w:widowControl/>
              <w:jc w:val="left"/>
              <w:rPr>
                <w:rFonts w:eastAsia="Times New Roman"/>
                <w:sz w:val="18"/>
                <w:szCs w:val="18"/>
              </w:rPr>
            </w:pPr>
            <w:r w:rsidRPr="00A54413">
              <w:rPr>
                <w:sz w:val="18"/>
                <w:szCs w:val="18"/>
              </w:rPr>
              <w:t> </w:t>
            </w:r>
          </w:p>
        </w:tc>
        <w:tc>
          <w:tcPr>
            <w:tcW w:w="599" w:type="dxa"/>
            <w:tcBorders>
              <w:top w:val="single" w:sz="8" w:space="0" w:color="auto"/>
              <w:left w:val="single" w:sz="8" w:space="0" w:color="auto"/>
              <w:bottom w:val="single" w:sz="8" w:space="0" w:color="auto"/>
              <w:right w:val="single" w:sz="8" w:space="0" w:color="auto"/>
            </w:tcBorders>
          </w:tcPr>
          <w:p w14:paraId="4A20302A" w14:textId="77777777" w:rsidR="005B24D2" w:rsidRPr="00A54413" w:rsidRDefault="005B24D2" w:rsidP="00627460">
            <w:pPr>
              <w:widowControl/>
              <w:jc w:val="center"/>
              <w:rPr>
                <w:rFonts w:ascii="Cambria" w:eastAsia="Times New Roman" w:hAnsi="Cambria" w:cs="Calibri"/>
                <w:i/>
                <w:iCs/>
                <w:color w:val="auto"/>
                <w:sz w:val="18"/>
                <w:szCs w:val="18"/>
                <w:lang w:eastAsia="ja-JP" w:bidi="ar-SA"/>
              </w:rPr>
            </w:pPr>
          </w:p>
        </w:tc>
        <w:tc>
          <w:tcPr>
            <w:tcW w:w="1502" w:type="dxa"/>
            <w:gridSpan w:val="2"/>
            <w:tcBorders>
              <w:top w:val="single" w:sz="8" w:space="0" w:color="auto"/>
              <w:left w:val="single" w:sz="8" w:space="0" w:color="auto"/>
              <w:bottom w:val="single" w:sz="8" w:space="0" w:color="auto"/>
              <w:right w:val="nil"/>
            </w:tcBorders>
            <w:shd w:val="clear" w:color="auto" w:fill="auto"/>
            <w:vAlign w:val="center"/>
            <w:hideMark/>
          </w:tcPr>
          <w:p w14:paraId="4FE48F07" w14:textId="77777777" w:rsidR="005B24D2" w:rsidRPr="00A54413" w:rsidRDefault="005B24D2" w:rsidP="00627460">
            <w:pPr>
              <w:widowControl/>
              <w:jc w:val="center"/>
              <w:rPr>
                <w:rFonts w:ascii="Cambria" w:eastAsia="Times New Roman" w:hAnsi="Cambria" w:cs="Calibri"/>
                <w:i/>
                <w:iCs/>
                <w:color w:val="auto"/>
                <w:sz w:val="18"/>
                <w:szCs w:val="18"/>
              </w:rPr>
            </w:pPr>
            <w:r w:rsidRPr="00A54413">
              <w:rPr>
                <w:rFonts w:ascii="Cambria" w:hAnsi="Cambria"/>
                <w:i/>
                <w:iCs/>
                <w:color w:val="auto"/>
                <w:sz w:val="18"/>
                <w:szCs w:val="18"/>
              </w:rPr>
              <w:t>Année de réf.</w:t>
            </w:r>
          </w:p>
        </w:tc>
        <w:tc>
          <w:tcPr>
            <w:tcW w:w="2880" w:type="dxa"/>
            <w:gridSpan w:val="3"/>
            <w:tcBorders>
              <w:top w:val="single" w:sz="8" w:space="0" w:color="auto"/>
              <w:left w:val="single" w:sz="8" w:space="0" w:color="auto"/>
              <w:bottom w:val="single" w:sz="8" w:space="0" w:color="auto"/>
              <w:right w:val="single" w:sz="4" w:space="0" w:color="000000"/>
            </w:tcBorders>
            <w:vAlign w:val="center"/>
            <w:hideMark/>
          </w:tcPr>
          <w:p w14:paraId="0E4FDC3C" w14:textId="1C626E31" w:rsidR="005B24D2" w:rsidRPr="00A54413" w:rsidRDefault="00D23534" w:rsidP="00627460">
            <w:pPr>
              <w:widowControl/>
              <w:jc w:val="center"/>
              <w:rPr>
                <w:rFonts w:ascii="Cambria" w:eastAsia="Times New Roman" w:hAnsi="Cambria" w:cs="Calibri"/>
                <w:i/>
                <w:iCs/>
                <w:color w:val="auto"/>
                <w:sz w:val="18"/>
                <w:szCs w:val="18"/>
              </w:rPr>
            </w:pPr>
            <w:r w:rsidRPr="00A54413">
              <w:rPr>
                <w:rFonts w:ascii="Cambria" w:hAnsi="Cambria"/>
                <w:i/>
                <w:iCs/>
                <w:color w:val="auto"/>
                <w:sz w:val="18"/>
                <w:szCs w:val="18"/>
              </w:rPr>
              <w:t>Capacité de pêche</w:t>
            </w:r>
          </w:p>
        </w:tc>
      </w:tr>
      <w:tr w:rsidR="005B24D2" w:rsidRPr="00A54413" w14:paraId="34F807D0" w14:textId="77777777" w:rsidTr="0058761C">
        <w:trPr>
          <w:trHeight w:val="20"/>
        </w:trPr>
        <w:tc>
          <w:tcPr>
            <w:tcW w:w="2922" w:type="dxa"/>
            <w:tcBorders>
              <w:top w:val="nil"/>
              <w:left w:val="single" w:sz="8" w:space="0" w:color="auto"/>
              <w:bottom w:val="single" w:sz="8" w:space="0" w:color="auto"/>
              <w:right w:val="single" w:sz="8" w:space="0" w:color="auto"/>
            </w:tcBorders>
            <w:shd w:val="clear" w:color="auto" w:fill="auto"/>
            <w:noWrap/>
            <w:vAlign w:val="center"/>
            <w:hideMark/>
          </w:tcPr>
          <w:p w14:paraId="7E954CA9"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Type</w:t>
            </w:r>
          </w:p>
        </w:tc>
        <w:tc>
          <w:tcPr>
            <w:tcW w:w="1641" w:type="dxa"/>
            <w:tcBorders>
              <w:top w:val="nil"/>
              <w:left w:val="nil"/>
              <w:bottom w:val="single" w:sz="8" w:space="0" w:color="auto"/>
              <w:right w:val="single" w:sz="8" w:space="0" w:color="auto"/>
            </w:tcBorders>
            <w:shd w:val="clear" w:color="auto" w:fill="auto"/>
            <w:vAlign w:val="center"/>
            <w:hideMark/>
          </w:tcPr>
          <w:p w14:paraId="40AAF238"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Meilleurs taux de capture définis par le SCRS en 2009 (t)</w:t>
            </w:r>
          </w:p>
        </w:tc>
        <w:tc>
          <w:tcPr>
            <w:tcW w:w="659" w:type="dxa"/>
            <w:tcBorders>
              <w:top w:val="single" w:sz="8" w:space="0" w:color="auto"/>
              <w:left w:val="nil"/>
              <w:bottom w:val="single" w:sz="8" w:space="0" w:color="auto"/>
              <w:right w:val="single" w:sz="4" w:space="0" w:color="auto"/>
            </w:tcBorders>
            <w:vAlign w:val="center"/>
          </w:tcPr>
          <w:p w14:paraId="791B2DE0"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2006</w:t>
            </w: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22BBDAEB"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2008</w:t>
            </w:r>
          </w:p>
        </w:tc>
        <w:tc>
          <w:tcPr>
            <w:tcW w:w="880" w:type="dxa"/>
            <w:tcBorders>
              <w:top w:val="nil"/>
              <w:left w:val="nil"/>
              <w:bottom w:val="single" w:sz="8" w:space="0" w:color="auto"/>
              <w:right w:val="single" w:sz="8" w:space="0" w:color="auto"/>
            </w:tcBorders>
            <w:shd w:val="clear" w:color="auto" w:fill="auto"/>
            <w:vAlign w:val="center"/>
            <w:hideMark/>
          </w:tcPr>
          <w:p w14:paraId="1BCA3C9E"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2018</w:t>
            </w:r>
          </w:p>
        </w:tc>
        <w:tc>
          <w:tcPr>
            <w:tcW w:w="751" w:type="dxa"/>
            <w:tcBorders>
              <w:top w:val="single" w:sz="4" w:space="0" w:color="auto"/>
              <w:left w:val="nil"/>
              <w:bottom w:val="single" w:sz="8" w:space="0" w:color="auto"/>
              <w:right w:val="single" w:sz="8" w:space="0" w:color="auto"/>
            </w:tcBorders>
            <w:shd w:val="clear" w:color="auto" w:fill="auto"/>
            <w:vAlign w:val="center"/>
            <w:hideMark/>
          </w:tcPr>
          <w:p w14:paraId="38844BAC"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2022</w:t>
            </w:r>
          </w:p>
        </w:tc>
        <w:tc>
          <w:tcPr>
            <w:tcW w:w="751" w:type="dxa"/>
            <w:tcBorders>
              <w:top w:val="single" w:sz="4" w:space="0" w:color="auto"/>
              <w:left w:val="nil"/>
              <w:bottom w:val="single" w:sz="8" w:space="0" w:color="auto"/>
              <w:right w:val="single" w:sz="8" w:space="0" w:color="auto"/>
            </w:tcBorders>
            <w:shd w:val="clear" w:color="auto" w:fill="auto"/>
            <w:vAlign w:val="center"/>
            <w:hideMark/>
          </w:tcPr>
          <w:p w14:paraId="4657C9E5"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2023</w:t>
            </w:r>
          </w:p>
        </w:tc>
        <w:tc>
          <w:tcPr>
            <w:tcW w:w="751" w:type="dxa"/>
            <w:tcBorders>
              <w:top w:val="single" w:sz="4" w:space="0" w:color="auto"/>
              <w:left w:val="nil"/>
              <w:bottom w:val="single" w:sz="8" w:space="0" w:color="auto"/>
              <w:right w:val="single" w:sz="8" w:space="0" w:color="auto"/>
            </w:tcBorders>
            <w:shd w:val="clear" w:color="auto" w:fill="auto"/>
            <w:vAlign w:val="center"/>
            <w:hideMark/>
          </w:tcPr>
          <w:p w14:paraId="30E929D0"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2024</w:t>
            </w:r>
          </w:p>
        </w:tc>
        <w:tc>
          <w:tcPr>
            <w:tcW w:w="276" w:type="dxa"/>
            <w:tcBorders>
              <w:top w:val="nil"/>
              <w:left w:val="nil"/>
              <w:bottom w:val="single" w:sz="8" w:space="0" w:color="auto"/>
              <w:right w:val="single" w:sz="4" w:space="0" w:color="auto"/>
            </w:tcBorders>
            <w:shd w:val="clear" w:color="000000" w:fill="D9D9D9"/>
            <w:vAlign w:val="center"/>
            <w:hideMark/>
          </w:tcPr>
          <w:p w14:paraId="7BF5DF4F" w14:textId="77777777" w:rsidR="005B24D2" w:rsidRPr="00A54413" w:rsidRDefault="005B24D2" w:rsidP="00627460">
            <w:pPr>
              <w:widowControl/>
              <w:jc w:val="center"/>
              <w:rPr>
                <w:rFonts w:ascii="Cambria" w:eastAsia="Times New Roman" w:hAnsi="Cambria" w:cs="Calibri"/>
                <w:sz w:val="18"/>
                <w:szCs w:val="18"/>
                <w:lang w:val="en-US" w:eastAsia="ja-JP" w:bidi="ar-SA"/>
              </w:rPr>
            </w:pPr>
          </w:p>
        </w:tc>
        <w:tc>
          <w:tcPr>
            <w:tcW w:w="599" w:type="dxa"/>
            <w:tcBorders>
              <w:top w:val="single" w:sz="4" w:space="0" w:color="auto"/>
              <w:left w:val="single" w:sz="4" w:space="0" w:color="auto"/>
              <w:bottom w:val="single" w:sz="4" w:space="0" w:color="auto"/>
              <w:right w:val="single" w:sz="4" w:space="0" w:color="auto"/>
            </w:tcBorders>
            <w:vAlign w:val="center"/>
          </w:tcPr>
          <w:p w14:paraId="2284D63B"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2006</w:t>
            </w:r>
          </w:p>
        </w:tc>
        <w:tc>
          <w:tcPr>
            <w:tcW w:w="751" w:type="dxa"/>
            <w:tcBorders>
              <w:top w:val="single" w:sz="4" w:space="0" w:color="auto"/>
              <w:left w:val="single" w:sz="4" w:space="0" w:color="auto"/>
              <w:bottom w:val="single" w:sz="4" w:space="0" w:color="auto"/>
              <w:right w:val="nil"/>
            </w:tcBorders>
            <w:shd w:val="clear" w:color="auto" w:fill="auto"/>
            <w:vAlign w:val="center"/>
            <w:hideMark/>
          </w:tcPr>
          <w:p w14:paraId="5D1B6B13"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2008</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7FE7A957"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2018</w:t>
            </w:r>
          </w:p>
        </w:tc>
        <w:tc>
          <w:tcPr>
            <w:tcW w:w="960" w:type="dxa"/>
            <w:tcBorders>
              <w:top w:val="nil"/>
              <w:left w:val="nil"/>
              <w:bottom w:val="single" w:sz="8" w:space="0" w:color="auto"/>
              <w:right w:val="single" w:sz="8" w:space="0" w:color="auto"/>
            </w:tcBorders>
            <w:shd w:val="clear" w:color="auto" w:fill="auto"/>
            <w:vAlign w:val="center"/>
            <w:hideMark/>
          </w:tcPr>
          <w:p w14:paraId="75586EF4"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2022</w:t>
            </w:r>
          </w:p>
        </w:tc>
        <w:tc>
          <w:tcPr>
            <w:tcW w:w="960" w:type="dxa"/>
            <w:tcBorders>
              <w:top w:val="nil"/>
              <w:left w:val="nil"/>
              <w:bottom w:val="single" w:sz="8" w:space="0" w:color="auto"/>
              <w:right w:val="single" w:sz="8" w:space="0" w:color="auto"/>
            </w:tcBorders>
            <w:shd w:val="clear" w:color="auto" w:fill="auto"/>
            <w:vAlign w:val="center"/>
            <w:hideMark/>
          </w:tcPr>
          <w:p w14:paraId="5CA58CB0"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2023</w:t>
            </w:r>
          </w:p>
        </w:tc>
        <w:tc>
          <w:tcPr>
            <w:tcW w:w="960" w:type="dxa"/>
            <w:tcBorders>
              <w:top w:val="nil"/>
              <w:left w:val="nil"/>
              <w:bottom w:val="single" w:sz="8" w:space="0" w:color="auto"/>
              <w:right w:val="single" w:sz="8" w:space="0" w:color="auto"/>
            </w:tcBorders>
            <w:shd w:val="clear" w:color="auto" w:fill="auto"/>
            <w:vAlign w:val="center"/>
            <w:hideMark/>
          </w:tcPr>
          <w:p w14:paraId="56131421"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2024</w:t>
            </w:r>
          </w:p>
        </w:tc>
      </w:tr>
      <w:tr w:rsidR="005B24D2" w:rsidRPr="00A54413" w14:paraId="47B97057" w14:textId="77777777" w:rsidTr="00627460">
        <w:trPr>
          <w:trHeight w:val="20"/>
        </w:trPr>
        <w:tc>
          <w:tcPr>
            <w:tcW w:w="2922" w:type="dxa"/>
            <w:tcBorders>
              <w:top w:val="nil"/>
              <w:left w:val="single" w:sz="8" w:space="0" w:color="auto"/>
              <w:bottom w:val="single" w:sz="8" w:space="0" w:color="auto"/>
              <w:right w:val="single" w:sz="8" w:space="0" w:color="auto"/>
            </w:tcBorders>
            <w:shd w:val="clear" w:color="auto" w:fill="auto"/>
            <w:noWrap/>
            <w:vAlign w:val="center"/>
            <w:hideMark/>
          </w:tcPr>
          <w:p w14:paraId="2A507787"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Senneur de plus de 40 m</w:t>
            </w:r>
          </w:p>
        </w:tc>
        <w:tc>
          <w:tcPr>
            <w:tcW w:w="1641" w:type="dxa"/>
            <w:tcBorders>
              <w:top w:val="nil"/>
              <w:left w:val="nil"/>
              <w:bottom w:val="single" w:sz="8" w:space="0" w:color="auto"/>
              <w:right w:val="single" w:sz="8" w:space="0" w:color="auto"/>
            </w:tcBorders>
            <w:shd w:val="clear" w:color="auto" w:fill="auto"/>
            <w:noWrap/>
            <w:vAlign w:val="center"/>
            <w:hideMark/>
          </w:tcPr>
          <w:p w14:paraId="6C063C06"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70,7</w:t>
            </w:r>
          </w:p>
        </w:tc>
        <w:tc>
          <w:tcPr>
            <w:tcW w:w="659" w:type="dxa"/>
            <w:tcBorders>
              <w:top w:val="single" w:sz="8" w:space="0" w:color="auto"/>
              <w:left w:val="nil"/>
              <w:bottom w:val="single" w:sz="8" w:space="0" w:color="auto"/>
              <w:right w:val="single" w:sz="4" w:space="0" w:color="auto"/>
            </w:tcBorders>
          </w:tcPr>
          <w:p w14:paraId="4639A50B"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2C7D825F"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65FF3526"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0AA6ED51"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single" w:sz="4" w:space="0" w:color="auto"/>
              <w:left w:val="nil"/>
              <w:bottom w:val="single" w:sz="8" w:space="0" w:color="auto"/>
              <w:right w:val="single" w:sz="8" w:space="0" w:color="auto"/>
            </w:tcBorders>
            <w:shd w:val="clear" w:color="auto" w:fill="auto"/>
            <w:vAlign w:val="center"/>
            <w:hideMark/>
          </w:tcPr>
          <w:p w14:paraId="40EAEF3A"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single" w:sz="4" w:space="0" w:color="auto"/>
              <w:left w:val="nil"/>
              <w:bottom w:val="single" w:sz="8" w:space="0" w:color="auto"/>
              <w:right w:val="single" w:sz="8" w:space="0" w:color="auto"/>
            </w:tcBorders>
            <w:shd w:val="clear" w:color="auto" w:fill="auto"/>
            <w:vAlign w:val="center"/>
            <w:hideMark/>
          </w:tcPr>
          <w:p w14:paraId="0FE863C2"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276" w:type="dxa"/>
            <w:tcBorders>
              <w:top w:val="single" w:sz="4" w:space="0" w:color="auto"/>
              <w:left w:val="nil"/>
              <w:bottom w:val="single" w:sz="8" w:space="0" w:color="auto"/>
              <w:right w:val="nil"/>
            </w:tcBorders>
            <w:shd w:val="clear" w:color="000000" w:fill="D9D9D9"/>
            <w:vAlign w:val="center"/>
            <w:hideMark/>
          </w:tcPr>
          <w:p w14:paraId="6147BB3A" w14:textId="77777777" w:rsidR="005B24D2" w:rsidRPr="00A54413" w:rsidRDefault="005B24D2" w:rsidP="00627460">
            <w:pPr>
              <w:widowControl/>
              <w:jc w:val="left"/>
              <w:rPr>
                <w:rFonts w:ascii="Cambria" w:eastAsia="Times New Roman" w:hAnsi="Cambria" w:cs="Calibri"/>
                <w:sz w:val="18"/>
                <w:szCs w:val="18"/>
              </w:rPr>
            </w:pPr>
            <w:r w:rsidRPr="00A54413">
              <w:rPr>
                <w:rFonts w:ascii="Cambria" w:hAnsi="Cambria"/>
                <w:sz w:val="18"/>
                <w:szCs w:val="18"/>
              </w:rPr>
              <w:t> </w:t>
            </w:r>
          </w:p>
        </w:tc>
        <w:tc>
          <w:tcPr>
            <w:tcW w:w="599" w:type="dxa"/>
            <w:tcBorders>
              <w:top w:val="single" w:sz="4" w:space="0" w:color="auto"/>
              <w:left w:val="single" w:sz="4" w:space="0" w:color="auto"/>
              <w:bottom w:val="single" w:sz="8" w:space="0" w:color="auto"/>
              <w:right w:val="single" w:sz="4" w:space="0" w:color="auto"/>
            </w:tcBorders>
          </w:tcPr>
          <w:p w14:paraId="17E6914A"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751" w:type="dxa"/>
            <w:tcBorders>
              <w:top w:val="single" w:sz="4" w:space="0" w:color="auto"/>
              <w:left w:val="single" w:sz="4" w:space="0" w:color="auto"/>
              <w:bottom w:val="single" w:sz="8" w:space="0" w:color="auto"/>
              <w:right w:val="nil"/>
            </w:tcBorders>
            <w:shd w:val="clear" w:color="auto" w:fill="auto"/>
            <w:vAlign w:val="center"/>
            <w:hideMark/>
          </w:tcPr>
          <w:p w14:paraId="036088F9"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297357B4"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48F8646A"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7C31100B"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01417886"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r>
      <w:tr w:rsidR="005B24D2" w:rsidRPr="00A54413" w14:paraId="08BE174B" w14:textId="77777777" w:rsidTr="00627460">
        <w:trPr>
          <w:trHeight w:val="20"/>
        </w:trPr>
        <w:tc>
          <w:tcPr>
            <w:tcW w:w="2922" w:type="dxa"/>
            <w:tcBorders>
              <w:top w:val="nil"/>
              <w:left w:val="single" w:sz="8" w:space="0" w:color="auto"/>
              <w:bottom w:val="single" w:sz="8" w:space="0" w:color="auto"/>
              <w:right w:val="single" w:sz="8" w:space="0" w:color="auto"/>
            </w:tcBorders>
            <w:shd w:val="clear" w:color="auto" w:fill="auto"/>
            <w:noWrap/>
            <w:vAlign w:val="center"/>
            <w:hideMark/>
          </w:tcPr>
          <w:p w14:paraId="30179445"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Senneur entre 24 et 40 m</w:t>
            </w:r>
          </w:p>
        </w:tc>
        <w:tc>
          <w:tcPr>
            <w:tcW w:w="1641" w:type="dxa"/>
            <w:tcBorders>
              <w:top w:val="nil"/>
              <w:left w:val="nil"/>
              <w:bottom w:val="single" w:sz="8" w:space="0" w:color="auto"/>
              <w:right w:val="single" w:sz="8" w:space="0" w:color="auto"/>
            </w:tcBorders>
            <w:shd w:val="clear" w:color="auto" w:fill="auto"/>
            <w:noWrap/>
            <w:vAlign w:val="center"/>
            <w:hideMark/>
          </w:tcPr>
          <w:p w14:paraId="139FF821"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49,78</w:t>
            </w:r>
          </w:p>
        </w:tc>
        <w:tc>
          <w:tcPr>
            <w:tcW w:w="659" w:type="dxa"/>
            <w:tcBorders>
              <w:top w:val="single" w:sz="8" w:space="0" w:color="auto"/>
              <w:left w:val="nil"/>
              <w:bottom w:val="single" w:sz="8" w:space="0" w:color="auto"/>
              <w:right w:val="single" w:sz="4" w:space="0" w:color="auto"/>
            </w:tcBorders>
          </w:tcPr>
          <w:p w14:paraId="7AFED464"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1D26E855"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78ABBCD9"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6F78C4F8"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07294CEB"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5678795C"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276" w:type="dxa"/>
            <w:tcBorders>
              <w:top w:val="nil"/>
              <w:left w:val="nil"/>
              <w:bottom w:val="single" w:sz="8" w:space="0" w:color="auto"/>
              <w:right w:val="nil"/>
            </w:tcBorders>
            <w:shd w:val="clear" w:color="000000" w:fill="D9D9D9"/>
            <w:vAlign w:val="center"/>
            <w:hideMark/>
          </w:tcPr>
          <w:p w14:paraId="66D49BC8" w14:textId="77777777" w:rsidR="005B24D2" w:rsidRPr="00A54413" w:rsidRDefault="005B24D2" w:rsidP="00627460">
            <w:pPr>
              <w:widowControl/>
              <w:jc w:val="left"/>
              <w:rPr>
                <w:rFonts w:ascii="Cambria" w:eastAsia="Times New Roman" w:hAnsi="Cambria" w:cs="Calibri"/>
                <w:sz w:val="18"/>
                <w:szCs w:val="18"/>
              </w:rPr>
            </w:pPr>
            <w:r w:rsidRPr="00A54413">
              <w:rPr>
                <w:rFonts w:ascii="Cambria" w:hAnsi="Cambria"/>
                <w:sz w:val="18"/>
                <w:szCs w:val="18"/>
              </w:rPr>
              <w:t> </w:t>
            </w:r>
          </w:p>
        </w:tc>
        <w:tc>
          <w:tcPr>
            <w:tcW w:w="599" w:type="dxa"/>
            <w:tcBorders>
              <w:top w:val="nil"/>
              <w:left w:val="single" w:sz="4" w:space="0" w:color="auto"/>
              <w:bottom w:val="single" w:sz="8" w:space="0" w:color="auto"/>
              <w:right w:val="single" w:sz="4" w:space="0" w:color="auto"/>
            </w:tcBorders>
          </w:tcPr>
          <w:p w14:paraId="05692DF0"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751" w:type="dxa"/>
            <w:tcBorders>
              <w:top w:val="nil"/>
              <w:left w:val="single" w:sz="4" w:space="0" w:color="auto"/>
              <w:bottom w:val="single" w:sz="8" w:space="0" w:color="auto"/>
              <w:right w:val="nil"/>
            </w:tcBorders>
            <w:shd w:val="clear" w:color="auto" w:fill="auto"/>
            <w:vAlign w:val="center"/>
            <w:hideMark/>
          </w:tcPr>
          <w:p w14:paraId="2F140158"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2D844671"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468F1CBD"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7B4E67A2"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09EA9E0D"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r>
      <w:tr w:rsidR="005B24D2" w:rsidRPr="00A54413" w14:paraId="5E782107" w14:textId="77777777" w:rsidTr="00627460">
        <w:trPr>
          <w:trHeight w:val="20"/>
        </w:trPr>
        <w:tc>
          <w:tcPr>
            <w:tcW w:w="2922" w:type="dxa"/>
            <w:tcBorders>
              <w:top w:val="nil"/>
              <w:left w:val="single" w:sz="8" w:space="0" w:color="auto"/>
              <w:bottom w:val="single" w:sz="8" w:space="0" w:color="auto"/>
              <w:right w:val="single" w:sz="8" w:space="0" w:color="auto"/>
            </w:tcBorders>
            <w:shd w:val="clear" w:color="auto" w:fill="auto"/>
            <w:noWrap/>
            <w:vAlign w:val="center"/>
            <w:hideMark/>
          </w:tcPr>
          <w:p w14:paraId="7F903F0E"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Senneur de moins de 24m</w:t>
            </w:r>
          </w:p>
        </w:tc>
        <w:tc>
          <w:tcPr>
            <w:tcW w:w="1641" w:type="dxa"/>
            <w:tcBorders>
              <w:top w:val="nil"/>
              <w:left w:val="nil"/>
              <w:bottom w:val="single" w:sz="8" w:space="0" w:color="auto"/>
              <w:right w:val="single" w:sz="8" w:space="0" w:color="auto"/>
            </w:tcBorders>
            <w:shd w:val="clear" w:color="auto" w:fill="auto"/>
            <w:noWrap/>
            <w:vAlign w:val="center"/>
            <w:hideMark/>
          </w:tcPr>
          <w:p w14:paraId="5BCFFFBC"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33,68</w:t>
            </w:r>
          </w:p>
        </w:tc>
        <w:tc>
          <w:tcPr>
            <w:tcW w:w="659" w:type="dxa"/>
            <w:tcBorders>
              <w:top w:val="single" w:sz="8" w:space="0" w:color="auto"/>
              <w:left w:val="nil"/>
              <w:bottom w:val="single" w:sz="8" w:space="0" w:color="auto"/>
              <w:right w:val="single" w:sz="4" w:space="0" w:color="auto"/>
            </w:tcBorders>
          </w:tcPr>
          <w:p w14:paraId="5592AEAE"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77442BD0"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0D51CC44"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1616105E"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677E9A72"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7EF7FF5F"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276" w:type="dxa"/>
            <w:tcBorders>
              <w:top w:val="nil"/>
              <w:left w:val="nil"/>
              <w:bottom w:val="single" w:sz="8" w:space="0" w:color="auto"/>
              <w:right w:val="nil"/>
            </w:tcBorders>
            <w:shd w:val="clear" w:color="000000" w:fill="D9D9D9"/>
            <w:vAlign w:val="center"/>
            <w:hideMark/>
          </w:tcPr>
          <w:p w14:paraId="0B0CD84D" w14:textId="77777777" w:rsidR="005B24D2" w:rsidRPr="00A54413" w:rsidRDefault="005B24D2" w:rsidP="00627460">
            <w:pPr>
              <w:widowControl/>
              <w:jc w:val="left"/>
              <w:rPr>
                <w:rFonts w:ascii="Cambria" w:eastAsia="Times New Roman" w:hAnsi="Cambria" w:cs="Calibri"/>
                <w:sz w:val="18"/>
                <w:szCs w:val="18"/>
              </w:rPr>
            </w:pPr>
            <w:r w:rsidRPr="00A54413">
              <w:rPr>
                <w:rFonts w:ascii="Cambria" w:hAnsi="Cambria"/>
                <w:sz w:val="18"/>
                <w:szCs w:val="18"/>
              </w:rPr>
              <w:t> </w:t>
            </w:r>
          </w:p>
        </w:tc>
        <w:tc>
          <w:tcPr>
            <w:tcW w:w="599" w:type="dxa"/>
            <w:tcBorders>
              <w:top w:val="nil"/>
              <w:left w:val="single" w:sz="4" w:space="0" w:color="auto"/>
              <w:bottom w:val="single" w:sz="8" w:space="0" w:color="auto"/>
              <w:right w:val="single" w:sz="4" w:space="0" w:color="auto"/>
            </w:tcBorders>
          </w:tcPr>
          <w:p w14:paraId="06D2ADF6"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751" w:type="dxa"/>
            <w:tcBorders>
              <w:top w:val="nil"/>
              <w:left w:val="single" w:sz="4" w:space="0" w:color="auto"/>
              <w:bottom w:val="single" w:sz="8" w:space="0" w:color="auto"/>
              <w:right w:val="nil"/>
            </w:tcBorders>
            <w:shd w:val="clear" w:color="auto" w:fill="auto"/>
            <w:vAlign w:val="center"/>
            <w:hideMark/>
          </w:tcPr>
          <w:p w14:paraId="5B685B61"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4D868E1A"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3E064A92"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126795B0"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2AE641D4"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r>
      <w:tr w:rsidR="005B24D2" w:rsidRPr="00A54413" w14:paraId="7C1ECD83" w14:textId="77777777" w:rsidTr="00627460">
        <w:trPr>
          <w:trHeight w:val="20"/>
        </w:trPr>
        <w:tc>
          <w:tcPr>
            <w:tcW w:w="2922" w:type="dxa"/>
            <w:tcBorders>
              <w:top w:val="nil"/>
              <w:left w:val="single" w:sz="8" w:space="0" w:color="auto"/>
              <w:bottom w:val="single" w:sz="8" w:space="0" w:color="auto"/>
              <w:right w:val="single" w:sz="8" w:space="0" w:color="auto"/>
            </w:tcBorders>
            <w:shd w:val="clear" w:color="auto" w:fill="auto"/>
            <w:noWrap/>
            <w:vAlign w:val="center"/>
            <w:hideMark/>
          </w:tcPr>
          <w:p w14:paraId="41980088"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Flottille totale de senneurs</w:t>
            </w:r>
          </w:p>
        </w:tc>
        <w:tc>
          <w:tcPr>
            <w:tcW w:w="1641" w:type="dxa"/>
            <w:tcBorders>
              <w:top w:val="nil"/>
              <w:left w:val="nil"/>
              <w:bottom w:val="single" w:sz="8" w:space="0" w:color="auto"/>
              <w:right w:val="single" w:sz="8" w:space="0" w:color="auto"/>
            </w:tcBorders>
            <w:shd w:val="clear" w:color="auto" w:fill="auto"/>
            <w:noWrap/>
            <w:vAlign w:val="center"/>
            <w:hideMark/>
          </w:tcPr>
          <w:p w14:paraId="7F5925F6" w14:textId="77777777" w:rsidR="005B24D2" w:rsidRPr="00A54413" w:rsidRDefault="005B24D2" w:rsidP="00627460">
            <w:pPr>
              <w:widowControl/>
              <w:jc w:val="left"/>
              <w:rPr>
                <w:rFonts w:eastAsia="Times New Roman"/>
                <w:sz w:val="18"/>
                <w:szCs w:val="18"/>
              </w:rPr>
            </w:pPr>
            <w:r w:rsidRPr="00A54413">
              <w:rPr>
                <w:sz w:val="18"/>
                <w:szCs w:val="18"/>
              </w:rPr>
              <w:t> </w:t>
            </w:r>
          </w:p>
        </w:tc>
        <w:tc>
          <w:tcPr>
            <w:tcW w:w="659" w:type="dxa"/>
            <w:tcBorders>
              <w:top w:val="single" w:sz="8" w:space="0" w:color="auto"/>
              <w:left w:val="nil"/>
              <w:bottom w:val="single" w:sz="8" w:space="0" w:color="auto"/>
              <w:right w:val="single" w:sz="4" w:space="0" w:color="auto"/>
            </w:tcBorders>
          </w:tcPr>
          <w:p w14:paraId="1A12564A" w14:textId="77777777" w:rsidR="005B24D2" w:rsidRPr="00A54413" w:rsidRDefault="005B24D2" w:rsidP="00627460">
            <w:pPr>
              <w:widowControl/>
              <w:jc w:val="left"/>
              <w:rPr>
                <w:rFonts w:ascii="Cambria" w:eastAsia="Times New Roman" w:hAnsi="Cambria" w:cs="Calibri"/>
                <w:b/>
                <w:bCs/>
                <w:color w:val="auto"/>
                <w:sz w:val="18"/>
                <w:szCs w:val="18"/>
                <w:lang w:eastAsia="ja-JP" w:bidi="ar-SA"/>
              </w:rPr>
            </w:pP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4C851B8A"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297E61FD"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7081ED1E"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4372794E"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19A48446"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276" w:type="dxa"/>
            <w:tcBorders>
              <w:top w:val="nil"/>
              <w:left w:val="nil"/>
              <w:bottom w:val="single" w:sz="8" w:space="0" w:color="auto"/>
              <w:right w:val="nil"/>
            </w:tcBorders>
            <w:shd w:val="clear" w:color="000000" w:fill="D9D9D9"/>
            <w:vAlign w:val="center"/>
            <w:hideMark/>
          </w:tcPr>
          <w:p w14:paraId="57732A39" w14:textId="77777777" w:rsidR="005B24D2" w:rsidRPr="00A54413" w:rsidRDefault="005B24D2" w:rsidP="00627460">
            <w:pPr>
              <w:widowControl/>
              <w:jc w:val="left"/>
              <w:rPr>
                <w:rFonts w:ascii="Cambria" w:eastAsia="Times New Roman" w:hAnsi="Cambria" w:cs="Calibri"/>
                <w:b/>
                <w:bCs/>
                <w:sz w:val="18"/>
                <w:szCs w:val="18"/>
              </w:rPr>
            </w:pPr>
            <w:r w:rsidRPr="00A54413">
              <w:rPr>
                <w:rFonts w:ascii="Cambria" w:hAnsi="Cambria"/>
                <w:b/>
                <w:bCs/>
                <w:sz w:val="18"/>
                <w:szCs w:val="18"/>
              </w:rPr>
              <w:t> </w:t>
            </w:r>
          </w:p>
        </w:tc>
        <w:tc>
          <w:tcPr>
            <w:tcW w:w="599" w:type="dxa"/>
            <w:tcBorders>
              <w:top w:val="nil"/>
              <w:left w:val="single" w:sz="4" w:space="0" w:color="auto"/>
              <w:bottom w:val="single" w:sz="8" w:space="0" w:color="auto"/>
              <w:right w:val="single" w:sz="4" w:space="0" w:color="auto"/>
            </w:tcBorders>
          </w:tcPr>
          <w:p w14:paraId="7827C0C5" w14:textId="77777777" w:rsidR="005B24D2" w:rsidRPr="00A54413" w:rsidRDefault="005B24D2" w:rsidP="00627460">
            <w:pPr>
              <w:widowControl/>
              <w:jc w:val="left"/>
              <w:rPr>
                <w:rFonts w:ascii="Cambria" w:eastAsia="Times New Roman" w:hAnsi="Cambria" w:cs="Calibri"/>
                <w:b/>
                <w:bCs/>
                <w:color w:val="auto"/>
                <w:sz w:val="18"/>
                <w:szCs w:val="18"/>
                <w:lang w:eastAsia="ja-JP" w:bidi="ar-SA"/>
              </w:rPr>
            </w:pPr>
          </w:p>
        </w:tc>
        <w:tc>
          <w:tcPr>
            <w:tcW w:w="751" w:type="dxa"/>
            <w:tcBorders>
              <w:top w:val="nil"/>
              <w:left w:val="single" w:sz="4" w:space="0" w:color="auto"/>
              <w:bottom w:val="single" w:sz="8" w:space="0" w:color="auto"/>
              <w:right w:val="nil"/>
            </w:tcBorders>
            <w:shd w:val="clear" w:color="auto" w:fill="auto"/>
            <w:vAlign w:val="center"/>
            <w:hideMark/>
          </w:tcPr>
          <w:p w14:paraId="281B2D45"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35A47287"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00CA834F"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741C0E24"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73576DDE"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r>
      <w:tr w:rsidR="005B24D2" w:rsidRPr="00A54413" w14:paraId="5AEB8DEC" w14:textId="77777777" w:rsidTr="00627460">
        <w:trPr>
          <w:trHeight w:val="20"/>
        </w:trPr>
        <w:tc>
          <w:tcPr>
            <w:tcW w:w="2922" w:type="dxa"/>
            <w:tcBorders>
              <w:top w:val="nil"/>
              <w:left w:val="single" w:sz="8" w:space="0" w:color="auto"/>
              <w:bottom w:val="single" w:sz="8" w:space="0" w:color="auto"/>
              <w:right w:val="single" w:sz="8" w:space="0" w:color="auto"/>
            </w:tcBorders>
            <w:shd w:val="clear" w:color="auto" w:fill="auto"/>
            <w:noWrap/>
            <w:vAlign w:val="center"/>
            <w:hideMark/>
          </w:tcPr>
          <w:p w14:paraId="44BF2223"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Palangrier de plus de 40m</w:t>
            </w:r>
          </w:p>
        </w:tc>
        <w:tc>
          <w:tcPr>
            <w:tcW w:w="1641" w:type="dxa"/>
            <w:tcBorders>
              <w:top w:val="nil"/>
              <w:left w:val="nil"/>
              <w:bottom w:val="single" w:sz="8" w:space="0" w:color="auto"/>
              <w:right w:val="single" w:sz="8" w:space="0" w:color="auto"/>
            </w:tcBorders>
            <w:shd w:val="clear" w:color="auto" w:fill="auto"/>
            <w:noWrap/>
            <w:vAlign w:val="center"/>
            <w:hideMark/>
          </w:tcPr>
          <w:p w14:paraId="738D62D1"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25</w:t>
            </w:r>
          </w:p>
        </w:tc>
        <w:tc>
          <w:tcPr>
            <w:tcW w:w="659" w:type="dxa"/>
            <w:tcBorders>
              <w:top w:val="single" w:sz="8" w:space="0" w:color="auto"/>
              <w:left w:val="nil"/>
              <w:bottom w:val="single" w:sz="8" w:space="0" w:color="auto"/>
              <w:right w:val="single" w:sz="4" w:space="0" w:color="auto"/>
            </w:tcBorders>
          </w:tcPr>
          <w:p w14:paraId="1214DE6B"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45A57754"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77DF9DCA"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58B54B23"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3E106830"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1679D78D"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276" w:type="dxa"/>
            <w:tcBorders>
              <w:top w:val="nil"/>
              <w:left w:val="nil"/>
              <w:bottom w:val="single" w:sz="8" w:space="0" w:color="auto"/>
              <w:right w:val="nil"/>
            </w:tcBorders>
            <w:shd w:val="clear" w:color="000000" w:fill="D9D9D9"/>
            <w:vAlign w:val="center"/>
            <w:hideMark/>
          </w:tcPr>
          <w:p w14:paraId="5B4EF518" w14:textId="77777777" w:rsidR="005B24D2" w:rsidRPr="00A54413" w:rsidRDefault="005B24D2" w:rsidP="00627460">
            <w:pPr>
              <w:widowControl/>
              <w:jc w:val="left"/>
              <w:rPr>
                <w:rFonts w:ascii="Cambria" w:eastAsia="Times New Roman" w:hAnsi="Cambria" w:cs="Calibri"/>
                <w:sz w:val="18"/>
                <w:szCs w:val="18"/>
              </w:rPr>
            </w:pPr>
            <w:r w:rsidRPr="00A54413">
              <w:rPr>
                <w:rFonts w:ascii="Cambria" w:hAnsi="Cambria"/>
                <w:sz w:val="18"/>
                <w:szCs w:val="18"/>
              </w:rPr>
              <w:t> </w:t>
            </w:r>
          </w:p>
        </w:tc>
        <w:tc>
          <w:tcPr>
            <w:tcW w:w="599" w:type="dxa"/>
            <w:tcBorders>
              <w:top w:val="nil"/>
              <w:left w:val="single" w:sz="4" w:space="0" w:color="auto"/>
              <w:bottom w:val="single" w:sz="8" w:space="0" w:color="auto"/>
              <w:right w:val="single" w:sz="4" w:space="0" w:color="auto"/>
            </w:tcBorders>
          </w:tcPr>
          <w:p w14:paraId="7F1D6E62"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751" w:type="dxa"/>
            <w:tcBorders>
              <w:top w:val="nil"/>
              <w:left w:val="single" w:sz="4" w:space="0" w:color="auto"/>
              <w:bottom w:val="single" w:sz="8" w:space="0" w:color="auto"/>
              <w:right w:val="nil"/>
            </w:tcBorders>
            <w:shd w:val="clear" w:color="auto" w:fill="auto"/>
            <w:vAlign w:val="center"/>
            <w:hideMark/>
          </w:tcPr>
          <w:p w14:paraId="2720AF8C"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2BFB50C6"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63567745"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072A8CE1"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066B3C0E"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r>
      <w:tr w:rsidR="005B24D2" w:rsidRPr="00A54413" w14:paraId="3BFFE711" w14:textId="77777777" w:rsidTr="00627460">
        <w:trPr>
          <w:trHeight w:val="20"/>
        </w:trPr>
        <w:tc>
          <w:tcPr>
            <w:tcW w:w="2922" w:type="dxa"/>
            <w:tcBorders>
              <w:top w:val="nil"/>
              <w:left w:val="single" w:sz="8" w:space="0" w:color="auto"/>
              <w:bottom w:val="single" w:sz="8" w:space="0" w:color="auto"/>
              <w:right w:val="single" w:sz="8" w:space="0" w:color="auto"/>
            </w:tcBorders>
            <w:shd w:val="clear" w:color="auto" w:fill="auto"/>
            <w:noWrap/>
            <w:vAlign w:val="center"/>
            <w:hideMark/>
          </w:tcPr>
          <w:p w14:paraId="19B0705A"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Palangrier entre 24 et 40 m</w:t>
            </w:r>
          </w:p>
        </w:tc>
        <w:tc>
          <w:tcPr>
            <w:tcW w:w="1641" w:type="dxa"/>
            <w:tcBorders>
              <w:top w:val="nil"/>
              <w:left w:val="nil"/>
              <w:bottom w:val="single" w:sz="8" w:space="0" w:color="auto"/>
              <w:right w:val="single" w:sz="8" w:space="0" w:color="auto"/>
            </w:tcBorders>
            <w:shd w:val="clear" w:color="auto" w:fill="auto"/>
            <w:noWrap/>
            <w:vAlign w:val="center"/>
            <w:hideMark/>
          </w:tcPr>
          <w:p w14:paraId="20D2E977"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5,68</w:t>
            </w:r>
          </w:p>
        </w:tc>
        <w:tc>
          <w:tcPr>
            <w:tcW w:w="659" w:type="dxa"/>
            <w:tcBorders>
              <w:top w:val="single" w:sz="8" w:space="0" w:color="auto"/>
              <w:left w:val="nil"/>
              <w:bottom w:val="single" w:sz="8" w:space="0" w:color="auto"/>
              <w:right w:val="single" w:sz="4" w:space="0" w:color="auto"/>
            </w:tcBorders>
          </w:tcPr>
          <w:p w14:paraId="5653399E"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51D655DD"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26A8D59B"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36175860"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38A63623"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5B77BFB2"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276" w:type="dxa"/>
            <w:tcBorders>
              <w:top w:val="nil"/>
              <w:left w:val="nil"/>
              <w:bottom w:val="single" w:sz="8" w:space="0" w:color="auto"/>
              <w:right w:val="nil"/>
            </w:tcBorders>
            <w:shd w:val="clear" w:color="000000" w:fill="D9D9D9"/>
            <w:vAlign w:val="center"/>
            <w:hideMark/>
          </w:tcPr>
          <w:p w14:paraId="1C01E77C" w14:textId="77777777" w:rsidR="005B24D2" w:rsidRPr="00A54413" w:rsidRDefault="005B24D2" w:rsidP="00627460">
            <w:pPr>
              <w:widowControl/>
              <w:jc w:val="left"/>
              <w:rPr>
                <w:rFonts w:ascii="Cambria" w:eastAsia="Times New Roman" w:hAnsi="Cambria" w:cs="Calibri"/>
                <w:sz w:val="18"/>
                <w:szCs w:val="18"/>
              </w:rPr>
            </w:pPr>
            <w:r w:rsidRPr="00A54413">
              <w:rPr>
                <w:rFonts w:ascii="Cambria" w:hAnsi="Cambria"/>
                <w:sz w:val="18"/>
                <w:szCs w:val="18"/>
              </w:rPr>
              <w:t> </w:t>
            </w:r>
          </w:p>
        </w:tc>
        <w:tc>
          <w:tcPr>
            <w:tcW w:w="599" w:type="dxa"/>
            <w:tcBorders>
              <w:top w:val="nil"/>
              <w:left w:val="single" w:sz="4" w:space="0" w:color="auto"/>
              <w:bottom w:val="single" w:sz="8" w:space="0" w:color="auto"/>
              <w:right w:val="single" w:sz="4" w:space="0" w:color="auto"/>
            </w:tcBorders>
          </w:tcPr>
          <w:p w14:paraId="101A2F08"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751" w:type="dxa"/>
            <w:tcBorders>
              <w:top w:val="nil"/>
              <w:left w:val="single" w:sz="4" w:space="0" w:color="auto"/>
              <w:bottom w:val="single" w:sz="8" w:space="0" w:color="auto"/>
              <w:right w:val="nil"/>
            </w:tcBorders>
            <w:shd w:val="clear" w:color="auto" w:fill="auto"/>
            <w:vAlign w:val="center"/>
            <w:hideMark/>
          </w:tcPr>
          <w:p w14:paraId="578AF51C"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08EA1DA6"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1880210E"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0680CEF6"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169061AD"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r>
      <w:tr w:rsidR="005B24D2" w:rsidRPr="00A54413" w14:paraId="24A70494" w14:textId="77777777" w:rsidTr="00627460">
        <w:trPr>
          <w:trHeight w:val="20"/>
        </w:trPr>
        <w:tc>
          <w:tcPr>
            <w:tcW w:w="2922" w:type="dxa"/>
            <w:tcBorders>
              <w:top w:val="nil"/>
              <w:left w:val="single" w:sz="8" w:space="0" w:color="auto"/>
              <w:bottom w:val="single" w:sz="8" w:space="0" w:color="auto"/>
              <w:right w:val="single" w:sz="8" w:space="0" w:color="auto"/>
            </w:tcBorders>
            <w:shd w:val="clear" w:color="auto" w:fill="auto"/>
            <w:noWrap/>
            <w:vAlign w:val="center"/>
            <w:hideMark/>
          </w:tcPr>
          <w:p w14:paraId="63503A03"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Palangrier de moins de 24 m</w:t>
            </w:r>
          </w:p>
        </w:tc>
        <w:tc>
          <w:tcPr>
            <w:tcW w:w="1641" w:type="dxa"/>
            <w:tcBorders>
              <w:top w:val="nil"/>
              <w:left w:val="nil"/>
              <w:bottom w:val="single" w:sz="8" w:space="0" w:color="auto"/>
              <w:right w:val="single" w:sz="8" w:space="0" w:color="auto"/>
            </w:tcBorders>
            <w:shd w:val="clear" w:color="auto" w:fill="auto"/>
            <w:noWrap/>
            <w:vAlign w:val="center"/>
            <w:hideMark/>
          </w:tcPr>
          <w:p w14:paraId="17CE5FD5"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5</w:t>
            </w:r>
          </w:p>
        </w:tc>
        <w:tc>
          <w:tcPr>
            <w:tcW w:w="659" w:type="dxa"/>
            <w:tcBorders>
              <w:top w:val="single" w:sz="8" w:space="0" w:color="auto"/>
              <w:left w:val="nil"/>
              <w:bottom w:val="single" w:sz="8" w:space="0" w:color="auto"/>
              <w:right w:val="single" w:sz="4" w:space="0" w:color="auto"/>
            </w:tcBorders>
          </w:tcPr>
          <w:p w14:paraId="633F2094"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07D1C26F"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151CC8AF"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0C4BA96F"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4DAFC238"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6ABAAF57"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276" w:type="dxa"/>
            <w:tcBorders>
              <w:top w:val="nil"/>
              <w:left w:val="nil"/>
              <w:bottom w:val="single" w:sz="8" w:space="0" w:color="auto"/>
              <w:right w:val="nil"/>
            </w:tcBorders>
            <w:shd w:val="clear" w:color="000000" w:fill="D9D9D9"/>
            <w:vAlign w:val="center"/>
            <w:hideMark/>
          </w:tcPr>
          <w:p w14:paraId="16E58402" w14:textId="77777777" w:rsidR="005B24D2" w:rsidRPr="00A54413" w:rsidRDefault="005B24D2" w:rsidP="00627460">
            <w:pPr>
              <w:widowControl/>
              <w:jc w:val="left"/>
              <w:rPr>
                <w:rFonts w:ascii="Cambria" w:eastAsia="Times New Roman" w:hAnsi="Cambria" w:cs="Calibri"/>
                <w:sz w:val="18"/>
                <w:szCs w:val="18"/>
              </w:rPr>
            </w:pPr>
            <w:r w:rsidRPr="00A54413">
              <w:rPr>
                <w:rFonts w:ascii="Cambria" w:hAnsi="Cambria"/>
                <w:sz w:val="18"/>
                <w:szCs w:val="18"/>
              </w:rPr>
              <w:t> </w:t>
            </w:r>
          </w:p>
        </w:tc>
        <w:tc>
          <w:tcPr>
            <w:tcW w:w="599" w:type="dxa"/>
            <w:tcBorders>
              <w:top w:val="nil"/>
              <w:left w:val="single" w:sz="4" w:space="0" w:color="auto"/>
              <w:bottom w:val="single" w:sz="8" w:space="0" w:color="auto"/>
              <w:right w:val="single" w:sz="4" w:space="0" w:color="auto"/>
            </w:tcBorders>
          </w:tcPr>
          <w:p w14:paraId="7E060DAD"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751" w:type="dxa"/>
            <w:tcBorders>
              <w:top w:val="nil"/>
              <w:left w:val="single" w:sz="4" w:space="0" w:color="auto"/>
              <w:bottom w:val="single" w:sz="8" w:space="0" w:color="auto"/>
              <w:right w:val="nil"/>
            </w:tcBorders>
            <w:shd w:val="clear" w:color="auto" w:fill="auto"/>
            <w:vAlign w:val="center"/>
            <w:hideMark/>
          </w:tcPr>
          <w:p w14:paraId="49479497"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5A1C50AD"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0B4FE54D"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131C7665"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45F6B5BE"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r>
      <w:tr w:rsidR="005B24D2" w:rsidRPr="00A54413" w14:paraId="28643115" w14:textId="77777777" w:rsidTr="00627460">
        <w:trPr>
          <w:trHeight w:val="20"/>
        </w:trPr>
        <w:tc>
          <w:tcPr>
            <w:tcW w:w="2922" w:type="dxa"/>
            <w:tcBorders>
              <w:top w:val="nil"/>
              <w:left w:val="single" w:sz="8" w:space="0" w:color="auto"/>
              <w:bottom w:val="single" w:sz="8" w:space="0" w:color="auto"/>
              <w:right w:val="single" w:sz="8" w:space="0" w:color="auto"/>
            </w:tcBorders>
            <w:shd w:val="clear" w:color="auto" w:fill="auto"/>
            <w:noWrap/>
            <w:vAlign w:val="center"/>
            <w:hideMark/>
          </w:tcPr>
          <w:p w14:paraId="36677157"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Flottille totale de palangriers</w:t>
            </w:r>
          </w:p>
        </w:tc>
        <w:tc>
          <w:tcPr>
            <w:tcW w:w="1641" w:type="dxa"/>
            <w:tcBorders>
              <w:top w:val="nil"/>
              <w:left w:val="nil"/>
              <w:bottom w:val="single" w:sz="8" w:space="0" w:color="auto"/>
              <w:right w:val="single" w:sz="8" w:space="0" w:color="auto"/>
            </w:tcBorders>
            <w:shd w:val="clear" w:color="auto" w:fill="auto"/>
            <w:noWrap/>
            <w:vAlign w:val="center"/>
            <w:hideMark/>
          </w:tcPr>
          <w:p w14:paraId="3973ECB3" w14:textId="77777777" w:rsidR="005B24D2" w:rsidRPr="00A54413" w:rsidRDefault="005B24D2" w:rsidP="00627460">
            <w:pPr>
              <w:widowControl/>
              <w:jc w:val="left"/>
              <w:rPr>
                <w:rFonts w:eastAsia="Times New Roman"/>
                <w:sz w:val="18"/>
                <w:szCs w:val="18"/>
              </w:rPr>
            </w:pPr>
            <w:r w:rsidRPr="00A54413">
              <w:rPr>
                <w:sz w:val="18"/>
                <w:szCs w:val="18"/>
              </w:rPr>
              <w:t> </w:t>
            </w:r>
          </w:p>
        </w:tc>
        <w:tc>
          <w:tcPr>
            <w:tcW w:w="659" w:type="dxa"/>
            <w:tcBorders>
              <w:top w:val="single" w:sz="8" w:space="0" w:color="auto"/>
              <w:left w:val="nil"/>
              <w:bottom w:val="single" w:sz="8" w:space="0" w:color="auto"/>
              <w:right w:val="single" w:sz="4" w:space="0" w:color="auto"/>
            </w:tcBorders>
          </w:tcPr>
          <w:p w14:paraId="2F4C5D8E" w14:textId="77777777" w:rsidR="005B24D2" w:rsidRPr="00A54413" w:rsidRDefault="005B24D2" w:rsidP="00627460">
            <w:pPr>
              <w:widowControl/>
              <w:jc w:val="left"/>
              <w:rPr>
                <w:rFonts w:ascii="Cambria" w:eastAsia="Times New Roman" w:hAnsi="Cambria" w:cs="Calibri"/>
                <w:b/>
                <w:bCs/>
                <w:color w:val="auto"/>
                <w:sz w:val="18"/>
                <w:szCs w:val="18"/>
                <w:lang w:eastAsia="ja-JP" w:bidi="ar-SA"/>
              </w:rPr>
            </w:pP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1FADD1DA"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6A5853B0"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598F6951"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6DC83538"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34AE9BA8"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276" w:type="dxa"/>
            <w:tcBorders>
              <w:top w:val="nil"/>
              <w:left w:val="nil"/>
              <w:bottom w:val="single" w:sz="8" w:space="0" w:color="auto"/>
              <w:right w:val="nil"/>
            </w:tcBorders>
            <w:shd w:val="clear" w:color="000000" w:fill="D9D9D9"/>
            <w:vAlign w:val="center"/>
            <w:hideMark/>
          </w:tcPr>
          <w:p w14:paraId="29964EAE" w14:textId="77777777" w:rsidR="005B24D2" w:rsidRPr="00A54413" w:rsidRDefault="005B24D2" w:rsidP="00627460">
            <w:pPr>
              <w:widowControl/>
              <w:jc w:val="left"/>
              <w:rPr>
                <w:rFonts w:ascii="Cambria" w:eastAsia="Times New Roman" w:hAnsi="Cambria" w:cs="Calibri"/>
                <w:b/>
                <w:bCs/>
                <w:sz w:val="18"/>
                <w:szCs w:val="18"/>
              </w:rPr>
            </w:pPr>
            <w:r w:rsidRPr="00A54413">
              <w:rPr>
                <w:rFonts w:ascii="Cambria" w:hAnsi="Cambria"/>
                <w:b/>
                <w:bCs/>
                <w:sz w:val="18"/>
                <w:szCs w:val="18"/>
              </w:rPr>
              <w:t> </w:t>
            </w:r>
          </w:p>
        </w:tc>
        <w:tc>
          <w:tcPr>
            <w:tcW w:w="599" w:type="dxa"/>
            <w:tcBorders>
              <w:top w:val="nil"/>
              <w:left w:val="single" w:sz="4" w:space="0" w:color="auto"/>
              <w:bottom w:val="single" w:sz="8" w:space="0" w:color="auto"/>
              <w:right w:val="single" w:sz="4" w:space="0" w:color="auto"/>
            </w:tcBorders>
          </w:tcPr>
          <w:p w14:paraId="06552A1A" w14:textId="77777777" w:rsidR="005B24D2" w:rsidRPr="00A54413" w:rsidRDefault="005B24D2" w:rsidP="00627460">
            <w:pPr>
              <w:widowControl/>
              <w:jc w:val="left"/>
              <w:rPr>
                <w:rFonts w:ascii="Cambria" w:eastAsia="Times New Roman" w:hAnsi="Cambria" w:cs="Calibri"/>
                <w:b/>
                <w:bCs/>
                <w:color w:val="auto"/>
                <w:sz w:val="18"/>
                <w:szCs w:val="18"/>
                <w:lang w:eastAsia="ja-JP" w:bidi="ar-SA"/>
              </w:rPr>
            </w:pPr>
          </w:p>
        </w:tc>
        <w:tc>
          <w:tcPr>
            <w:tcW w:w="751" w:type="dxa"/>
            <w:tcBorders>
              <w:top w:val="nil"/>
              <w:left w:val="single" w:sz="4" w:space="0" w:color="auto"/>
              <w:bottom w:val="single" w:sz="8" w:space="0" w:color="auto"/>
              <w:right w:val="nil"/>
            </w:tcBorders>
            <w:shd w:val="clear" w:color="auto" w:fill="auto"/>
            <w:vAlign w:val="center"/>
            <w:hideMark/>
          </w:tcPr>
          <w:p w14:paraId="0C3CE677"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17620D7E"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27AC5F56"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1AD22170"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0A598C33"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r>
      <w:tr w:rsidR="005B24D2" w:rsidRPr="00A54413" w14:paraId="0CA60AE7" w14:textId="77777777" w:rsidTr="00627460">
        <w:trPr>
          <w:trHeight w:val="20"/>
        </w:trPr>
        <w:tc>
          <w:tcPr>
            <w:tcW w:w="2922" w:type="dxa"/>
            <w:tcBorders>
              <w:top w:val="nil"/>
              <w:left w:val="single" w:sz="8" w:space="0" w:color="auto"/>
              <w:bottom w:val="single" w:sz="8" w:space="0" w:color="auto"/>
              <w:right w:val="single" w:sz="8" w:space="0" w:color="auto"/>
            </w:tcBorders>
            <w:shd w:val="clear" w:color="auto" w:fill="auto"/>
            <w:noWrap/>
            <w:vAlign w:val="center"/>
            <w:hideMark/>
          </w:tcPr>
          <w:p w14:paraId="26BBC115"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Canneur</w:t>
            </w:r>
          </w:p>
        </w:tc>
        <w:tc>
          <w:tcPr>
            <w:tcW w:w="1641" w:type="dxa"/>
            <w:tcBorders>
              <w:top w:val="nil"/>
              <w:left w:val="nil"/>
              <w:bottom w:val="single" w:sz="8" w:space="0" w:color="auto"/>
              <w:right w:val="single" w:sz="8" w:space="0" w:color="auto"/>
            </w:tcBorders>
            <w:shd w:val="clear" w:color="auto" w:fill="auto"/>
            <w:noWrap/>
            <w:vAlign w:val="center"/>
            <w:hideMark/>
          </w:tcPr>
          <w:p w14:paraId="0BEAFCED"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19,8</w:t>
            </w:r>
          </w:p>
        </w:tc>
        <w:tc>
          <w:tcPr>
            <w:tcW w:w="659" w:type="dxa"/>
            <w:tcBorders>
              <w:top w:val="single" w:sz="8" w:space="0" w:color="auto"/>
              <w:left w:val="nil"/>
              <w:bottom w:val="single" w:sz="8" w:space="0" w:color="auto"/>
              <w:right w:val="single" w:sz="4" w:space="0" w:color="auto"/>
            </w:tcBorders>
          </w:tcPr>
          <w:p w14:paraId="50F5CFB6" w14:textId="77777777" w:rsidR="005B24D2" w:rsidRPr="00A54413" w:rsidRDefault="005B24D2" w:rsidP="00627460">
            <w:pPr>
              <w:widowControl/>
              <w:jc w:val="left"/>
              <w:rPr>
                <w:rFonts w:ascii="Cambria" w:eastAsia="Times New Roman" w:hAnsi="Cambria" w:cs="Calibri"/>
                <w:b/>
                <w:bCs/>
                <w:color w:val="auto"/>
                <w:sz w:val="18"/>
                <w:szCs w:val="18"/>
                <w:lang w:eastAsia="ja-JP" w:bidi="ar-SA"/>
              </w:rPr>
            </w:pP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012E5B21"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6A6AA494"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1838A653"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505173F3"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5FDA1B26"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276" w:type="dxa"/>
            <w:tcBorders>
              <w:top w:val="nil"/>
              <w:left w:val="nil"/>
              <w:bottom w:val="single" w:sz="8" w:space="0" w:color="auto"/>
              <w:right w:val="nil"/>
            </w:tcBorders>
            <w:shd w:val="clear" w:color="000000" w:fill="D9D9D9"/>
            <w:vAlign w:val="center"/>
            <w:hideMark/>
          </w:tcPr>
          <w:p w14:paraId="4D5073E5" w14:textId="77777777" w:rsidR="005B24D2" w:rsidRPr="00A54413" w:rsidRDefault="005B24D2" w:rsidP="00627460">
            <w:pPr>
              <w:widowControl/>
              <w:jc w:val="left"/>
              <w:rPr>
                <w:rFonts w:ascii="Cambria" w:eastAsia="Times New Roman" w:hAnsi="Cambria" w:cs="Calibri"/>
                <w:b/>
                <w:bCs/>
                <w:sz w:val="18"/>
                <w:szCs w:val="18"/>
              </w:rPr>
            </w:pPr>
            <w:r w:rsidRPr="00A54413">
              <w:rPr>
                <w:rFonts w:ascii="Cambria" w:hAnsi="Cambria"/>
                <w:b/>
                <w:bCs/>
                <w:sz w:val="18"/>
                <w:szCs w:val="18"/>
              </w:rPr>
              <w:t> </w:t>
            </w:r>
          </w:p>
        </w:tc>
        <w:tc>
          <w:tcPr>
            <w:tcW w:w="599" w:type="dxa"/>
            <w:tcBorders>
              <w:top w:val="nil"/>
              <w:left w:val="single" w:sz="4" w:space="0" w:color="auto"/>
              <w:bottom w:val="single" w:sz="8" w:space="0" w:color="auto"/>
              <w:right w:val="single" w:sz="4" w:space="0" w:color="auto"/>
            </w:tcBorders>
          </w:tcPr>
          <w:p w14:paraId="227AF208" w14:textId="77777777" w:rsidR="005B24D2" w:rsidRPr="00A54413" w:rsidRDefault="005B24D2" w:rsidP="00627460">
            <w:pPr>
              <w:widowControl/>
              <w:jc w:val="left"/>
              <w:rPr>
                <w:rFonts w:ascii="Cambria" w:eastAsia="Times New Roman" w:hAnsi="Cambria" w:cs="Calibri"/>
                <w:b/>
                <w:bCs/>
                <w:color w:val="auto"/>
                <w:sz w:val="18"/>
                <w:szCs w:val="18"/>
                <w:lang w:eastAsia="ja-JP" w:bidi="ar-SA"/>
              </w:rPr>
            </w:pPr>
          </w:p>
        </w:tc>
        <w:tc>
          <w:tcPr>
            <w:tcW w:w="751" w:type="dxa"/>
            <w:tcBorders>
              <w:top w:val="nil"/>
              <w:left w:val="single" w:sz="4" w:space="0" w:color="auto"/>
              <w:bottom w:val="single" w:sz="8" w:space="0" w:color="auto"/>
              <w:right w:val="nil"/>
            </w:tcBorders>
            <w:shd w:val="clear" w:color="auto" w:fill="auto"/>
            <w:vAlign w:val="center"/>
            <w:hideMark/>
          </w:tcPr>
          <w:p w14:paraId="61A3EE94"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69047D27"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6C4235C1"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43151F3B"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1C5BE67D"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r>
      <w:tr w:rsidR="005B24D2" w:rsidRPr="00A54413" w14:paraId="2288E03C" w14:textId="77777777" w:rsidTr="00627460">
        <w:trPr>
          <w:trHeight w:val="20"/>
        </w:trPr>
        <w:tc>
          <w:tcPr>
            <w:tcW w:w="2922" w:type="dxa"/>
            <w:tcBorders>
              <w:top w:val="nil"/>
              <w:left w:val="single" w:sz="8" w:space="0" w:color="auto"/>
              <w:bottom w:val="single" w:sz="8" w:space="0" w:color="auto"/>
              <w:right w:val="single" w:sz="8" w:space="0" w:color="auto"/>
            </w:tcBorders>
            <w:shd w:val="clear" w:color="auto" w:fill="auto"/>
            <w:noWrap/>
            <w:vAlign w:val="center"/>
            <w:hideMark/>
          </w:tcPr>
          <w:p w14:paraId="58FCE9F4"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Ligne à main</w:t>
            </w:r>
          </w:p>
        </w:tc>
        <w:tc>
          <w:tcPr>
            <w:tcW w:w="1641" w:type="dxa"/>
            <w:tcBorders>
              <w:top w:val="nil"/>
              <w:left w:val="nil"/>
              <w:bottom w:val="single" w:sz="8" w:space="0" w:color="auto"/>
              <w:right w:val="single" w:sz="8" w:space="0" w:color="auto"/>
            </w:tcBorders>
            <w:shd w:val="clear" w:color="auto" w:fill="auto"/>
            <w:noWrap/>
            <w:vAlign w:val="center"/>
            <w:hideMark/>
          </w:tcPr>
          <w:p w14:paraId="79A80BA8"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5</w:t>
            </w:r>
          </w:p>
        </w:tc>
        <w:tc>
          <w:tcPr>
            <w:tcW w:w="659" w:type="dxa"/>
            <w:tcBorders>
              <w:top w:val="single" w:sz="8" w:space="0" w:color="auto"/>
              <w:left w:val="nil"/>
              <w:bottom w:val="single" w:sz="8" w:space="0" w:color="auto"/>
              <w:right w:val="single" w:sz="4" w:space="0" w:color="auto"/>
            </w:tcBorders>
          </w:tcPr>
          <w:p w14:paraId="3ED419F4"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69F46B19"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60BD8688"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61DEF130"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40D799DA"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2A360AC0"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276" w:type="dxa"/>
            <w:tcBorders>
              <w:top w:val="nil"/>
              <w:left w:val="nil"/>
              <w:bottom w:val="single" w:sz="8" w:space="0" w:color="auto"/>
              <w:right w:val="nil"/>
            </w:tcBorders>
            <w:shd w:val="clear" w:color="000000" w:fill="D9D9D9"/>
            <w:vAlign w:val="center"/>
            <w:hideMark/>
          </w:tcPr>
          <w:p w14:paraId="76473752" w14:textId="77777777" w:rsidR="005B24D2" w:rsidRPr="00A54413" w:rsidRDefault="005B24D2" w:rsidP="00627460">
            <w:pPr>
              <w:widowControl/>
              <w:jc w:val="left"/>
              <w:rPr>
                <w:rFonts w:ascii="Cambria" w:eastAsia="Times New Roman" w:hAnsi="Cambria" w:cs="Calibri"/>
                <w:sz w:val="18"/>
                <w:szCs w:val="18"/>
              </w:rPr>
            </w:pPr>
            <w:r w:rsidRPr="00A54413">
              <w:rPr>
                <w:rFonts w:ascii="Cambria" w:hAnsi="Cambria"/>
                <w:sz w:val="18"/>
                <w:szCs w:val="18"/>
              </w:rPr>
              <w:t> </w:t>
            </w:r>
          </w:p>
        </w:tc>
        <w:tc>
          <w:tcPr>
            <w:tcW w:w="599" w:type="dxa"/>
            <w:tcBorders>
              <w:top w:val="nil"/>
              <w:left w:val="single" w:sz="4" w:space="0" w:color="auto"/>
              <w:bottom w:val="single" w:sz="8" w:space="0" w:color="auto"/>
              <w:right w:val="single" w:sz="4" w:space="0" w:color="auto"/>
            </w:tcBorders>
          </w:tcPr>
          <w:p w14:paraId="2522413F"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751" w:type="dxa"/>
            <w:tcBorders>
              <w:top w:val="nil"/>
              <w:left w:val="single" w:sz="4" w:space="0" w:color="auto"/>
              <w:bottom w:val="single" w:sz="8" w:space="0" w:color="auto"/>
              <w:right w:val="nil"/>
            </w:tcBorders>
            <w:shd w:val="clear" w:color="auto" w:fill="auto"/>
            <w:vAlign w:val="center"/>
            <w:hideMark/>
          </w:tcPr>
          <w:p w14:paraId="2E2DDC7D"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30706FA4"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6477C450"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61B313D1"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2E0C2234"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r>
      <w:tr w:rsidR="005B24D2" w:rsidRPr="00A54413" w14:paraId="33B31401" w14:textId="77777777" w:rsidTr="00627460">
        <w:trPr>
          <w:trHeight w:val="20"/>
        </w:trPr>
        <w:tc>
          <w:tcPr>
            <w:tcW w:w="2922" w:type="dxa"/>
            <w:tcBorders>
              <w:top w:val="nil"/>
              <w:left w:val="single" w:sz="8" w:space="0" w:color="auto"/>
              <w:bottom w:val="single" w:sz="8" w:space="0" w:color="auto"/>
              <w:right w:val="single" w:sz="8" w:space="0" w:color="auto"/>
            </w:tcBorders>
            <w:shd w:val="clear" w:color="auto" w:fill="auto"/>
            <w:noWrap/>
            <w:vAlign w:val="center"/>
            <w:hideMark/>
          </w:tcPr>
          <w:p w14:paraId="780F323D"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Chalutier</w:t>
            </w:r>
          </w:p>
        </w:tc>
        <w:tc>
          <w:tcPr>
            <w:tcW w:w="1641" w:type="dxa"/>
            <w:tcBorders>
              <w:top w:val="nil"/>
              <w:left w:val="nil"/>
              <w:bottom w:val="single" w:sz="8" w:space="0" w:color="auto"/>
              <w:right w:val="single" w:sz="8" w:space="0" w:color="auto"/>
            </w:tcBorders>
            <w:shd w:val="clear" w:color="auto" w:fill="auto"/>
            <w:noWrap/>
            <w:vAlign w:val="center"/>
            <w:hideMark/>
          </w:tcPr>
          <w:p w14:paraId="7A074332"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10</w:t>
            </w:r>
          </w:p>
        </w:tc>
        <w:tc>
          <w:tcPr>
            <w:tcW w:w="659" w:type="dxa"/>
            <w:tcBorders>
              <w:top w:val="single" w:sz="8" w:space="0" w:color="auto"/>
              <w:left w:val="nil"/>
              <w:bottom w:val="single" w:sz="8" w:space="0" w:color="auto"/>
              <w:right w:val="single" w:sz="4" w:space="0" w:color="auto"/>
            </w:tcBorders>
          </w:tcPr>
          <w:p w14:paraId="03A9CAE1"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23D8DB01"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515670DB"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7C3463F0"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00EADAFD"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4CDFC57F"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276" w:type="dxa"/>
            <w:tcBorders>
              <w:top w:val="nil"/>
              <w:left w:val="nil"/>
              <w:bottom w:val="single" w:sz="8" w:space="0" w:color="auto"/>
              <w:right w:val="nil"/>
            </w:tcBorders>
            <w:shd w:val="clear" w:color="000000" w:fill="D9D9D9"/>
            <w:vAlign w:val="center"/>
            <w:hideMark/>
          </w:tcPr>
          <w:p w14:paraId="3FA86BB6" w14:textId="77777777" w:rsidR="005B24D2" w:rsidRPr="00A54413" w:rsidRDefault="005B24D2" w:rsidP="00627460">
            <w:pPr>
              <w:widowControl/>
              <w:jc w:val="left"/>
              <w:rPr>
                <w:rFonts w:ascii="Cambria" w:eastAsia="Times New Roman" w:hAnsi="Cambria" w:cs="Calibri"/>
                <w:sz w:val="18"/>
                <w:szCs w:val="18"/>
              </w:rPr>
            </w:pPr>
            <w:r w:rsidRPr="00A54413">
              <w:rPr>
                <w:rFonts w:ascii="Cambria" w:hAnsi="Cambria"/>
                <w:sz w:val="18"/>
                <w:szCs w:val="18"/>
              </w:rPr>
              <w:t> </w:t>
            </w:r>
          </w:p>
        </w:tc>
        <w:tc>
          <w:tcPr>
            <w:tcW w:w="599" w:type="dxa"/>
            <w:tcBorders>
              <w:top w:val="nil"/>
              <w:left w:val="single" w:sz="4" w:space="0" w:color="auto"/>
              <w:bottom w:val="single" w:sz="8" w:space="0" w:color="auto"/>
              <w:right w:val="single" w:sz="4" w:space="0" w:color="auto"/>
            </w:tcBorders>
          </w:tcPr>
          <w:p w14:paraId="3B38EA80"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751" w:type="dxa"/>
            <w:tcBorders>
              <w:top w:val="nil"/>
              <w:left w:val="single" w:sz="4" w:space="0" w:color="auto"/>
              <w:bottom w:val="single" w:sz="8" w:space="0" w:color="auto"/>
              <w:right w:val="nil"/>
            </w:tcBorders>
            <w:shd w:val="clear" w:color="auto" w:fill="auto"/>
            <w:vAlign w:val="center"/>
            <w:hideMark/>
          </w:tcPr>
          <w:p w14:paraId="118911FC"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5283B016"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21071708"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280B5BFC"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56D4905D"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r>
      <w:tr w:rsidR="005B24D2" w:rsidRPr="00A54413" w14:paraId="50C11C17" w14:textId="77777777" w:rsidTr="00627460">
        <w:trPr>
          <w:trHeight w:val="20"/>
        </w:trPr>
        <w:tc>
          <w:tcPr>
            <w:tcW w:w="2922" w:type="dxa"/>
            <w:tcBorders>
              <w:top w:val="nil"/>
              <w:left w:val="single" w:sz="8" w:space="0" w:color="auto"/>
              <w:bottom w:val="single" w:sz="8" w:space="0" w:color="auto"/>
              <w:right w:val="single" w:sz="8" w:space="0" w:color="auto"/>
            </w:tcBorders>
            <w:shd w:val="clear" w:color="auto" w:fill="auto"/>
            <w:noWrap/>
            <w:vAlign w:val="center"/>
            <w:hideMark/>
          </w:tcPr>
          <w:p w14:paraId="78134A7E"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Madrague</w:t>
            </w:r>
          </w:p>
        </w:tc>
        <w:tc>
          <w:tcPr>
            <w:tcW w:w="1641" w:type="dxa"/>
            <w:tcBorders>
              <w:top w:val="nil"/>
              <w:left w:val="nil"/>
              <w:bottom w:val="single" w:sz="8" w:space="0" w:color="auto"/>
              <w:right w:val="single" w:sz="8" w:space="0" w:color="auto"/>
            </w:tcBorders>
            <w:shd w:val="clear" w:color="auto" w:fill="auto"/>
            <w:noWrap/>
            <w:vAlign w:val="center"/>
            <w:hideMark/>
          </w:tcPr>
          <w:p w14:paraId="171DC5B4"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130</w:t>
            </w:r>
          </w:p>
        </w:tc>
        <w:tc>
          <w:tcPr>
            <w:tcW w:w="659" w:type="dxa"/>
            <w:tcBorders>
              <w:top w:val="single" w:sz="8" w:space="0" w:color="auto"/>
              <w:left w:val="nil"/>
              <w:bottom w:val="single" w:sz="8" w:space="0" w:color="auto"/>
              <w:right w:val="single" w:sz="4" w:space="0" w:color="auto"/>
            </w:tcBorders>
          </w:tcPr>
          <w:p w14:paraId="6C363CAA" w14:textId="77777777" w:rsidR="005B24D2" w:rsidRPr="00A54413" w:rsidRDefault="005B24D2" w:rsidP="00627460">
            <w:pPr>
              <w:widowControl/>
              <w:jc w:val="left"/>
              <w:rPr>
                <w:rFonts w:ascii="Cambria" w:eastAsia="Times New Roman" w:hAnsi="Cambria" w:cs="Calibri"/>
                <w:b/>
                <w:bCs/>
                <w:color w:val="auto"/>
                <w:sz w:val="18"/>
                <w:szCs w:val="18"/>
                <w:lang w:eastAsia="ja-JP" w:bidi="ar-SA"/>
              </w:rPr>
            </w:pP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77C24163"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72536813"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04CC9D83"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38C360C4"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3A63FF31"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276" w:type="dxa"/>
            <w:tcBorders>
              <w:top w:val="nil"/>
              <w:left w:val="nil"/>
              <w:bottom w:val="single" w:sz="8" w:space="0" w:color="auto"/>
              <w:right w:val="nil"/>
            </w:tcBorders>
            <w:shd w:val="clear" w:color="000000" w:fill="D9D9D9"/>
            <w:vAlign w:val="center"/>
            <w:hideMark/>
          </w:tcPr>
          <w:p w14:paraId="2941D949" w14:textId="77777777" w:rsidR="005B24D2" w:rsidRPr="00A54413" w:rsidRDefault="005B24D2" w:rsidP="00627460">
            <w:pPr>
              <w:widowControl/>
              <w:jc w:val="left"/>
              <w:rPr>
                <w:rFonts w:ascii="Cambria" w:eastAsia="Times New Roman" w:hAnsi="Cambria" w:cs="Calibri"/>
                <w:b/>
                <w:bCs/>
                <w:sz w:val="18"/>
                <w:szCs w:val="18"/>
              </w:rPr>
            </w:pPr>
            <w:r w:rsidRPr="00A54413">
              <w:rPr>
                <w:rFonts w:ascii="Cambria" w:hAnsi="Cambria"/>
                <w:b/>
                <w:bCs/>
                <w:sz w:val="18"/>
                <w:szCs w:val="18"/>
              </w:rPr>
              <w:t> </w:t>
            </w:r>
          </w:p>
        </w:tc>
        <w:tc>
          <w:tcPr>
            <w:tcW w:w="599" w:type="dxa"/>
            <w:tcBorders>
              <w:top w:val="nil"/>
              <w:left w:val="single" w:sz="4" w:space="0" w:color="auto"/>
              <w:bottom w:val="single" w:sz="8" w:space="0" w:color="auto"/>
              <w:right w:val="single" w:sz="4" w:space="0" w:color="auto"/>
            </w:tcBorders>
          </w:tcPr>
          <w:p w14:paraId="5E39A13B" w14:textId="77777777" w:rsidR="005B24D2" w:rsidRPr="00A54413" w:rsidRDefault="005B24D2" w:rsidP="00627460">
            <w:pPr>
              <w:widowControl/>
              <w:jc w:val="left"/>
              <w:rPr>
                <w:rFonts w:ascii="Cambria" w:eastAsia="Times New Roman" w:hAnsi="Cambria" w:cs="Calibri"/>
                <w:b/>
                <w:bCs/>
                <w:color w:val="auto"/>
                <w:sz w:val="18"/>
                <w:szCs w:val="18"/>
                <w:lang w:eastAsia="ja-JP" w:bidi="ar-SA"/>
              </w:rPr>
            </w:pPr>
          </w:p>
        </w:tc>
        <w:tc>
          <w:tcPr>
            <w:tcW w:w="751" w:type="dxa"/>
            <w:tcBorders>
              <w:top w:val="nil"/>
              <w:left w:val="single" w:sz="4" w:space="0" w:color="auto"/>
              <w:bottom w:val="single" w:sz="8" w:space="0" w:color="auto"/>
              <w:right w:val="nil"/>
            </w:tcBorders>
            <w:shd w:val="clear" w:color="auto" w:fill="auto"/>
            <w:vAlign w:val="center"/>
            <w:hideMark/>
          </w:tcPr>
          <w:p w14:paraId="63EB3ADC"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523DEF60"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2D150D78"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1BB27509"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284095D7"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r>
      <w:tr w:rsidR="005B24D2" w:rsidRPr="00A54413" w14:paraId="0770A18A" w14:textId="77777777" w:rsidTr="00627460">
        <w:trPr>
          <w:trHeight w:val="20"/>
        </w:trPr>
        <w:tc>
          <w:tcPr>
            <w:tcW w:w="2922" w:type="dxa"/>
            <w:tcBorders>
              <w:top w:val="nil"/>
              <w:left w:val="single" w:sz="8" w:space="0" w:color="auto"/>
              <w:bottom w:val="single" w:sz="8" w:space="0" w:color="auto"/>
              <w:right w:val="single" w:sz="8" w:space="0" w:color="auto"/>
            </w:tcBorders>
            <w:shd w:val="clear" w:color="auto" w:fill="auto"/>
            <w:vAlign w:val="center"/>
            <w:hideMark/>
          </w:tcPr>
          <w:p w14:paraId="1B5F8708" w14:textId="10C4A611"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Petits navires côtiers et canneurs</w:t>
            </w:r>
          </w:p>
        </w:tc>
        <w:tc>
          <w:tcPr>
            <w:tcW w:w="1641" w:type="dxa"/>
            <w:tcBorders>
              <w:top w:val="nil"/>
              <w:left w:val="nil"/>
              <w:bottom w:val="single" w:sz="8" w:space="0" w:color="auto"/>
              <w:right w:val="single" w:sz="8" w:space="0" w:color="auto"/>
            </w:tcBorders>
            <w:shd w:val="clear" w:color="auto" w:fill="auto"/>
            <w:noWrap/>
            <w:vAlign w:val="center"/>
            <w:hideMark/>
          </w:tcPr>
          <w:p w14:paraId="3ACC0E3B"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Non applicable</w:t>
            </w:r>
          </w:p>
        </w:tc>
        <w:tc>
          <w:tcPr>
            <w:tcW w:w="659" w:type="dxa"/>
            <w:tcBorders>
              <w:top w:val="single" w:sz="8" w:space="0" w:color="auto"/>
              <w:left w:val="nil"/>
              <w:bottom w:val="single" w:sz="8" w:space="0" w:color="auto"/>
              <w:right w:val="single" w:sz="4" w:space="0" w:color="auto"/>
            </w:tcBorders>
          </w:tcPr>
          <w:p w14:paraId="414ABC7C" w14:textId="77777777" w:rsidR="005B24D2" w:rsidRPr="00A54413" w:rsidRDefault="005B24D2" w:rsidP="00627460">
            <w:pPr>
              <w:widowControl/>
              <w:jc w:val="left"/>
              <w:rPr>
                <w:rFonts w:ascii="Cambria" w:eastAsia="Times New Roman" w:hAnsi="Cambria" w:cs="Calibri"/>
                <w:b/>
                <w:bCs/>
                <w:color w:val="auto"/>
                <w:sz w:val="18"/>
                <w:szCs w:val="18"/>
                <w:lang w:eastAsia="ja-JP" w:bidi="ar-SA"/>
              </w:rPr>
            </w:pP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6B2DACB9"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52482094"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3416B2D8"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65D7E394"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2642A02D"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276" w:type="dxa"/>
            <w:tcBorders>
              <w:top w:val="nil"/>
              <w:left w:val="nil"/>
              <w:bottom w:val="single" w:sz="8" w:space="0" w:color="auto"/>
              <w:right w:val="nil"/>
            </w:tcBorders>
            <w:shd w:val="clear" w:color="000000" w:fill="D9D9D9"/>
            <w:vAlign w:val="center"/>
            <w:hideMark/>
          </w:tcPr>
          <w:p w14:paraId="6507980A" w14:textId="77777777" w:rsidR="005B24D2" w:rsidRPr="00A54413" w:rsidRDefault="005B24D2" w:rsidP="00627460">
            <w:pPr>
              <w:widowControl/>
              <w:jc w:val="left"/>
              <w:rPr>
                <w:rFonts w:ascii="Cambria" w:eastAsia="Times New Roman" w:hAnsi="Cambria" w:cs="Calibri"/>
                <w:b/>
                <w:bCs/>
                <w:sz w:val="18"/>
                <w:szCs w:val="18"/>
              </w:rPr>
            </w:pPr>
            <w:r w:rsidRPr="00A54413">
              <w:rPr>
                <w:rFonts w:ascii="Cambria" w:hAnsi="Cambria"/>
                <w:b/>
                <w:bCs/>
                <w:sz w:val="18"/>
                <w:szCs w:val="18"/>
              </w:rPr>
              <w:t> </w:t>
            </w:r>
          </w:p>
        </w:tc>
        <w:tc>
          <w:tcPr>
            <w:tcW w:w="599" w:type="dxa"/>
            <w:tcBorders>
              <w:top w:val="nil"/>
              <w:left w:val="single" w:sz="4" w:space="0" w:color="auto"/>
              <w:bottom w:val="single" w:sz="8" w:space="0" w:color="auto"/>
              <w:right w:val="single" w:sz="4" w:space="0" w:color="auto"/>
            </w:tcBorders>
          </w:tcPr>
          <w:p w14:paraId="6F60B296" w14:textId="77777777" w:rsidR="005B24D2" w:rsidRPr="00A54413" w:rsidRDefault="005B24D2" w:rsidP="00627460">
            <w:pPr>
              <w:widowControl/>
              <w:jc w:val="left"/>
              <w:rPr>
                <w:rFonts w:ascii="Cambria" w:eastAsia="Times New Roman" w:hAnsi="Cambria" w:cs="Calibri"/>
                <w:b/>
                <w:bCs/>
                <w:color w:val="auto"/>
                <w:sz w:val="18"/>
                <w:szCs w:val="18"/>
                <w:lang w:eastAsia="ja-JP" w:bidi="ar-SA"/>
              </w:rPr>
            </w:pPr>
          </w:p>
        </w:tc>
        <w:tc>
          <w:tcPr>
            <w:tcW w:w="751" w:type="dxa"/>
            <w:tcBorders>
              <w:top w:val="nil"/>
              <w:left w:val="single" w:sz="4" w:space="0" w:color="auto"/>
              <w:bottom w:val="single" w:sz="8" w:space="0" w:color="auto"/>
              <w:right w:val="nil"/>
            </w:tcBorders>
            <w:shd w:val="clear" w:color="auto" w:fill="auto"/>
            <w:vAlign w:val="center"/>
            <w:hideMark/>
          </w:tcPr>
          <w:p w14:paraId="6BB02777"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5FE6ED8D"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393414A9"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1E097A74"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6CAB6C8F"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r>
      <w:tr w:rsidR="005B24D2" w:rsidRPr="00A54413" w14:paraId="3E36EFE5" w14:textId="77777777" w:rsidTr="00627460">
        <w:trPr>
          <w:trHeight w:val="20"/>
        </w:trPr>
        <w:tc>
          <w:tcPr>
            <w:tcW w:w="2922" w:type="dxa"/>
            <w:tcBorders>
              <w:top w:val="nil"/>
              <w:left w:val="single" w:sz="8" w:space="0" w:color="auto"/>
              <w:bottom w:val="single" w:sz="8" w:space="0" w:color="auto"/>
              <w:right w:val="single" w:sz="8" w:space="0" w:color="auto"/>
            </w:tcBorders>
            <w:shd w:val="clear" w:color="auto" w:fill="auto"/>
            <w:vAlign w:val="center"/>
            <w:hideMark/>
          </w:tcPr>
          <w:p w14:paraId="06F1DAB7"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Autre (à préciser)</w:t>
            </w:r>
          </w:p>
        </w:tc>
        <w:tc>
          <w:tcPr>
            <w:tcW w:w="1641" w:type="dxa"/>
            <w:tcBorders>
              <w:top w:val="nil"/>
              <w:left w:val="nil"/>
              <w:bottom w:val="single" w:sz="8" w:space="0" w:color="auto"/>
              <w:right w:val="single" w:sz="8" w:space="0" w:color="auto"/>
            </w:tcBorders>
            <w:shd w:val="clear" w:color="auto" w:fill="auto"/>
            <w:noWrap/>
            <w:vAlign w:val="center"/>
            <w:hideMark/>
          </w:tcPr>
          <w:p w14:paraId="07605F13" w14:textId="77777777" w:rsidR="005B24D2" w:rsidRPr="00A54413" w:rsidRDefault="005B24D2" w:rsidP="00627460">
            <w:pPr>
              <w:widowControl/>
              <w:jc w:val="center"/>
              <w:rPr>
                <w:rFonts w:ascii="Cambria" w:eastAsia="Times New Roman" w:hAnsi="Cambria" w:cs="Calibri"/>
                <w:color w:val="auto"/>
                <w:sz w:val="18"/>
                <w:szCs w:val="18"/>
              </w:rPr>
            </w:pPr>
            <w:r w:rsidRPr="00A54413">
              <w:rPr>
                <w:rFonts w:ascii="Cambria" w:hAnsi="Cambria"/>
                <w:color w:val="auto"/>
                <w:sz w:val="18"/>
                <w:szCs w:val="18"/>
              </w:rPr>
              <w:t>5</w:t>
            </w:r>
          </w:p>
        </w:tc>
        <w:tc>
          <w:tcPr>
            <w:tcW w:w="659" w:type="dxa"/>
            <w:tcBorders>
              <w:top w:val="single" w:sz="8" w:space="0" w:color="auto"/>
              <w:left w:val="nil"/>
              <w:bottom w:val="single" w:sz="8" w:space="0" w:color="auto"/>
              <w:right w:val="single" w:sz="4" w:space="0" w:color="auto"/>
            </w:tcBorders>
          </w:tcPr>
          <w:p w14:paraId="172BFF0C" w14:textId="77777777" w:rsidR="005B24D2" w:rsidRPr="00A54413" w:rsidRDefault="005B24D2" w:rsidP="00627460">
            <w:pPr>
              <w:widowControl/>
              <w:jc w:val="left"/>
              <w:rPr>
                <w:rFonts w:ascii="Cambria" w:eastAsia="Times New Roman" w:hAnsi="Cambria" w:cs="Calibri"/>
                <w:b/>
                <w:bCs/>
                <w:color w:val="auto"/>
                <w:sz w:val="18"/>
                <w:szCs w:val="18"/>
                <w:lang w:eastAsia="ja-JP" w:bidi="ar-SA"/>
              </w:rPr>
            </w:pP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0DE42A1B"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053010E0"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2004044B"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55257D72"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1A4A7434"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276" w:type="dxa"/>
            <w:tcBorders>
              <w:top w:val="nil"/>
              <w:left w:val="nil"/>
              <w:bottom w:val="single" w:sz="8" w:space="0" w:color="auto"/>
              <w:right w:val="nil"/>
            </w:tcBorders>
            <w:shd w:val="clear" w:color="000000" w:fill="D9D9D9"/>
            <w:vAlign w:val="center"/>
            <w:hideMark/>
          </w:tcPr>
          <w:p w14:paraId="3558B70C" w14:textId="77777777" w:rsidR="005B24D2" w:rsidRPr="00A54413" w:rsidRDefault="005B24D2" w:rsidP="00627460">
            <w:pPr>
              <w:widowControl/>
              <w:jc w:val="left"/>
              <w:rPr>
                <w:rFonts w:ascii="Cambria" w:eastAsia="Times New Roman" w:hAnsi="Cambria" w:cs="Calibri"/>
                <w:b/>
                <w:bCs/>
                <w:sz w:val="18"/>
                <w:szCs w:val="18"/>
              </w:rPr>
            </w:pPr>
            <w:r w:rsidRPr="00A54413">
              <w:rPr>
                <w:rFonts w:ascii="Cambria" w:hAnsi="Cambria"/>
                <w:b/>
                <w:bCs/>
                <w:sz w:val="18"/>
                <w:szCs w:val="18"/>
              </w:rPr>
              <w:t> </w:t>
            </w:r>
          </w:p>
        </w:tc>
        <w:tc>
          <w:tcPr>
            <w:tcW w:w="599" w:type="dxa"/>
            <w:tcBorders>
              <w:top w:val="nil"/>
              <w:left w:val="single" w:sz="4" w:space="0" w:color="auto"/>
              <w:bottom w:val="single" w:sz="8" w:space="0" w:color="auto"/>
              <w:right w:val="single" w:sz="4" w:space="0" w:color="auto"/>
            </w:tcBorders>
          </w:tcPr>
          <w:p w14:paraId="27731E21" w14:textId="77777777" w:rsidR="005B24D2" w:rsidRPr="00A54413" w:rsidRDefault="005B24D2" w:rsidP="00627460">
            <w:pPr>
              <w:widowControl/>
              <w:jc w:val="left"/>
              <w:rPr>
                <w:rFonts w:ascii="Cambria" w:eastAsia="Times New Roman" w:hAnsi="Cambria" w:cs="Calibri"/>
                <w:b/>
                <w:bCs/>
                <w:color w:val="auto"/>
                <w:sz w:val="18"/>
                <w:szCs w:val="18"/>
                <w:lang w:eastAsia="ja-JP" w:bidi="ar-SA"/>
              </w:rPr>
            </w:pPr>
          </w:p>
        </w:tc>
        <w:tc>
          <w:tcPr>
            <w:tcW w:w="751" w:type="dxa"/>
            <w:tcBorders>
              <w:top w:val="nil"/>
              <w:left w:val="single" w:sz="4" w:space="0" w:color="auto"/>
              <w:bottom w:val="single" w:sz="8" w:space="0" w:color="auto"/>
              <w:right w:val="nil"/>
            </w:tcBorders>
            <w:shd w:val="clear" w:color="auto" w:fill="auto"/>
            <w:vAlign w:val="center"/>
            <w:hideMark/>
          </w:tcPr>
          <w:p w14:paraId="06579881"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69824F66"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472CE148"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1FCB7035"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5A9C6E0E"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r>
      <w:tr w:rsidR="005B24D2" w:rsidRPr="00A54413" w14:paraId="486CD28D" w14:textId="77777777" w:rsidTr="00627460">
        <w:trPr>
          <w:trHeight w:val="20"/>
        </w:trPr>
        <w:tc>
          <w:tcPr>
            <w:tcW w:w="2922" w:type="dxa"/>
            <w:tcBorders>
              <w:top w:val="nil"/>
              <w:left w:val="single" w:sz="8" w:space="0" w:color="auto"/>
              <w:bottom w:val="single" w:sz="8" w:space="0" w:color="auto"/>
              <w:right w:val="single" w:sz="8" w:space="0" w:color="auto"/>
            </w:tcBorders>
            <w:shd w:val="clear" w:color="auto" w:fill="auto"/>
            <w:noWrap/>
            <w:vAlign w:val="center"/>
            <w:hideMark/>
          </w:tcPr>
          <w:p w14:paraId="5C9DF1BE"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Capacité totale de la flottille/de pêche</w:t>
            </w:r>
          </w:p>
        </w:tc>
        <w:tc>
          <w:tcPr>
            <w:tcW w:w="1641" w:type="dxa"/>
            <w:tcBorders>
              <w:top w:val="nil"/>
              <w:left w:val="nil"/>
              <w:bottom w:val="single" w:sz="8" w:space="0" w:color="auto"/>
              <w:right w:val="single" w:sz="8" w:space="0" w:color="auto"/>
            </w:tcBorders>
            <w:shd w:val="clear" w:color="auto" w:fill="auto"/>
            <w:noWrap/>
            <w:vAlign w:val="center"/>
            <w:hideMark/>
          </w:tcPr>
          <w:p w14:paraId="324FDFCA" w14:textId="77777777" w:rsidR="005B24D2" w:rsidRPr="00A54413" w:rsidRDefault="005B24D2" w:rsidP="00627460">
            <w:pPr>
              <w:widowControl/>
              <w:jc w:val="right"/>
              <w:rPr>
                <w:rFonts w:ascii="Cambria" w:eastAsia="Times New Roman" w:hAnsi="Cambria" w:cs="Calibri"/>
                <w:color w:val="auto"/>
                <w:sz w:val="18"/>
                <w:szCs w:val="18"/>
              </w:rPr>
            </w:pPr>
            <w:r w:rsidRPr="00A54413">
              <w:rPr>
                <w:rFonts w:ascii="Cambria" w:hAnsi="Cambria"/>
                <w:color w:val="auto"/>
                <w:sz w:val="18"/>
                <w:szCs w:val="18"/>
              </w:rPr>
              <w:t> </w:t>
            </w:r>
          </w:p>
        </w:tc>
        <w:tc>
          <w:tcPr>
            <w:tcW w:w="659" w:type="dxa"/>
            <w:tcBorders>
              <w:top w:val="single" w:sz="8" w:space="0" w:color="auto"/>
              <w:left w:val="nil"/>
              <w:bottom w:val="single" w:sz="8" w:space="0" w:color="auto"/>
              <w:right w:val="single" w:sz="4" w:space="0" w:color="auto"/>
            </w:tcBorders>
          </w:tcPr>
          <w:p w14:paraId="3D491316" w14:textId="77777777" w:rsidR="005B24D2" w:rsidRPr="00A54413" w:rsidRDefault="005B24D2" w:rsidP="00627460">
            <w:pPr>
              <w:widowControl/>
              <w:jc w:val="left"/>
              <w:rPr>
                <w:rFonts w:ascii="Cambria" w:eastAsia="Times New Roman" w:hAnsi="Cambria" w:cs="Calibri"/>
                <w:b/>
                <w:bCs/>
                <w:color w:val="auto"/>
                <w:sz w:val="18"/>
                <w:szCs w:val="18"/>
                <w:lang w:eastAsia="ja-JP" w:bidi="ar-SA"/>
              </w:rPr>
            </w:pP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376E1081"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147BF2B7"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721B25C0"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16843DB3"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6A3FB4BF"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276" w:type="dxa"/>
            <w:tcBorders>
              <w:top w:val="nil"/>
              <w:left w:val="nil"/>
              <w:bottom w:val="single" w:sz="8" w:space="0" w:color="auto"/>
              <w:right w:val="nil"/>
            </w:tcBorders>
            <w:shd w:val="clear" w:color="000000" w:fill="D9D9D9"/>
            <w:vAlign w:val="center"/>
            <w:hideMark/>
          </w:tcPr>
          <w:p w14:paraId="2905F07C" w14:textId="77777777" w:rsidR="005B24D2" w:rsidRPr="00A54413" w:rsidRDefault="005B24D2" w:rsidP="00627460">
            <w:pPr>
              <w:widowControl/>
              <w:jc w:val="left"/>
              <w:rPr>
                <w:rFonts w:ascii="Cambria" w:eastAsia="Times New Roman" w:hAnsi="Cambria" w:cs="Calibri"/>
                <w:b/>
                <w:bCs/>
                <w:sz w:val="18"/>
                <w:szCs w:val="18"/>
              </w:rPr>
            </w:pPr>
            <w:r w:rsidRPr="00A54413">
              <w:rPr>
                <w:rFonts w:ascii="Cambria" w:hAnsi="Cambria"/>
                <w:b/>
                <w:bCs/>
                <w:sz w:val="18"/>
                <w:szCs w:val="18"/>
              </w:rPr>
              <w:t> </w:t>
            </w:r>
          </w:p>
        </w:tc>
        <w:tc>
          <w:tcPr>
            <w:tcW w:w="599" w:type="dxa"/>
            <w:tcBorders>
              <w:top w:val="nil"/>
              <w:left w:val="single" w:sz="4" w:space="0" w:color="auto"/>
              <w:bottom w:val="single" w:sz="8" w:space="0" w:color="auto"/>
              <w:right w:val="single" w:sz="4" w:space="0" w:color="auto"/>
            </w:tcBorders>
          </w:tcPr>
          <w:p w14:paraId="63E78A81" w14:textId="77777777" w:rsidR="005B24D2" w:rsidRPr="00A54413" w:rsidRDefault="005B24D2" w:rsidP="00627460">
            <w:pPr>
              <w:widowControl/>
              <w:jc w:val="left"/>
              <w:rPr>
                <w:rFonts w:ascii="Cambria" w:eastAsia="Times New Roman" w:hAnsi="Cambria" w:cs="Calibri"/>
                <w:b/>
                <w:bCs/>
                <w:color w:val="auto"/>
                <w:sz w:val="18"/>
                <w:szCs w:val="18"/>
                <w:lang w:eastAsia="ja-JP" w:bidi="ar-SA"/>
              </w:rPr>
            </w:pPr>
          </w:p>
        </w:tc>
        <w:tc>
          <w:tcPr>
            <w:tcW w:w="751" w:type="dxa"/>
            <w:tcBorders>
              <w:top w:val="nil"/>
              <w:left w:val="single" w:sz="4" w:space="0" w:color="auto"/>
              <w:bottom w:val="single" w:sz="8" w:space="0" w:color="auto"/>
              <w:right w:val="nil"/>
            </w:tcBorders>
            <w:shd w:val="clear" w:color="auto" w:fill="auto"/>
            <w:vAlign w:val="center"/>
            <w:hideMark/>
          </w:tcPr>
          <w:p w14:paraId="44B95F50"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168A61D9"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4" w:space="0" w:color="auto"/>
            </w:tcBorders>
            <w:shd w:val="clear" w:color="auto" w:fill="auto"/>
            <w:noWrap/>
            <w:vAlign w:val="center"/>
            <w:hideMark/>
          </w:tcPr>
          <w:p w14:paraId="55D876E1"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14:paraId="6C5586A7"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14:paraId="281BAA9B"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r>
      <w:tr w:rsidR="005B24D2" w:rsidRPr="00A54413" w14:paraId="26DE9ACA" w14:textId="77777777" w:rsidTr="00627460">
        <w:trPr>
          <w:trHeight w:val="20"/>
        </w:trPr>
        <w:tc>
          <w:tcPr>
            <w:tcW w:w="2922" w:type="dxa"/>
            <w:tcBorders>
              <w:top w:val="nil"/>
              <w:left w:val="single" w:sz="8" w:space="0" w:color="auto"/>
              <w:bottom w:val="single" w:sz="8" w:space="0" w:color="auto"/>
              <w:right w:val="single" w:sz="8" w:space="0" w:color="auto"/>
            </w:tcBorders>
            <w:shd w:val="clear" w:color="auto" w:fill="auto"/>
            <w:noWrap/>
            <w:vAlign w:val="center"/>
            <w:hideMark/>
          </w:tcPr>
          <w:p w14:paraId="11D647B0"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xml:space="preserve">Quota </w:t>
            </w:r>
          </w:p>
        </w:tc>
        <w:tc>
          <w:tcPr>
            <w:tcW w:w="1641" w:type="dxa"/>
            <w:tcBorders>
              <w:top w:val="nil"/>
              <w:left w:val="nil"/>
              <w:bottom w:val="single" w:sz="8" w:space="0" w:color="auto"/>
              <w:right w:val="single" w:sz="8" w:space="0" w:color="auto"/>
            </w:tcBorders>
            <w:shd w:val="clear" w:color="auto" w:fill="auto"/>
            <w:noWrap/>
            <w:vAlign w:val="center"/>
            <w:hideMark/>
          </w:tcPr>
          <w:p w14:paraId="6488E3F5" w14:textId="77777777" w:rsidR="005B24D2" w:rsidRPr="00A54413" w:rsidRDefault="005B24D2" w:rsidP="00627460">
            <w:pPr>
              <w:widowControl/>
              <w:jc w:val="right"/>
              <w:rPr>
                <w:rFonts w:ascii="Cambria" w:eastAsia="Times New Roman" w:hAnsi="Cambria" w:cs="Calibri"/>
                <w:color w:val="auto"/>
                <w:sz w:val="18"/>
                <w:szCs w:val="18"/>
              </w:rPr>
            </w:pPr>
            <w:r w:rsidRPr="00A54413">
              <w:rPr>
                <w:rFonts w:ascii="Cambria" w:hAnsi="Cambria"/>
                <w:color w:val="auto"/>
                <w:sz w:val="18"/>
                <w:szCs w:val="18"/>
              </w:rPr>
              <w:t> </w:t>
            </w:r>
          </w:p>
        </w:tc>
        <w:tc>
          <w:tcPr>
            <w:tcW w:w="659" w:type="dxa"/>
            <w:tcBorders>
              <w:top w:val="single" w:sz="8" w:space="0" w:color="auto"/>
              <w:left w:val="nil"/>
              <w:bottom w:val="single" w:sz="8" w:space="0" w:color="auto"/>
              <w:right w:val="single" w:sz="4" w:space="0" w:color="auto"/>
            </w:tcBorders>
          </w:tcPr>
          <w:p w14:paraId="729E109B"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34F00C03"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780992BF"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224FAA6A"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65497641"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4E4A7BF8"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276" w:type="dxa"/>
            <w:tcBorders>
              <w:top w:val="nil"/>
              <w:left w:val="nil"/>
              <w:bottom w:val="single" w:sz="8" w:space="0" w:color="auto"/>
              <w:right w:val="nil"/>
            </w:tcBorders>
            <w:shd w:val="clear" w:color="000000" w:fill="D9D9D9"/>
            <w:vAlign w:val="center"/>
            <w:hideMark/>
          </w:tcPr>
          <w:p w14:paraId="1A82C990" w14:textId="77777777" w:rsidR="005B24D2" w:rsidRPr="00A54413" w:rsidRDefault="005B24D2" w:rsidP="00627460">
            <w:pPr>
              <w:widowControl/>
              <w:jc w:val="left"/>
              <w:rPr>
                <w:rFonts w:ascii="Cambria" w:eastAsia="Times New Roman" w:hAnsi="Cambria" w:cs="Calibri"/>
                <w:sz w:val="18"/>
                <w:szCs w:val="18"/>
              </w:rPr>
            </w:pPr>
            <w:r w:rsidRPr="00A54413">
              <w:rPr>
                <w:rFonts w:ascii="Cambria" w:hAnsi="Cambria"/>
                <w:sz w:val="18"/>
                <w:szCs w:val="18"/>
              </w:rPr>
              <w:t> </w:t>
            </w:r>
          </w:p>
        </w:tc>
        <w:tc>
          <w:tcPr>
            <w:tcW w:w="599" w:type="dxa"/>
            <w:tcBorders>
              <w:top w:val="nil"/>
              <w:left w:val="single" w:sz="4" w:space="0" w:color="auto"/>
              <w:bottom w:val="single" w:sz="8" w:space="0" w:color="auto"/>
              <w:right w:val="single" w:sz="4" w:space="0" w:color="auto"/>
            </w:tcBorders>
          </w:tcPr>
          <w:p w14:paraId="267B6571"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751" w:type="dxa"/>
            <w:tcBorders>
              <w:top w:val="nil"/>
              <w:left w:val="single" w:sz="4" w:space="0" w:color="auto"/>
              <w:bottom w:val="single" w:sz="8" w:space="0" w:color="auto"/>
              <w:right w:val="nil"/>
            </w:tcBorders>
            <w:shd w:val="clear" w:color="auto" w:fill="auto"/>
            <w:vAlign w:val="center"/>
            <w:hideMark/>
          </w:tcPr>
          <w:p w14:paraId="66EF6881"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09890F82"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6A249E41"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19D80E04"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109E603C"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r>
      <w:tr w:rsidR="005B24D2" w:rsidRPr="00A54413" w14:paraId="27F42160" w14:textId="77777777" w:rsidTr="00627460">
        <w:trPr>
          <w:trHeight w:val="20"/>
        </w:trPr>
        <w:tc>
          <w:tcPr>
            <w:tcW w:w="2922" w:type="dxa"/>
            <w:tcBorders>
              <w:top w:val="nil"/>
              <w:left w:val="single" w:sz="8" w:space="0" w:color="auto"/>
              <w:bottom w:val="single" w:sz="8" w:space="0" w:color="auto"/>
              <w:right w:val="single" w:sz="8" w:space="0" w:color="auto"/>
            </w:tcBorders>
            <w:shd w:val="clear" w:color="auto" w:fill="auto"/>
            <w:noWrap/>
            <w:vAlign w:val="center"/>
            <w:hideMark/>
          </w:tcPr>
          <w:p w14:paraId="44E50BAD"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Pourcentage alloué aux prises accessoires</w:t>
            </w:r>
          </w:p>
        </w:tc>
        <w:tc>
          <w:tcPr>
            <w:tcW w:w="1641" w:type="dxa"/>
            <w:tcBorders>
              <w:top w:val="nil"/>
              <w:left w:val="nil"/>
              <w:bottom w:val="single" w:sz="8" w:space="0" w:color="auto"/>
              <w:right w:val="single" w:sz="8" w:space="0" w:color="auto"/>
            </w:tcBorders>
            <w:shd w:val="clear" w:color="auto" w:fill="auto"/>
            <w:noWrap/>
            <w:vAlign w:val="center"/>
            <w:hideMark/>
          </w:tcPr>
          <w:p w14:paraId="21FDD2F3" w14:textId="77777777" w:rsidR="005B24D2" w:rsidRPr="00A54413" w:rsidRDefault="005B24D2" w:rsidP="00627460">
            <w:pPr>
              <w:widowControl/>
              <w:jc w:val="right"/>
              <w:rPr>
                <w:rFonts w:ascii="Cambria" w:eastAsia="Times New Roman" w:hAnsi="Cambria" w:cs="Calibri"/>
                <w:color w:val="auto"/>
                <w:sz w:val="18"/>
                <w:szCs w:val="18"/>
              </w:rPr>
            </w:pPr>
            <w:r w:rsidRPr="00A54413">
              <w:rPr>
                <w:rFonts w:ascii="Cambria" w:hAnsi="Cambria"/>
                <w:color w:val="auto"/>
                <w:sz w:val="18"/>
                <w:szCs w:val="18"/>
              </w:rPr>
              <w:t> </w:t>
            </w:r>
          </w:p>
        </w:tc>
        <w:tc>
          <w:tcPr>
            <w:tcW w:w="659" w:type="dxa"/>
            <w:tcBorders>
              <w:top w:val="single" w:sz="8" w:space="0" w:color="auto"/>
              <w:left w:val="nil"/>
              <w:bottom w:val="single" w:sz="8" w:space="0" w:color="auto"/>
              <w:right w:val="single" w:sz="4" w:space="0" w:color="auto"/>
            </w:tcBorders>
          </w:tcPr>
          <w:p w14:paraId="21928BB9"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0E06EAB6"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3A670BEE"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1E416BB3"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4ECD7B62"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3C0331C6"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276" w:type="dxa"/>
            <w:tcBorders>
              <w:top w:val="nil"/>
              <w:left w:val="nil"/>
              <w:bottom w:val="single" w:sz="8" w:space="0" w:color="auto"/>
              <w:right w:val="nil"/>
            </w:tcBorders>
            <w:shd w:val="clear" w:color="000000" w:fill="D9D9D9"/>
            <w:vAlign w:val="center"/>
            <w:hideMark/>
          </w:tcPr>
          <w:p w14:paraId="6199443B" w14:textId="77777777" w:rsidR="005B24D2" w:rsidRPr="00A54413" w:rsidRDefault="005B24D2" w:rsidP="00627460">
            <w:pPr>
              <w:widowControl/>
              <w:jc w:val="left"/>
              <w:rPr>
                <w:rFonts w:ascii="Cambria" w:eastAsia="Times New Roman" w:hAnsi="Cambria" w:cs="Calibri"/>
                <w:sz w:val="18"/>
                <w:szCs w:val="18"/>
              </w:rPr>
            </w:pPr>
            <w:r w:rsidRPr="00A54413">
              <w:rPr>
                <w:rFonts w:ascii="Cambria" w:hAnsi="Cambria"/>
                <w:sz w:val="18"/>
                <w:szCs w:val="18"/>
              </w:rPr>
              <w:t> </w:t>
            </w:r>
          </w:p>
        </w:tc>
        <w:tc>
          <w:tcPr>
            <w:tcW w:w="599" w:type="dxa"/>
            <w:tcBorders>
              <w:top w:val="nil"/>
              <w:left w:val="single" w:sz="4" w:space="0" w:color="auto"/>
              <w:bottom w:val="single" w:sz="8" w:space="0" w:color="auto"/>
              <w:right w:val="single" w:sz="4" w:space="0" w:color="auto"/>
            </w:tcBorders>
          </w:tcPr>
          <w:p w14:paraId="4FDB7A54"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751" w:type="dxa"/>
            <w:tcBorders>
              <w:top w:val="nil"/>
              <w:left w:val="single" w:sz="4" w:space="0" w:color="auto"/>
              <w:bottom w:val="single" w:sz="8" w:space="0" w:color="auto"/>
              <w:right w:val="nil"/>
            </w:tcBorders>
            <w:shd w:val="clear" w:color="auto" w:fill="auto"/>
            <w:vAlign w:val="center"/>
            <w:hideMark/>
          </w:tcPr>
          <w:p w14:paraId="31F0BBC3"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7B5FFA1C"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2C0AEEF2"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3A7D8D9C"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7DAE6F63"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r>
      <w:tr w:rsidR="005B24D2" w:rsidRPr="00A54413" w14:paraId="1C99C8CA" w14:textId="77777777" w:rsidTr="00627460">
        <w:trPr>
          <w:trHeight w:val="20"/>
        </w:trPr>
        <w:tc>
          <w:tcPr>
            <w:tcW w:w="2922" w:type="dxa"/>
            <w:tcBorders>
              <w:top w:val="nil"/>
              <w:left w:val="single" w:sz="8" w:space="0" w:color="auto"/>
              <w:bottom w:val="single" w:sz="8" w:space="0" w:color="auto"/>
              <w:right w:val="single" w:sz="8" w:space="0" w:color="auto"/>
            </w:tcBorders>
            <w:shd w:val="clear" w:color="auto" w:fill="auto"/>
            <w:noWrap/>
            <w:vAlign w:val="center"/>
            <w:hideMark/>
          </w:tcPr>
          <w:p w14:paraId="5BB135D1"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Quota ajusté (le cas échéant)</w:t>
            </w:r>
          </w:p>
        </w:tc>
        <w:tc>
          <w:tcPr>
            <w:tcW w:w="1641" w:type="dxa"/>
            <w:tcBorders>
              <w:top w:val="nil"/>
              <w:left w:val="nil"/>
              <w:bottom w:val="single" w:sz="8" w:space="0" w:color="auto"/>
              <w:right w:val="single" w:sz="8" w:space="0" w:color="auto"/>
            </w:tcBorders>
            <w:shd w:val="clear" w:color="auto" w:fill="auto"/>
            <w:noWrap/>
            <w:vAlign w:val="center"/>
            <w:hideMark/>
          </w:tcPr>
          <w:p w14:paraId="386A79E1" w14:textId="77777777" w:rsidR="005B24D2" w:rsidRPr="00A54413" w:rsidRDefault="005B24D2" w:rsidP="00627460">
            <w:pPr>
              <w:widowControl/>
              <w:jc w:val="right"/>
              <w:rPr>
                <w:rFonts w:ascii="Cambria" w:eastAsia="Times New Roman" w:hAnsi="Cambria" w:cs="Calibri"/>
                <w:color w:val="auto"/>
                <w:sz w:val="18"/>
                <w:szCs w:val="18"/>
              </w:rPr>
            </w:pPr>
            <w:r w:rsidRPr="00A54413">
              <w:rPr>
                <w:rFonts w:ascii="Cambria" w:hAnsi="Cambria"/>
                <w:color w:val="auto"/>
                <w:sz w:val="18"/>
                <w:szCs w:val="18"/>
              </w:rPr>
              <w:t> </w:t>
            </w:r>
          </w:p>
        </w:tc>
        <w:tc>
          <w:tcPr>
            <w:tcW w:w="659" w:type="dxa"/>
            <w:tcBorders>
              <w:top w:val="single" w:sz="8" w:space="0" w:color="auto"/>
              <w:left w:val="nil"/>
              <w:bottom w:val="single" w:sz="8" w:space="0" w:color="auto"/>
              <w:right w:val="single" w:sz="4" w:space="0" w:color="auto"/>
            </w:tcBorders>
          </w:tcPr>
          <w:p w14:paraId="67D2763E"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100F09A2"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2BF14EEA"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636D3049"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6EE25315"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7B9A426A"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276" w:type="dxa"/>
            <w:tcBorders>
              <w:top w:val="nil"/>
              <w:left w:val="nil"/>
              <w:bottom w:val="single" w:sz="8" w:space="0" w:color="auto"/>
              <w:right w:val="nil"/>
            </w:tcBorders>
            <w:shd w:val="clear" w:color="000000" w:fill="D9D9D9"/>
            <w:vAlign w:val="center"/>
            <w:hideMark/>
          </w:tcPr>
          <w:p w14:paraId="67F2CB06" w14:textId="77777777" w:rsidR="005B24D2" w:rsidRPr="00A54413" w:rsidRDefault="005B24D2" w:rsidP="00627460">
            <w:pPr>
              <w:widowControl/>
              <w:jc w:val="left"/>
              <w:rPr>
                <w:rFonts w:ascii="Cambria" w:eastAsia="Times New Roman" w:hAnsi="Cambria" w:cs="Calibri"/>
                <w:sz w:val="18"/>
                <w:szCs w:val="18"/>
              </w:rPr>
            </w:pPr>
            <w:r w:rsidRPr="00A54413">
              <w:rPr>
                <w:rFonts w:ascii="Cambria" w:hAnsi="Cambria"/>
                <w:sz w:val="18"/>
                <w:szCs w:val="18"/>
              </w:rPr>
              <w:t> </w:t>
            </w:r>
          </w:p>
        </w:tc>
        <w:tc>
          <w:tcPr>
            <w:tcW w:w="599" w:type="dxa"/>
            <w:tcBorders>
              <w:top w:val="nil"/>
              <w:left w:val="single" w:sz="4" w:space="0" w:color="auto"/>
              <w:bottom w:val="single" w:sz="8" w:space="0" w:color="auto"/>
              <w:right w:val="single" w:sz="4" w:space="0" w:color="auto"/>
            </w:tcBorders>
          </w:tcPr>
          <w:p w14:paraId="6863A262"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751" w:type="dxa"/>
            <w:tcBorders>
              <w:top w:val="nil"/>
              <w:left w:val="single" w:sz="4" w:space="0" w:color="auto"/>
              <w:bottom w:val="single" w:sz="8" w:space="0" w:color="auto"/>
              <w:right w:val="nil"/>
            </w:tcBorders>
            <w:shd w:val="clear" w:color="auto" w:fill="auto"/>
            <w:vAlign w:val="center"/>
            <w:hideMark/>
          </w:tcPr>
          <w:p w14:paraId="51597772"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70483531"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1D2D7E68"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75571AF1"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29B1947A"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r>
      <w:tr w:rsidR="005B24D2" w:rsidRPr="00A54413" w14:paraId="1FBBA6BA" w14:textId="77777777" w:rsidTr="00627460">
        <w:trPr>
          <w:trHeight w:val="20"/>
        </w:trPr>
        <w:tc>
          <w:tcPr>
            <w:tcW w:w="2922" w:type="dxa"/>
            <w:tcBorders>
              <w:top w:val="nil"/>
              <w:left w:val="single" w:sz="8" w:space="0" w:color="auto"/>
              <w:bottom w:val="single" w:sz="8" w:space="0" w:color="auto"/>
              <w:right w:val="single" w:sz="8" w:space="0" w:color="auto"/>
            </w:tcBorders>
            <w:shd w:val="clear" w:color="auto" w:fill="auto"/>
            <w:vAlign w:val="center"/>
            <w:hideMark/>
          </w:tcPr>
          <w:p w14:paraId="52B8B743"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xml:space="preserve">Tolérance pour la pêche sportive/récréative (le cas </w:t>
            </w:r>
            <w:proofErr w:type="gramStart"/>
            <w:r w:rsidRPr="00A54413">
              <w:rPr>
                <w:rFonts w:ascii="Cambria" w:hAnsi="Cambria"/>
                <w:b/>
                <w:bCs/>
                <w:color w:val="auto"/>
                <w:sz w:val="18"/>
                <w:szCs w:val="18"/>
              </w:rPr>
              <w:t>échéant)</w:t>
            </w:r>
            <w:r w:rsidRPr="00A54413">
              <w:rPr>
                <w:rFonts w:ascii="Cambria" w:hAnsi="Cambria"/>
                <w:b/>
                <w:bCs/>
                <w:color w:val="auto"/>
                <w:sz w:val="18"/>
                <w:szCs w:val="18"/>
                <w:vertAlign w:val="superscript"/>
              </w:rPr>
              <w:t>(</w:t>
            </w:r>
            <w:proofErr w:type="gramEnd"/>
            <w:r w:rsidRPr="00A54413">
              <w:rPr>
                <w:rFonts w:ascii="Cambria" w:hAnsi="Cambria"/>
                <w:b/>
                <w:bCs/>
                <w:color w:val="auto"/>
                <w:sz w:val="18"/>
                <w:szCs w:val="18"/>
                <w:vertAlign w:val="superscript"/>
              </w:rPr>
              <w:t>1)</w:t>
            </w:r>
          </w:p>
        </w:tc>
        <w:tc>
          <w:tcPr>
            <w:tcW w:w="1641" w:type="dxa"/>
            <w:tcBorders>
              <w:top w:val="nil"/>
              <w:left w:val="nil"/>
              <w:bottom w:val="single" w:sz="8" w:space="0" w:color="auto"/>
              <w:right w:val="single" w:sz="8" w:space="0" w:color="auto"/>
            </w:tcBorders>
            <w:shd w:val="clear" w:color="auto" w:fill="auto"/>
            <w:noWrap/>
            <w:vAlign w:val="center"/>
            <w:hideMark/>
          </w:tcPr>
          <w:p w14:paraId="135B62EE" w14:textId="77777777" w:rsidR="005B24D2" w:rsidRPr="00A54413" w:rsidRDefault="005B24D2" w:rsidP="00627460">
            <w:pPr>
              <w:widowControl/>
              <w:jc w:val="righ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659" w:type="dxa"/>
            <w:tcBorders>
              <w:top w:val="single" w:sz="8" w:space="0" w:color="auto"/>
              <w:left w:val="nil"/>
              <w:bottom w:val="single" w:sz="8" w:space="0" w:color="auto"/>
              <w:right w:val="single" w:sz="4" w:space="0" w:color="auto"/>
            </w:tcBorders>
          </w:tcPr>
          <w:p w14:paraId="33EEF2EB" w14:textId="77777777" w:rsidR="005B24D2" w:rsidRPr="00A54413" w:rsidRDefault="005B24D2" w:rsidP="00627460">
            <w:pPr>
              <w:widowControl/>
              <w:jc w:val="left"/>
              <w:rPr>
                <w:rFonts w:ascii="Cambria" w:eastAsia="Times New Roman" w:hAnsi="Cambria" w:cs="Calibri"/>
                <w:b/>
                <w:bCs/>
                <w:color w:val="auto"/>
                <w:sz w:val="18"/>
                <w:szCs w:val="18"/>
                <w:lang w:eastAsia="ja-JP" w:bidi="ar-SA"/>
              </w:rPr>
            </w:pP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70E9EC86"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5923B1A3"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496295DA"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661BABA7"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4E950F3E"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276" w:type="dxa"/>
            <w:tcBorders>
              <w:top w:val="nil"/>
              <w:left w:val="nil"/>
              <w:bottom w:val="single" w:sz="8" w:space="0" w:color="auto"/>
              <w:right w:val="nil"/>
            </w:tcBorders>
            <w:shd w:val="clear" w:color="000000" w:fill="D9D9D9"/>
            <w:vAlign w:val="center"/>
            <w:hideMark/>
          </w:tcPr>
          <w:p w14:paraId="477694BD" w14:textId="77777777" w:rsidR="005B24D2" w:rsidRPr="00A54413" w:rsidRDefault="005B24D2" w:rsidP="00627460">
            <w:pPr>
              <w:widowControl/>
              <w:jc w:val="left"/>
              <w:rPr>
                <w:rFonts w:ascii="Cambria" w:eastAsia="Times New Roman" w:hAnsi="Cambria" w:cs="Calibri"/>
                <w:b/>
                <w:bCs/>
                <w:sz w:val="18"/>
                <w:szCs w:val="18"/>
              </w:rPr>
            </w:pPr>
            <w:r w:rsidRPr="00A54413">
              <w:rPr>
                <w:rFonts w:ascii="Cambria" w:hAnsi="Cambria"/>
                <w:b/>
                <w:bCs/>
                <w:sz w:val="18"/>
                <w:szCs w:val="18"/>
              </w:rPr>
              <w:t> </w:t>
            </w:r>
          </w:p>
        </w:tc>
        <w:tc>
          <w:tcPr>
            <w:tcW w:w="599" w:type="dxa"/>
            <w:tcBorders>
              <w:top w:val="nil"/>
              <w:left w:val="single" w:sz="4" w:space="0" w:color="auto"/>
              <w:bottom w:val="single" w:sz="8" w:space="0" w:color="auto"/>
              <w:right w:val="single" w:sz="4" w:space="0" w:color="auto"/>
            </w:tcBorders>
          </w:tcPr>
          <w:p w14:paraId="2B3500FC" w14:textId="77777777" w:rsidR="005B24D2" w:rsidRPr="00A54413" w:rsidRDefault="005B24D2" w:rsidP="00627460">
            <w:pPr>
              <w:widowControl/>
              <w:jc w:val="left"/>
              <w:rPr>
                <w:rFonts w:ascii="Cambria" w:eastAsia="Times New Roman" w:hAnsi="Cambria" w:cs="Calibri"/>
                <w:b/>
                <w:bCs/>
                <w:color w:val="auto"/>
                <w:sz w:val="18"/>
                <w:szCs w:val="18"/>
                <w:lang w:eastAsia="ja-JP" w:bidi="ar-SA"/>
              </w:rPr>
            </w:pPr>
          </w:p>
        </w:tc>
        <w:tc>
          <w:tcPr>
            <w:tcW w:w="751" w:type="dxa"/>
            <w:tcBorders>
              <w:top w:val="nil"/>
              <w:left w:val="single" w:sz="4" w:space="0" w:color="auto"/>
              <w:bottom w:val="single" w:sz="8" w:space="0" w:color="auto"/>
              <w:right w:val="nil"/>
            </w:tcBorders>
            <w:shd w:val="clear" w:color="auto" w:fill="auto"/>
            <w:vAlign w:val="center"/>
            <w:hideMark/>
          </w:tcPr>
          <w:p w14:paraId="2B7393B9"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0BF6E153"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4" w:space="0" w:color="auto"/>
            </w:tcBorders>
            <w:shd w:val="clear" w:color="auto" w:fill="auto"/>
            <w:noWrap/>
            <w:vAlign w:val="center"/>
            <w:hideMark/>
          </w:tcPr>
          <w:p w14:paraId="192EDAB6"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14:paraId="35893C61"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14:paraId="6CDE1AEB"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 </w:t>
            </w:r>
          </w:p>
        </w:tc>
      </w:tr>
      <w:tr w:rsidR="005B24D2" w:rsidRPr="00A54413" w14:paraId="1F3F199D" w14:textId="77777777" w:rsidTr="0058761C">
        <w:trPr>
          <w:trHeight w:val="20"/>
        </w:trPr>
        <w:tc>
          <w:tcPr>
            <w:tcW w:w="2922" w:type="dxa"/>
            <w:tcBorders>
              <w:top w:val="nil"/>
              <w:left w:val="single" w:sz="8" w:space="0" w:color="auto"/>
              <w:bottom w:val="single" w:sz="8" w:space="0" w:color="auto"/>
              <w:right w:val="single" w:sz="8" w:space="0" w:color="auto"/>
            </w:tcBorders>
            <w:shd w:val="clear" w:color="auto" w:fill="auto"/>
            <w:noWrap/>
            <w:vAlign w:val="center"/>
            <w:hideMark/>
          </w:tcPr>
          <w:p w14:paraId="7CF8030F" w14:textId="77777777" w:rsidR="005B24D2" w:rsidRPr="00A54413" w:rsidRDefault="005B24D2" w:rsidP="00627460">
            <w:pPr>
              <w:widowControl/>
              <w:jc w:val="left"/>
              <w:rPr>
                <w:rFonts w:ascii="Cambria" w:eastAsia="Times New Roman" w:hAnsi="Cambria" w:cs="Calibri"/>
                <w:b/>
                <w:bCs/>
                <w:color w:val="auto"/>
                <w:sz w:val="18"/>
                <w:szCs w:val="18"/>
              </w:rPr>
            </w:pPr>
            <w:r w:rsidRPr="00A54413">
              <w:rPr>
                <w:rFonts w:ascii="Cambria" w:hAnsi="Cambria"/>
                <w:b/>
                <w:bCs/>
                <w:color w:val="auto"/>
                <w:sz w:val="18"/>
                <w:szCs w:val="18"/>
              </w:rPr>
              <w:t>Sous/</w:t>
            </w:r>
            <w:proofErr w:type="gramStart"/>
            <w:r w:rsidRPr="00A54413">
              <w:rPr>
                <w:rFonts w:ascii="Cambria" w:hAnsi="Cambria"/>
                <w:b/>
                <w:bCs/>
                <w:color w:val="auto"/>
                <w:sz w:val="18"/>
                <w:szCs w:val="18"/>
              </w:rPr>
              <w:t>surcapacité</w:t>
            </w:r>
            <w:r w:rsidRPr="00A54413">
              <w:rPr>
                <w:rFonts w:ascii="Cambria" w:hAnsi="Cambria"/>
                <w:b/>
                <w:bCs/>
                <w:color w:val="auto"/>
                <w:sz w:val="18"/>
                <w:szCs w:val="18"/>
                <w:vertAlign w:val="superscript"/>
              </w:rPr>
              <w:t>(</w:t>
            </w:r>
            <w:proofErr w:type="gramEnd"/>
            <w:r w:rsidRPr="00A54413">
              <w:rPr>
                <w:rFonts w:ascii="Cambria" w:hAnsi="Cambria"/>
                <w:b/>
                <w:bCs/>
                <w:color w:val="auto"/>
                <w:sz w:val="18"/>
                <w:szCs w:val="18"/>
                <w:vertAlign w:val="superscript"/>
              </w:rPr>
              <w:t>2)</w:t>
            </w:r>
          </w:p>
        </w:tc>
        <w:tc>
          <w:tcPr>
            <w:tcW w:w="1641" w:type="dxa"/>
            <w:tcBorders>
              <w:top w:val="nil"/>
              <w:left w:val="nil"/>
              <w:bottom w:val="single" w:sz="8" w:space="0" w:color="auto"/>
              <w:right w:val="single" w:sz="8" w:space="0" w:color="auto"/>
            </w:tcBorders>
            <w:shd w:val="clear" w:color="auto" w:fill="auto"/>
            <w:noWrap/>
            <w:vAlign w:val="center"/>
            <w:hideMark/>
          </w:tcPr>
          <w:p w14:paraId="519A6051" w14:textId="77777777" w:rsidR="005B24D2" w:rsidRPr="00A54413" w:rsidRDefault="005B24D2" w:rsidP="00627460">
            <w:pPr>
              <w:widowControl/>
              <w:jc w:val="right"/>
              <w:rPr>
                <w:rFonts w:ascii="Cambria" w:eastAsia="Times New Roman" w:hAnsi="Cambria" w:cs="Calibri"/>
                <w:color w:val="auto"/>
                <w:sz w:val="18"/>
                <w:szCs w:val="18"/>
              </w:rPr>
            </w:pPr>
            <w:r w:rsidRPr="00A54413">
              <w:rPr>
                <w:rFonts w:ascii="Cambria" w:hAnsi="Cambria"/>
                <w:color w:val="auto"/>
                <w:sz w:val="18"/>
                <w:szCs w:val="18"/>
              </w:rPr>
              <w:t> </w:t>
            </w:r>
          </w:p>
        </w:tc>
        <w:tc>
          <w:tcPr>
            <w:tcW w:w="659" w:type="dxa"/>
            <w:tcBorders>
              <w:top w:val="single" w:sz="8" w:space="0" w:color="auto"/>
              <w:left w:val="nil"/>
              <w:bottom w:val="single" w:sz="8" w:space="0" w:color="auto"/>
              <w:right w:val="single" w:sz="4" w:space="0" w:color="auto"/>
            </w:tcBorders>
            <w:shd w:val="clear" w:color="auto" w:fill="auto"/>
          </w:tcPr>
          <w:p w14:paraId="2A6DE5A9"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659" w:type="dxa"/>
            <w:tcBorders>
              <w:top w:val="nil"/>
              <w:left w:val="single" w:sz="4" w:space="0" w:color="auto"/>
              <w:bottom w:val="single" w:sz="8" w:space="0" w:color="auto"/>
              <w:right w:val="single" w:sz="8" w:space="0" w:color="auto"/>
            </w:tcBorders>
            <w:shd w:val="clear" w:color="auto" w:fill="auto"/>
            <w:noWrap/>
            <w:vAlign w:val="center"/>
            <w:hideMark/>
          </w:tcPr>
          <w:p w14:paraId="55103CE4"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6AFCCF04"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7F9EC4A2"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08EA888B"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nil"/>
              <w:bottom w:val="single" w:sz="8" w:space="0" w:color="auto"/>
              <w:right w:val="single" w:sz="8" w:space="0" w:color="auto"/>
            </w:tcBorders>
            <w:shd w:val="clear" w:color="auto" w:fill="auto"/>
            <w:vAlign w:val="center"/>
            <w:hideMark/>
          </w:tcPr>
          <w:p w14:paraId="2885028E"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276" w:type="dxa"/>
            <w:tcBorders>
              <w:top w:val="nil"/>
              <w:left w:val="nil"/>
              <w:bottom w:val="single" w:sz="8" w:space="0" w:color="auto"/>
              <w:right w:val="nil"/>
            </w:tcBorders>
            <w:shd w:val="clear" w:color="auto" w:fill="D9D9D9" w:themeFill="background1" w:themeFillShade="D9"/>
            <w:vAlign w:val="center"/>
            <w:hideMark/>
          </w:tcPr>
          <w:p w14:paraId="11BFD50F"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599" w:type="dxa"/>
            <w:tcBorders>
              <w:top w:val="nil"/>
              <w:left w:val="single" w:sz="4" w:space="0" w:color="auto"/>
              <w:bottom w:val="single" w:sz="8" w:space="0" w:color="auto"/>
              <w:right w:val="single" w:sz="4" w:space="0" w:color="auto"/>
            </w:tcBorders>
          </w:tcPr>
          <w:p w14:paraId="075D6144" w14:textId="77777777" w:rsidR="005B24D2" w:rsidRPr="00A54413" w:rsidRDefault="005B24D2" w:rsidP="00627460">
            <w:pPr>
              <w:widowControl/>
              <w:jc w:val="left"/>
              <w:rPr>
                <w:rFonts w:ascii="Cambria" w:eastAsia="Times New Roman" w:hAnsi="Cambria" w:cs="Calibri"/>
                <w:color w:val="auto"/>
                <w:sz w:val="18"/>
                <w:szCs w:val="18"/>
                <w:lang w:eastAsia="ja-JP" w:bidi="ar-SA"/>
              </w:rPr>
            </w:pPr>
          </w:p>
        </w:tc>
        <w:tc>
          <w:tcPr>
            <w:tcW w:w="751" w:type="dxa"/>
            <w:tcBorders>
              <w:top w:val="nil"/>
              <w:left w:val="single" w:sz="4" w:space="0" w:color="auto"/>
              <w:bottom w:val="single" w:sz="8" w:space="0" w:color="auto"/>
              <w:right w:val="nil"/>
            </w:tcBorders>
            <w:shd w:val="clear" w:color="auto" w:fill="auto"/>
            <w:vAlign w:val="center"/>
            <w:hideMark/>
          </w:tcPr>
          <w:p w14:paraId="246925C0"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70DA0B7E"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77F7CB52"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783FEE04"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c>
          <w:tcPr>
            <w:tcW w:w="960" w:type="dxa"/>
            <w:tcBorders>
              <w:top w:val="nil"/>
              <w:left w:val="nil"/>
              <w:bottom w:val="single" w:sz="8" w:space="0" w:color="auto"/>
              <w:right w:val="single" w:sz="8" w:space="0" w:color="auto"/>
            </w:tcBorders>
            <w:vAlign w:val="center"/>
            <w:hideMark/>
          </w:tcPr>
          <w:p w14:paraId="479AF894" w14:textId="77777777" w:rsidR="005B24D2" w:rsidRPr="00A54413" w:rsidRDefault="005B24D2" w:rsidP="00627460">
            <w:pPr>
              <w:widowControl/>
              <w:jc w:val="left"/>
              <w:rPr>
                <w:rFonts w:ascii="Cambria" w:eastAsia="Times New Roman" w:hAnsi="Cambria" w:cs="Calibri"/>
                <w:color w:val="auto"/>
                <w:sz w:val="18"/>
                <w:szCs w:val="18"/>
              </w:rPr>
            </w:pPr>
            <w:r w:rsidRPr="00A54413">
              <w:rPr>
                <w:rFonts w:ascii="Cambria" w:hAnsi="Cambria"/>
                <w:color w:val="auto"/>
                <w:sz w:val="18"/>
                <w:szCs w:val="18"/>
              </w:rPr>
              <w:t> </w:t>
            </w:r>
          </w:p>
        </w:tc>
      </w:tr>
    </w:tbl>
    <w:p w14:paraId="372AA218" w14:textId="4D63A0B0" w:rsidR="00630543" w:rsidRPr="00A54413" w:rsidRDefault="00716C02" w:rsidP="00630543">
      <w:pPr>
        <w:widowControl/>
        <w:jc w:val="left"/>
        <w:rPr>
          <w:rFonts w:ascii="Cambria" w:hAnsi="Cambria"/>
          <w:color w:val="auto"/>
          <w:sz w:val="16"/>
          <w:szCs w:val="16"/>
        </w:rPr>
      </w:pPr>
      <w:r w:rsidRPr="00A54413">
        <w:rPr>
          <w:rFonts w:ascii="Cambria" w:hAnsi="Cambria"/>
          <w:b/>
          <w:bCs/>
          <w:color w:val="auto"/>
          <w:sz w:val="16"/>
          <w:szCs w:val="16"/>
        </w:rPr>
        <w:tab/>
      </w:r>
      <w:r w:rsidRPr="00A54413">
        <w:rPr>
          <w:rFonts w:ascii="Cambria" w:hAnsi="Cambria"/>
          <w:color w:val="auto"/>
          <w:sz w:val="16"/>
          <w:szCs w:val="16"/>
        </w:rPr>
        <w:t>(1) La « tolérance pour la pêche sportive/récréative » doit être comprise dans le « quota » ou le « quota ajusté ».</w:t>
      </w:r>
    </w:p>
    <w:p w14:paraId="06A837D1" w14:textId="3A3DD4BE" w:rsidR="00630543" w:rsidRPr="00A60982" w:rsidRDefault="00630543" w:rsidP="006D304E">
      <w:pPr>
        <w:widowControl/>
        <w:ind w:left="840"/>
        <w:rPr>
          <w:rFonts w:ascii="Cambria" w:hAnsi="Cambria"/>
          <w:color w:val="auto"/>
          <w:sz w:val="20"/>
          <w:szCs w:val="20"/>
        </w:rPr>
      </w:pPr>
      <w:r w:rsidRPr="00A54413">
        <w:rPr>
          <w:rFonts w:ascii="Cambria" w:hAnsi="Cambria"/>
          <w:color w:val="auto"/>
          <w:sz w:val="16"/>
          <w:szCs w:val="16"/>
        </w:rPr>
        <w:t>(2) La « sous/surcapacité » est calculée en soustrayant le chiffre du « Quota » ou du « Quota ajusté » de celui de la « Capacité totale de la flottille/de pêche ». Si le chiffre calculé est supérieur à 0, il y a surcapacité. Si le chiffre est inférieur à 0, cela signifie une sous-capacité et il faut utiliser le signe moins (-). Par exemple, si la capacité est de 1.000 et le quota de 1.050, inscrire « -50 » dans « sous/surcapacité ». La capacité doit être calculée après déduction de la tolérance de prises accessoires.</w:t>
      </w:r>
      <w:r w:rsidRPr="00A60982">
        <w:rPr>
          <w:rFonts w:ascii="Cambria" w:hAnsi="Cambria"/>
          <w:color w:val="auto"/>
          <w:sz w:val="16"/>
          <w:szCs w:val="16"/>
        </w:rPr>
        <w:t xml:space="preserve"> </w:t>
      </w:r>
    </w:p>
    <w:sectPr w:rsidR="00630543" w:rsidRPr="00A60982" w:rsidSect="008B1486">
      <w:headerReference w:type="default" r:id="rId16"/>
      <w:footerReference w:type="default" r:id="rId17"/>
      <w:pgSz w:w="16838" w:h="11906" w:orient="landscape" w:code="9"/>
      <w:pgMar w:top="1418" w:right="1134" w:bottom="851" w:left="1418" w:header="851" w:footer="113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BB97" w14:textId="77777777" w:rsidR="008B1486" w:rsidRDefault="008B1486" w:rsidP="00310504">
      <w:r>
        <w:separator/>
      </w:r>
    </w:p>
  </w:endnote>
  <w:endnote w:type="continuationSeparator" w:id="0">
    <w:p w14:paraId="63046737" w14:textId="77777777" w:rsidR="008B1486" w:rsidRDefault="008B1486"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1ED8" w14:textId="62FA55A6" w:rsidR="00B2103B" w:rsidRPr="00B675E6" w:rsidRDefault="00000000" w:rsidP="00630543">
    <w:pPr>
      <w:pStyle w:val="Footer"/>
      <w:tabs>
        <w:tab w:val="center" w:pos="4535"/>
        <w:tab w:val="left" w:pos="6150"/>
      </w:tabs>
      <w:jc w:val="center"/>
      <w:rPr>
        <w:rFonts w:ascii="Cambria" w:hAnsi="Cambria"/>
        <w:sz w:val="20"/>
        <w:szCs w:val="20"/>
      </w:rPr>
    </w:pPr>
    <w:sdt>
      <w:sdtPr>
        <w:rPr>
          <w:rFonts w:ascii="Cambria" w:hAnsi="Cambria"/>
          <w:sz w:val="20"/>
          <w:szCs w:val="20"/>
        </w:rPr>
        <w:id w:val="1695573697"/>
        <w:docPartObj>
          <w:docPartGallery w:val="Page Numbers (Bottom of Page)"/>
          <w:docPartUnique/>
        </w:docPartObj>
      </w:sdtPr>
      <w:sdtContent>
        <w:sdt>
          <w:sdtPr>
            <w:rPr>
              <w:rFonts w:ascii="Cambria" w:hAnsi="Cambria"/>
              <w:sz w:val="20"/>
              <w:szCs w:val="20"/>
            </w:rPr>
            <w:id w:val="1230499914"/>
            <w:docPartObj>
              <w:docPartGallery w:val="Page Numbers (Top of Page)"/>
              <w:docPartUnique/>
            </w:docPartObj>
          </w:sdtPr>
          <w:sdtContent>
            <w:r w:rsidR="00B2103B" w:rsidRPr="00B675E6">
              <w:rPr>
                <w:rFonts w:ascii="Cambria" w:hAnsi="Cambria"/>
                <w:bCs/>
                <w:sz w:val="20"/>
                <w:szCs w:val="20"/>
              </w:rPr>
              <w:fldChar w:fldCharType="begin"/>
            </w:r>
            <w:r w:rsidR="00B2103B" w:rsidRPr="00B675E6">
              <w:rPr>
                <w:rFonts w:ascii="Cambria" w:hAnsi="Cambria"/>
                <w:bCs/>
                <w:sz w:val="20"/>
                <w:szCs w:val="20"/>
              </w:rPr>
              <w:instrText xml:space="preserve"> PAGE </w:instrText>
            </w:r>
            <w:r w:rsidR="00B2103B" w:rsidRPr="00B675E6">
              <w:rPr>
                <w:rFonts w:ascii="Cambria" w:hAnsi="Cambria"/>
                <w:bCs/>
                <w:sz w:val="20"/>
                <w:szCs w:val="20"/>
              </w:rPr>
              <w:fldChar w:fldCharType="separate"/>
            </w:r>
            <w:r w:rsidR="008079E8">
              <w:rPr>
                <w:rFonts w:ascii="Cambria" w:hAnsi="Cambria"/>
                <w:bCs/>
                <w:sz w:val="20"/>
                <w:szCs w:val="20"/>
              </w:rPr>
              <w:t>3</w:t>
            </w:r>
            <w:r w:rsidR="00B2103B" w:rsidRPr="00B675E6">
              <w:rPr>
                <w:rFonts w:ascii="Cambria" w:hAnsi="Cambria"/>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738543"/>
      <w:docPartObj>
        <w:docPartGallery w:val="Page Numbers (Bottom of Page)"/>
        <w:docPartUnique/>
      </w:docPartObj>
    </w:sdtPr>
    <w:sdtContent>
      <w:sdt>
        <w:sdtPr>
          <w:id w:val="107863525"/>
          <w:docPartObj>
            <w:docPartGallery w:val="Page Numbers (Top of Page)"/>
            <w:docPartUnique/>
          </w:docPartObj>
        </w:sdtPr>
        <w:sdtContent>
          <w:p w14:paraId="1C251114" w14:textId="77777777" w:rsidR="00B2103B" w:rsidRDefault="00B2103B" w:rsidP="002813AE">
            <w:pPr>
              <w:pStyle w:val="Footer"/>
              <w:jc w:val="center"/>
            </w:pPr>
            <w:r w:rsidRPr="002813AE">
              <w:rPr>
                <w:rFonts w:ascii="Cambria" w:hAnsi="Cambria"/>
                <w:bCs/>
                <w:sz w:val="20"/>
                <w:szCs w:val="20"/>
              </w:rPr>
              <w:fldChar w:fldCharType="begin"/>
            </w:r>
            <w:r w:rsidRPr="002813AE">
              <w:rPr>
                <w:rFonts w:ascii="Cambria" w:hAnsi="Cambria"/>
                <w:bCs/>
                <w:sz w:val="20"/>
                <w:szCs w:val="20"/>
              </w:rPr>
              <w:instrText xml:space="preserve"> PAGE </w:instrText>
            </w:r>
            <w:r w:rsidRPr="002813AE">
              <w:rPr>
                <w:rFonts w:ascii="Cambria" w:hAnsi="Cambria"/>
                <w:bCs/>
                <w:sz w:val="20"/>
                <w:szCs w:val="20"/>
              </w:rPr>
              <w:fldChar w:fldCharType="separate"/>
            </w:r>
            <w:r>
              <w:rPr>
                <w:rFonts w:ascii="Cambria" w:hAnsi="Cambria"/>
                <w:bCs/>
                <w:sz w:val="20"/>
                <w:szCs w:val="20"/>
              </w:rPr>
              <w:t>1</w:t>
            </w:r>
            <w:r w:rsidRPr="002813AE">
              <w:rPr>
                <w:rFonts w:ascii="Cambria" w:hAnsi="Cambria"/>
                <w:bCs/>
                <w:sz w:val="20"/>
                <w:szCs w:val="20"/>
              </w:rPr>
              <w:fldChar w:fldCharType="end"/>
            </w:r>
            <w:r>
              <w:rPr>
                <w:rFonts w:ascii="Cambria" w:hAnsi="Cambria"/>
                <w:sz w:val="20"/>
                <w:szCs w:val="20"/>
              </w:rPr>
              <w:t xml:space="preserve">  /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31B9" w14:textId="77777777" w:rsidR="00716C02" w:rsidRPr="00B675E6" w:rsidRDefault="00000000" w:rsidP="00630543">
    <w:pPr>
      <w:pStyle w:val="Footer"/>
      <w:tabs>
        <w:tab w:val="center" w:pos="4535"/>
        <w:tab w:val="left" w:pos="6150"/>
      </w:tabs>
      <w:jc w:val="center"/>
      <w:rPr>
        <w:rFonts w:ascii="Cambria" w:hAnsi="Cambria"/>
        <w:sz w:val="20"/>
        <w:szCs w:val="20"/>
      </w:rPr>
    </w:pPr>
    <w:sdt>
      <w:sdtPr>
        <w:rPr>
          <w:rFonts w:ascii="Cambria" w:hAnsi="Cambria"/>
          <w:sz w:val="20"/>
          <w:szCs w:val="20"/>
        </w:rPr>
        <w:id w:val="-1946067598"/>
        <w:docPartObj>
          <w:docPartGallery w:val="Page Numbers (Bottom of Page)"/>
          <w:docPartUnique/>
        </w:docPartObj>
      </w:sdtPr>
      <w:sdtContent>
        <w:sdt>
          <w:sdtPr>
            <w:rPr>
              <w:rFonts w:ascii="Cambria" w:hAnsi="Cambria"/>
              <w:sz w:val="20"/>
              <w:szCs w:val="20"/>
            </w:rPr>
            <w:id w:val="734893182"/>
            <w:docPartObj>
              <w:docPartGallery w:val="Page Numbers (Top of Page)"/>
              <w:docPartUnique/>
            </w:docPartObj>
          </w:sdtPr>
          <w:sdtContent>
            <w:r w:rsidR="00716C02" w:rsidRPr="00B675E6">
              <w:rPr>
                <w:rFonts w:ascii="Cambria" w:hAnsi="Cambria"/>
                <w:bCs/>
                <w:sz w:val="20"/>
                <w:szCs w:val="20"/>
              </w:rPr>
              <w:fldChar w:fldCharType="begin"/>
            </w:r>
            <w:r w:rsidR="00716C02" w:rsidRPr="00B675E6">
              <w:rPr>
                <w:rFonts w:ascii="Cambria" w:hAnsi="Cambria"/>
                <w:bCs/>
                <w:sz w:val="20"/>
                <w:szCs w:val="20"/>
              </w:rPr>
              <w:instrText xml:space="preserve"> PAGE </w:instrText>
            </w:r>
            <w:r w:rsidR="00716C02" w:rsidRPr="00B675E6">
              <w:rPr>
                <w:rFonts w:ascii="Cambria" w:hAnsi="Cambria"/>
                <w:bCs/>
                <w:sz w:val="20"/>
                <w:szCs w:val="20"/>
              </w:rPr>
              <w:fldChar w:fldCharType="separate"/>
            </w:r>
            <w:r w:rsidR="00716C02">
              <w:rPr>
                <w:rFonts w:ascii="Cambria" w:hAnsi="Cambria"/>
                <w:bCs/>
                <w:sz w:val="20"/>
                <w:szCs w:val="20"/>
              </w:rPr>
              <w:t>3</w:t>
            </w:r>
            <w:r w:rsidR="00716C02" w:rsidRPr="00B675E6">
              <w:rPr>
                <w:rFonts w:ascii="Cambria" w:hAnsi="Cambria"/>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FB10" w14:textId="77777777" w:rsidR="008B1486" w:rsidRDefault="008B1486" w:rsidP="00310504">
      <w:r>
        <w:separator/>
      </w:r>
    </w:p>
  </w:footnote>
  <w:footnote w:type="continuationSeparator" w:id="0">
    <w:p w14:paraId="5FB34DC4" w14:textId="77777777" w:rsidR="008B1486" w:rsidRDefault="008B1486" w:rsidP="00310504">
      <w:r>
        <w:continuationSeparator/>
      </w:r>
    </w:p>
  </w:footnote>
  <w:footnote w:id="1">
    <w:p w14:paraId="105B6149" w14:textId="4FA0BD08" w:rsidR="00C42927" w:rsidRPr="00C42927" w:rsidRDefault="00C42927">
      <w:pPr>
        <w:pStyle w:val="FootnoteText"/>
        <w:rPr>
          <w:rFonts w:ascii="Cambria" w:hAnsi="Cambria"/>
          <w:sz w:val="16"/>
          <w:szCs w:val="16"/>
        </w:rPr>
      </w:pPr>
      <w:r w:rsidRPr="00C42927">
        <w:rPr>
          <w:rStyle w:val="FootnoteReference"/>
          <w:rFonts w:ascii="Cambria" w:hAnsi="Cambria"/>
          <w:sz w:val="16"/>
          <w:szCs w:val="16"/>
        </w:rPr>
        <w:footnoteRef/>
      </w:r>
      <w:r w:rsidRPr="00C42927">
        <w:rPr>
          <w:rFonts w:ascii="Cambria" w:hAnsi="Cambria"/>
          <w:sz w:val="16"/>
          <w:szCs w:val="16"/>
        </w:rPr>
        <w:t xml:space="preserve"> Sauf indication contraire, les numéros de paragraphe correspondent à ceux de la </w:t>
      </w:r>
      <w:hyperlink r:id="rId1" w:history="1">
        <w:r w:rsidRPr="00C42927">
          <w:rPr>
            <w:rStyle w:val="Hyperlink"/>
            <w:rFonts w:ascii="Cambria" w:hAnsi="Cambria"/>
            <w:sz w:val="16"/>
            <w:szCs w:val="16"/>
            <w:u w:val="none"/>
          </w:rPr>
          <w:t>Rec. 22-08.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4CF8" w14:textId="77777777" w:rsidR="00B2103B" w:rsidRPr="00A03143" w:rsidRDefault="00B2103B" w:rsidP="002813AE">
    <w:pPr>
      <w:spacing w:line="240" w:lineRule="exact"/>
      <w:rPr>
        <w:rFonts w:ascii="Cambria" w:hAnsi="Cambria"/>
        <w:b/>
        <w:bCs/>
        <w:sz w:val="28"/>
      </w:rPr>
    </w:pPr>
    <w:r w:rsidRPr="00430F82">
      <w:rPr>
        <w:rFonts w:ascii="Cambria" w:hAnsi="Cambria"/>
        <w:b/>
        <w:bCs/>
        <w:lang w:val="en-US"/>
      </w:rPr>
      <w:t>COMMISSION 2016 – Guidelines preparation bluefin tuna plans</w:t>
    </w:r>
    <w:r w:rsidRPr="00430F82">
      <w:rPr>
        <w:rFonts w:ascii="Cambria" w:hAnsi="Cambria"/>
        <w:b/>
        <w:bCs/>
        <w:lang w:val="en-US"/>
      </w:rPr>
      <w:tab/>
    </w:r>
    <w:r w:rsidRPr="00430F82">
      <w:rPr>
        <w:rFonts w:ascii="Cambria" w:hAnsi="Cambria"/>
        <w:b/>
        <w:bCs/>
        <w:sz w:val="26"/>
        <w:szCs w:val="26"/>
        <w:lang w:val="en-US"/>
      </w:rPr>
      <w:t xml:space="preserve">Doc. </w:t>
    </w:r>
    <w:r>
      <w:rPr>
        <w:rFonts w:ascii="Cambria" w:hAnsi="Cambria"/>
        <w:b/>
        <w:bCs/>
        <w:sz w:val="26"/>
        <w:szCs w:val="26"/>
      </w:rPr>
      <w:t>Nº PA2-602 / 2016</w:t>
    </w:r>
  </w:p>
  <w:p w14:paraId="4A6078F8" w14:textId="32157EC0" w:rsidR="00B2103B" w:rsidRPr="002813AE" w:rsidRDefault="00B2103B" w:rsidP="002813AE">
    <w:pPr>
      <w:tabs>
        <w:tab w:val="left" w:pos="7320"/>
      </w:tabs>
      <w:spacing w:line="240" w:lineRule="exact"/>
      <w:rPr>
        <w:rFonts w:ascii="Cambria" w:hAnsi="Cambria"/>
        <w:b/>
        <w:bCs/>
        <w:sz w:val="20"/>
      </w:rPr>
    </w:pPr>
    <w:r w:rsidRPr="00A03143">
      <w:rPr>
        <w:rFonts w:ascii="Cambria" w:hAnsi="Cambria"/>
        <w:b/>
        <w:bCs/>
        <w:sz w:val="20"/>
      </w:rPr>
      <w:fldChar w:fldCharType="begin"/>
    </w:r>
    <w:r w:rsidRPr="00A03143">
      <w:rPr>
        <w:rFonts w:ascii="Cambria" w:hAnsi="Cambria"/>
        <w:b/>
        <w:bCs/>
        <w:sz w:val="20"/>
      </w:rPr>
      <w:instrText xml:space="preserve"> TIME \@ "d MMMM yyyy HH:mm:ss" </w:instrText>
    </w:r>
    <w:r w:rsidRPr="00A03143">
      <w:rPr>
        <w:rFonts w:ascii="Cambria" w:hAnsi="Cambria"/>
        <w:b/>
        <w:bCs/>
        <w:sz w:val="20"/>
      </w:rPr>
      <w:fldChar w:fldCharType="separate"/>
    </w:r>
    <w:r w:rsidR="00A54413">
      <w:rPr>
        <w:rFonts w:ascii="Cambria" w:hAnsi="Cambria"/>
        <w:b/>
        <w:bCs/>
        <w:noProof/>
        <w:sz w:val="20"/>
      </w:rPr>
      <w:t>30 janvier 2024 12:35:57</w:t>
    </w:r>
    <w:r w:rsidRPr="00A03143">
      <w:rPr>
        <w:rFonts w:ascii="Cambria" w:hAnsi="Cambria"/>
        <w:b/>
        <w:bCs/>
        <w:sz w:val="20"/>
        <w:lang w:val="es-ES"/>
      </w:rPr>
      <w:fldChar w:fldCharType="end"/>
    </w:r>
    <w:r>
      <w:rPr>
        <w:rFonts w:ascii="Cambria" w:hAnsi="Cambria"/>
        <w:b/>
        <w:bCs/>
        <w:sz w:val="20"/>
      </w:rPr>
      <w:t xml:space="preserve">; </w:t>
    </w:r>
    <w:r w:rsidRPr="00A03143">
      <w:rPr>
        <w:rFonts w:ascii="Cambria" w:hAnsi="Cambria"/>
        <w:b/>
        <w:bCs/>
        <w:sz w:val="20"/>
      </w:rPr>
      <w:fldChar w:fldCharType="begin"/>
    </w:r>
    <w:r w:rsidRPr="00A03143">
      <w:rPr>
        <w:rFonts w:ascii="Cambria" w:hAnsi="Cambria"/>
        <w:b/>
        <w:bCs/>
        <w:sz w:val="20"/>
      </w:rPr>
      <w:instrText xml:space="preserve"> TIME \@ "d MMMM yyyy HH:mm:ss" </w:instrText>
    </w:r>
    <w:r w:rsidRPr="00A03143">
      <w:rPr>
        <w:rFonts w:ascii="Cambria" w:hAnsi="Cambria"/>
        <w:b/>
        <w:bCs/>
        <w:sz w:val="20"/>
      </w:rPr>
      <w:fldChar w:fldCharType="separate"/>
    </w:r>
    <w:r w:rsidR="00A54413">
      <w:rPr>
        <w:rFonts w:ascii="Cambria" w:hAnsi="Cambria"/>
        <w:b/>
        <w:bCs/>
        <w:noProof/>
        <w:sz w:val="20"/>
      </w:rPr>
      <w:t>30 janvier 2024 12:35:57</w:t>
    </w:r>
    <w:r w:rsidRPr="00A03143">
      <w:rPr>
        <w:rFonts w:ascii="Cambria" w:hAnsi="Cambria"/>
        <w:b/>
        <w:bCs/>
        <w:sz w:val="20"/>
        <w:lang w:val="es-ES"/>
      </w:rPr>
      <w:fldChar w:fldCharType="end"/>
    </w:r>
  </w:p>
  <w:p w14:paraId="720DA8BF" w14:textId="77777777" w:rsidR="00B2103B" w:rsidRPr="00A03143" w:rsidRDefault="00B2103B" w:rsidP="002813AE">
    <w:pPr>
      <w:tabs>
        <w:tab w:val="left" w:pos="7320"/>
      </w:tabs>
      <w:spacing w:line="240" w:lineRule="exact"/>
      <w:rPr>
        <w:rFonts w:ascii="Cambria" w:hAnsi="Cambria"/>
        <w:b/>
        <w:bCs/>
        <w:sz w:val="20"/>
      </w:rPr>
    </w:pPr>
    <w:r>
      <w:rPr>
        <w:rFonts w:ascii="Cambria" w:hAnsi="Cambria"/>
        <w:b/>
        <w:bCs/>
        <w:noProof/>
        <w:sz w:val="20"/>
      </w:rPr>
      <mc:AlternateContent>
        <mc:Choice Requires="wps">
          <w:drawing>
            <wp:anchor distT="0" distB="0" distL="114300" distR="114300" simplePos="0" relativeHeight="251658240" behindDoc="0" locked="0" layoutInCell="1" allowOverlap="1" wp14:anchorId="698032BD" wp14:editId="76275D51">
              <wp:simplePos x="0" y="0"/>
              <wp:positionH relativeFrom="column">
                <wp:posOffset>0</wp:posOffset>
              </wp:positionH>
              <wp:positionV relativeFrom="paragraph">
                <wp:posOffset>17145</wp:posOffset>
              </wp:positionV>
              <wp:extent cx="57150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F397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TAT0ldgAAAAEAQAADwAAAGRycy9kb3ducmV2LnhtbEyPwU7D&#10;MBBE70j8g7VIXKrWJkhQQpwKAblxoYC4buMliYjXaey2ga9n6QWOT7OaeVusJt+rPY2xC2zhYmFA&#10;EdfBddxYeH2p5ktQMSE77AOThS+KsCpPTwrMXTjwM+3XqVFSwjFHC21KQ651rFvyGBdhIJbsI4we&#10;k+DYaDfiQcp9rzNjrrTHjmWhxYHuW6o/1ztvIVZvtK2+Z/XMvF82gbLtw9MjWnt+Nt3dgko0pb9j&#10;+NUXdSjFaRN27KLqLcgjyUJ2DUrCG2OEN0fWZaH/y5c/AAAA//8DAFBLAQItABQABgAIAAAAIQC2&#10;gziS/gAAAOEBAAATAAAAAAAAAAAAAAAAAAAAAABbQ29udGVudF9UeXBlc10ueG1sUEsBAi0AFAAG&#10;AAgAAAAhADj9If/WAAAAlAEAAAsAAAAAAAAAAAAAAAAALwEAAF9yZWxzLy5yZWxzUEsBAi0AFAAG&#10;AAgAAAAhAEYgh3qvAQAASAMAAA4AAAAAAAAAAAAAAAAALgIAAGRycy9lMm9Eb2MueG1sUEsBAi0A&#10;FAAGAAgAAAAhAEwE9JXYAAAABAEAAA8AAAAAAAAAAAAAAAAACQQAAGRycy9kb3ducmV2LnhtbFBL&#10;BQYAAAAABAAEAPMAAAAO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16DB" w14:textId="599198F3" w:rsidR="00B2103B" w:rsidRPr="00430F82" w:rsidRDefault="00B2103B" w:rsidP="00430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EC7"/>
    <w:multiLevelType w:val="hybridMultilevel"/>
    <w:tmpl w:val="3C2E03C6"/>
    <w:lvl w:ilvl="0" w:tplc="D4D44360">
      <w:start w:val="2"/>
      <w:numFmt w:val="bullet"/>
      <w:lvlText w:val="-"/>
      <w:lvlJc w:val="left"/>
      <w:pPr>
        <w:ind w:left="720" w:hanging="360"/>
      </w:pPr>
      <w:rPr>
        <w:rFonts w:ascii="Cambria" w:eastAsia="MS Gothic"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C3C55"/>
    <w:multiLevelType w:val="hybridMultilevel"/>
    <w:tmpl w:val="E8C8F3B6"/>
    <w:lvl w:ilvl="0" w:tplc="A4502A66">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1661807811">
    <w:abstractNumId w:val="1"/>
  </w:num>
  <w:num w:numId="2" w16cid:durableId="497965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4D"/>
    <w:rsid w:val="00007EA8"/>
    <w:rsid w:val="00012FEB"/>
    <w:rsid w:val="000237D2"/>
    <w:rsid w:val="0002739E"/>
    <w:rsid w:val="00035A1F"/>
    <w:rsid w:val="00036CE4"/>
    <w:rsid w:val="00041382"/>
    <w:rsid w:val="00057FD5"/>
    <w:rsid w:val="00060C4D"/>
    <w:rsid w:val="000A1562"/>
    <w:rsid w:val="000A36FB"/>
    <w:rsid w:val="000A3BB2"/>
    <w:rsid w:val="000B1C34"/>
    <w:rsid w:val="000D4373"/>
    <w:rsid w:val="000D7AB2"/>
    <w:rsid w:val="000E7185"/>
    <w:rsid w:val="000F1FFA"/>
    <w:rsid w:val="0010457C"/>
    <w:rsid w:val="00117232"/>
    <w:rsid w:val="0012001E"/>
    <w:rsid w:val="001314C1"/>
    <w:rsid w:val="00142733"/>
    <w:rsid w:val="00146E85"/>
    <w:rsid w:val="0015485A"/>
    <w:rsid w:val="00163501"/>
    <w:rsid w:val="00165C19"/>
    <w:rsid w:val="00166C32"/>
    <w:rsid w:val="00170EF0"/>
    <w:rsid w:val="00197D76"/>
    <w:rsid w:val="001A0301"/>
    <w:rsid w:val="001A2B42"/>
    <w:rsid w:val="001C0AF9"/>
    <w:rsid w:val="001C4B28"/>
    <w:rsid w:val="001E335A"/>
    <w:rsid w:val="001F4C19"/>
    <w:rsid w:val="001F7D48"/>
    <w:rsid w:val="002034F3"/>
    <w:rsid w:val="00234F53"/>
    <w:rsid w:val="002401C4"/>
    <w:rsid w:val="00257683"/>
    <w:rsid w:val="0026233F"/>
    <w:rsid w:val="002746FB"/>
    <w:rsid w:val="002805A7"/>
    <w:rsid w:val="002813AE"/>
    <w:rsid w:val="00285FE2"/>
    <w:rsid w:val="0028779B"/>
    <w:rsid w:val="002A1792"/>
    <w:rsid w:val="002A61E9"/>
    <w:rsid w:val="002C03FD"/>
    <w:rsid w:val="002E2B91"/>
    <w:rsid w:val="002F13E4"/>
    <w:rsid w:val="00302390"/>
    <w:rsid w:val="00303A30"/>
    <w:rsid w:val="00304259"/>
    <w:rsid w:val="0030667C"/>
    <w:rsid w:val="00310504"/>
    <w:rsid w:val="00316BAC"/>
    <w:rsid w:val="00327A21"/>
    <w:rsid w:val="00331171"/>
    <w:rsid w:val="00332EAC"/>
    <w:rsid w:val="00334DAB"/>
    <w:rsid w:val="00334EB6"/>
    <w:rsid w:val="00344BA0"/>
    <w:rsid w:val="00373213"/>
    <w:rsid w:val="00377510"/>
    <w:rsid w:val="003909B8"/>
    <w:rsid w:val="00396CED"/>
    <w:rsid w:val="003A1397"/>
    <w:rsid w:val="003F346B"/>
    <w:rsid w:val="003F622C"/>
    <w:rsid w:val="00404757"/>
    <w:rsid w:val="00423158"/>
    <w:rsid w:val="00424D76"/>
    <w:rsid w:val="004307C3"/>
    <w:rsid w:val="00430F82"/>
    <w:rsid w:val="00431256"/>
    <w:rsid w:val="004335A1"/>
    <w:rsid w:val="00436484"/>
    <w:rsid w:val="00436E12"/>
    <w:rsid w:val="004427DE"/>
    <w:rsid w:val="00455C8F"/>
    <w:rsid w:val="004737BA"/>
    <w:rsid w:val="00473B57"/>
    <w:rsid w:val="00477E6B"/>
    <w:rsid w:val="00490CF6"/>
    <w:rsid w:val="004A122F"/>
    <w:rsid w:val="004A17E5"/>
    <w:rsid w:val="004B2B40"/>
    <w:rsid w:val="004B7350"/>
    <w:rsid w:val="004C74E2"/>
    <w:rsid w:val="004E7483"/>
    <w:rsid w:val="00501AF6"/>
    <w:rsid w:val="00511713"/>
    <w:rsid w:val="0058761C"/>
    <w:rsid w:val="0059256A"/>
    <w:rsid w:val="00595377"/>
    <w:rsid w:val="005B24D2"/>
    <w:rsid w:val="005C1E47"/>
    <w:rsid w:val="005E51BD"/>
    <w:rsid w:val="005F755B"/>
    <w:rsid w:val="00601863"/>
    <w:rsid w:val="00614199"/>
    <w:rsid w:val="006161A8"/>
    <w:rsid w:val="00630543"/>
    <w:rsid w:val="0064464D"/>
    <w:rsid w:val="0066712D"/>
    <w:rsid w:val="006834F4"/>
    <w:rsid w:val="00684F19"/>
    <w:rsid w:val="006B390D"/>
    <w:rsid w:val="006B4CD9"/>
    <w:rsid w:val="006B5A96"/>
    <w:rsid w:val="006C3DAD"/>
    <w:rsid w:val="006C672E"/>
    <w:rsid w:val="006D0BE7"/>
    <w:rsid w:val="006D304E"/>
    <w:rsid w:val="006D3702"/>
    <w:rsid w:val="006F2B2A"/>
    <w:rsid w:val="007079C7"/>
    <w:rsid w:val="00713234"/>
    <w:rsid w:val="00714152"/>
    <w:rsid w:val="00716C02"/>
    <w:rsid w:val="00731796"/>
    <w:rsid w:val="007375C9"/>
    <w:rsid w:val="00740D86"/>
    <w:rsid w:val="007441FC"/>
    <w:rsid w:val="00765A7A"/>
    <w:rsid w:val="00767977"/>
    <w:rsid w:val="007720ED"/>
    <w:rsid w:val="00772E47"/>
    <w:rsid w:val="007837DC"/>
    <w:rsid w:val="007A1C6C"/>
    <w:rsid w:val="007C2621"/>
    <w:rsid w:val="007C7CE3"/>
    <w:rsid w:val="007D3271"/>
    <w:rsid w:val="007D60B2"/>
    <w:rsid w:val="007D64A8"/>
    <w:rsid w:val="007F41CF"/>
    <w:rsid w:val="008079E8"/>
    <w:rsid w:val="0082307D"/>
    <w:rsid w:val="00826A45"/>
    <w:rsid w:val="00835A01"/>
    <w:rsid w:val="00844104"/>
    <w:rsid w:val="00862093"/>
    <w:rsid w:val="0086721E"/>
    <w:rsid w:val="008717F8"/>
    <w:rsid w:val="00880C62"/>
    <w:rsid w:val="00882820"/>
    <w:rsid w:val="00882C4D"/>
    <w:rsid w:val="008A4918"/>
    <w:rsid w:val="008B1486"/>
    <w:rsid w:val="008C1FEB"/>
    <w:rsid w:val="008C2CF0"/>
    <w:rsid w:val="008D1588"/>
    <w:rsid w:val="008D28EB"/>
    <w:rsid w:val="008D7825"/>
    <w:rsid w:val="008E0158"/>
    <w:rsid w:val="008F3367"/>
    <w:rsid w:val="0090438F"/>
    <w:rsid w:val="00936694"/>
    <w:rsid w:val="0099411C"/>
    <w:rsid w:val="0099506D"/>
    <w:rsid w:val="009B24DF"/>
    <w:rsid w:val="009C445A"/>
    <w:rsid w:val="009C6AE5"/>
    <w:rsid w:val="009D094F"/>
    <w:rsid w:val="009F0026"/>
    <w:rsid w:val="00A10BC3"/>
    <w:rsid w:val="00A15891"/>
    <w:rsid w:val="00A231F2"/>
    <w:rsid w:val="00A24F8B"/>
    <w:rsid w:val="00A32B2D"/>
    <w:rsid w:val="00A4034C"/>
    <w:rsid w:val="00A46532"/>
    <w:rsid w:val="00A46FA2"/>
    <w:rsid w:val="00A509C7"/>
    <w:rsid w:val="00A5348C"/>
    <w:rsid w:val="00A535CB"/>
    <w:rsid w:val="00A54413"/>
    <w:rsid w:val="00A60982"/>
    <w:rsid w:val="00A73529"/>
    <w:rsid w:val="00A80DE3"/>
    <w:rsid w:val="00A8451F"/>
    <w:rsid w:val="00AB18B7"/>
    <w:rsid w:val="00AB2840"/>
    <w:rsid w:val="00AB536B"/>
    <w:rsid w:val="00AD3677"/>
    <w:rsid w:val="00AD5D65"/>
    <w:rsid w:val="00AF5E92"/>
    <w:rsid w:val="00AF66B9"/>
    <w:rsid w:val="00AF7108"/>
    <w:rsid w:val="00B108F6"/>
    <w:rsid w:val="00B11AC9"/>
    <w:rsid w:val="00B12369"/>
    <w:rsid w:val="00B2103B"/>
    <w:rsid w:val="00B34EB6"/>
    <w:rsid w:val="00B55531"/>
    <w:rsid w:val="00B6111D"/>
    <w:rsid w:val="00B643C0"/>
    <w:rsid w:val="00B675E6"/>
    <w:rsid w:val="00B9321E"/>
    <w:rsid w:val="00BA0952"/>
    <w:rsid w:val="00BA7C15"/>
    <w:rsid w:val="00BD0551"/>
    <w:rsid w:val="00BD7F4A"/>
    <w:rsid w:val="00BE5434"/>
    <w:rsid w:val="00BE5524"/>
    <w:rsid w:val="00C10ED5"/>
    <w:rsid w:val="00C27C24"/>
    <w:rsid w:val="00C300E8"/>
    <w:rsid w:val="00C42927"/>
    <w:rsid w:val="00C84803"/>
    <w:rsid w:val="00C85090"/>
    <w:rsid w:val="00C85FB4"/>
    <w:rsid w:val="00C8695A"/>
    <w:rsid w:val="00C90CCD"/>
    <w:rsid w:val="00C9210D"/>
    <w:rsid w:val="00C94C2D"/>
    <w:rsid w:val="00CB3AE8"/>
    <w:rsid w:val="00CC36DE"/>
    <w:rsid w:val="00CC5DDB"/>
    <w:rsid w:val="00CD149A"/>
    <w:rsid w:val="00CD73F5"/>
    <w:rsid w:val="00CE6233"/>
    <w:rsid w:val="00CF0CE7"/>
    <w:rsid w:val="00CF1C58"/>
    <w:rsid w:val="00D040C9"/>
    <w:rsid w:val="00D2080A"/>
    <w:rsid w:val="00D23534"/>
    <w:rsid w:val="00D37B42"/>
    <w:rsid w:val="00D46CC9"/>
    <w:rsid w:val="00D82018"/>
    <w:rsid w:val="00DA3CBA"/>
    <w:rsid w:val="00DD12D6"/>
    <w:rsid w:val="00DE2397"/>
    <w:rsid w:val="00DE3A25"/>
    <w:rsid w:val="00E05508"/>
    <w:rsid w:val="00E1171D"/>
    <w:rsid w:val="00E120D8"/>
    <w:rsid w:val="00E15970"/>
    <w:rsid w:val="00E32101"/>
    <w:rsid w:val="00E338B1"/>
    <w:rsid w:val="00E45CC6"/>
    <w:rsid w:val="00E600E5"/>
    <w:rsid w:val="00E62AB2"/>
    <w:rsid w:val="00E759AB"/>
    <w:rsid w:val="00E8454B"/>
    <w:rsid w:val="00E915EA"/>
    <w:rsid w:val="00E92EF1"/>
    <w:rsid w:val="00EB247C"/>
    <w:rsid w:val="00EB2989"/>
    <w:rsid w:val="00EB35AF"/>
    <w:rsid w:val="00EC3142"/>
    <w:rsid w:val="00EE2E96"/>
    <w:rsid w:val="00EE5621"/>
    <w:rsid w:val="00EF4A9C"/>
    <w:rsid w:val="00F06FBF"/>
    <w:rsid w:val="00F12111"/>
    <w:rsid w:val="00F13C13"/>
    <w:rsid w:val="00F13EC4"/>
    <w:rsid w:val="00F4638B"/>
    <w:rsid w:val="00F65377"/>
    <w:rsid w:val="00F67CE0"/>
    <w:rsid w:val="00F9398E"/>
    <w:rsid w:val="00FA0394"/>
    <w:rsid w:val="00FA2262"/>
    <w:rsid w:val="00FB4D4E"/>
    <w:rsid w:val="00FB7D34"/>
    <w:rsid w:val="00FE0DD8"/>
    <w:rsid w:val="00FE47A5"/>
    <w:rsid w:val="00FE53B4"/>
    <w:rsid w:val="00FE57CE"/>
    <w:rsid w:val="00FE63AB"/>
    <w:rsid w:val="00FF0648"/>
    <w:rsid w:val="00FF0DC4"/>
    <w:rsid w:val="00FF5DBD"/>
    <w:rsid w:val="00FF7291"/>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05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Gothic" w:hAnsi="Times New Roman" w:cs="Times New Roman"/>
        <w:color w:val="000000"/>
        <w:sz w:val="24"/>
        <w:szCs w:val="24"/>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04"/>
    <w:pPr>
      <w:tabs>
        <w:tab w:val="center" w:pos="4252"/>
        <w:tab w:val="right" w:pos="8504"/>
      </w:tabs>
      <w:snapToGrid w:val="0"/>
    </w:pPr>
  </w:style>
  <w:style w:type="character" w:customStyle="1" w:styleId="HeaderChar">
    <w:name w:val="Header Char"/>
    <w:basedOn w:val="DefaultParagraphFont"/>
    <w:link w:val="Header"/>
    <w:uiPriority w:val="99"/>
    <w:rsid w:val="00310504"/>
  </w:style>
  <w:style w:type="paragraph" w:styleId="Footer">
    <w:name w:val="footer"/>
    <w:basedOn w:val="Normal"/>
    <w:link w:val="FooterChar"/>
    <w:uiPriority w:val="99"/>
    <w:unhideWhenUsed/>
    <w:rsid w:val="00310504"/>
    <w:pPr>
      <w:tabs>
        <w:tab w:val="center" w:pos="4252"/>
        <w:tab w:val="right" w:pos="8504"/>
      </w:tabs>
      <w:snapToGrid w:val="0"/>
    </w:pPr>
  </w:style>
  <w:style w:type="character" w:customStyle="1" w:styleId="FooterChar">
    <w:name w:val="Footer Char"/>
    <w:basedOn w:val="DefaultParagraphFont"/>
    <w:link w:val="Footer"/>
    <w:uiPriority w:val="99"/>
    <w:rsid w:val="00310504"/>
  </w:style>
  <w:style w:type="paragraph" w:styleId="BalloonText">
    <w:name w:val="Balloon Text"/>
    <w:basedOn w:val="Normal"/>
    <w:link w:val="BalloonTextChar"/>
    <w:uiPriority w:val="99"/>
    <w:semiHidden/>
    <w:unhideWhenUsed/>
    <w:rsid w:val="007837D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837DC"/>
    <w:rPr>
      <w:rFonts w:asciiTheme="majorHAnsi" w:eastAsiaTheme="majorEastAsia" w:hAnsiTheme="majorHAnsi" w:cstheme="majorBidi"/>
      <w:sz w:val="18"/>
      <w:szCs w:val="18"/>
    </w:rPr>
  </w:style>
  <w:style w:type="table" w:styleId="TableGrid">
    <w:name w:val="Table Grid"/>
    <w:basedOn w:val="TableNormal"/>
    <w:uiPriority w:val="39"/>
    <w:rsid w:val="0068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C58"/>
    <w:rPr>
      <w:sz w:val="16"/>
      <w:szCs w:val="16"/>
    </w:rPr>
  </w:style>
  <w:style w:type="paragraph" w:styleId="CommentText">
    <w:name w:val="annotation text"/>
    <w:basedOn w:val="Normal"/>
    <w:link w:val="CommentTextChar"/>
    <w:uiPriority w:val="99"/>
    <w:semiHidden/>
    <w:unhideWhenUsed/>
    <w:rsid w:val="00CF1C58"/>
    <w:rPr>
      <w:sz w:val="20"/>
      <w:szCs w:val="20"/>
    </w:rPr>
  </w:style>
  <w:style w:type="character" w:customStyle="1" w:styleId="CommentTextChar">
    <w:name w:val="Comment Text Char"/>
    <w:basedOn w:val="DefaultParagraphFont"/>
    <w:link w:val="CommentText"/>
    <w:uiPriority w:val="99"/>
    <w:semiHidden/>
    <w:rsid w:val="00CF1C58"/>
    <w:rPr>
      <w:sz w:val="20"/>
      <w:szCs w:val="20"/>
    </w:rPr>
  </w:style>
  <w:style w:type="paragraph" w:styleId="CommentSubject">
    <w:name w:val="annotation subject"/>
    <w:basedOn w:val="CommentText"/>
    <w:next w:val="CommentText"/>
    <w:link w:val="CommentSubjectChar"/>
    <w:uiPriority w:val="99"/>
    <w:semiHidden/>
    <w:unhideWhenUsed/>
    <w:rsid w:val="00CF1C58"/>
    <w:rPr>
      <w:b/>
      <w:bCs/>
    </w:rPr>
  </w:style>
  <w:style w:type="character" w:customStyle="1" w:styleId="CommentSubjectChar">
    <w:name w:val="Comment Subject Char"/>
    <w:basedOn w:val="CommentTextChar"/>
    <w:link w:val="CommentSubject"/>
    <w:uiPriority w:val="99"/>
    <w:semiHidden/>
    <w:rsid w:val="00CF1C58"/>
    <w:rPr>
      <w:b/>
      <w:bCs/>
      <w:sz w:val="20"/>
      <w:szCs w:val="20"/>
    </w:rPr>
  </w:style>
  <w:style w:type="paragraph" w:styleId="ListParagraph">
    <w:name w:val="List Paragraph"/>
    <w:basedOn w:val="Normal"/>
    <w:uiPriority w:val="34"/>
    <w:qFormat/>
    <w:rsid w:val="002813AE"/>
    <w:pPr>
      <w:ind w:left="720"/>
      <w:contextualSpacing/>
    </w:pPr>
  </w:style>
  <w:style w:type="character" w:customStyle="1" w:styleId="Bodytext2">
    <w:name w:val="Body text (2)_"/>
    <w:link w:val="Bodytext21"/>
    <w:rsid w:val="00E600E5"/>
    <w:rPr>
      <w:sz w:val="20"/>
      <w:szCs w:val="20"/>
      <w:shd w:val="clear" w:color="auto" w:fill="FFFFFF"/>
    </w:rPr>
  </w:style>
  <w:style w:type="paragraph" w:customStyle="1" w:styleId="Bodytext21">
    <w:name w:val="Body text (2)1"/>
    <w:basedOn w:val="Normal"/>
    <w:link w:val="Bodytext2"/>
    <w:rsid w:val="00E600E5"/>
    <w:pPr>
      <w:shd w:val="clear" w:color="auto" w:fill="FFFFFF"/>
      <w:spacing w:before="480" w:line="456" w:lineRule="exact"/>
      <w:ind w:hanging="720"/>
      <w:jc w:val="center"/>
    </w:pPr>
    <w:rPr>
      <w:sz w:val="20"/>
      <w:szCs w:val="20"/>
    </w:rPr>
  </w:style>
  <w:style w:type="character" w:customStyle="1" w:styleId="Hyperlink0">
    <w:name w:val="Hyperlink.0"/>
    <w:basedOn w:val="DefaultParagraphFont"/>
    <w:rsid w:val="00E600E5"/>
    <w:rPr>
      <w:color w:val="000000"/>
      <w:u w:color="000000"/>
      <w:lang w:val="fr-FR"/>
    </w:rPr>
  </w:style>
  <w:style w:type="character" w:customStyle="1" w:styleId="None">
    <w:name w:val="None"/>
    <w:rsid w:val="006C3DAD"/>
  </w:style>
  <w:style w:type="paragraph" w:styleId="Revision">
    <w:name w:val="Revision"/>
    <w:hidden/>
    <w:uiPriority w:val="99"/>
    <w:semiHidden/>
    <w:rsid w:val="008D1588"/>
  </w:style>
  <w:style w:type="character" w:styleId="Hyperlink">
    <w:name w:val="Hyperlink"/>
    <w:basedOn w:val="DefaultParagraphFont"/>
    <w:uiPriority w:val="99"/>
    <w:unhideWhenUsed/>
    <w:rsid w:val="00C10ED5"/>
    <w:rPr>
      <w:color w:val="0563C1" w:themeColor="hyperlink"/>
      <w:u w:val="single"/>
    </w:rPr>
  </w:style>
  <w:style w:type="character" w:styleId="UnresolvedMention">
    <w:name w:val="Unresolved Mention"/>
    <w:basedOn w:val="DefaultParagraphFont"/>
    <w:uiPriority w:val="99"/>
    <w:semiHidden/>
    <w:unhideWhenUsed/>
    <w:rsid w:val="00C10ED5"/>
    <w:rPr>
      <w:color w:val="605E5C"/>
      <w:shd w:val="clear" w:color="auto" w:fill="E1DFDD"/>
    </w:rPr>
  </w:style>
  <w:style w:type="character" w:styleId="FollowedHyperlink">
    <w:name w:val="FollowedHyperlink"/>
    <w:basedOn w:val="DefaultParagraphFont"/>
    <w:uiPriority w:val="99"/>
    <w:semiHidden/>
    <w:unhideWhenUsed/>
    <w:rsid w:val="00C10ED5"/>
    <w:rPr>
      <w:color w:val="954F72" w:themeColor="followedHyperlink"/>
      <w:u w:val="single"/>
    </w:rPr>
  </w:style>
  <w:style w:type="paragraph" w:styleId="FootnoteText">
    <w:name w:val="footnote text"/>
    <w:basedOn w:val="Normal"/>
    <w:link w:val="FootnoteTextChar"/>
    <w:uiPriority w:val="99"/>
    <w:semiHidden/>
    <w:unhideWhenUsed/>
    <w:rsid w:val="00C42927"/>
    <w:rPr>
      <w:sz w:val="20"/>
      <w:szCs w:val="20"/>
    </w:rPr>
  </w:style>
  <w:style w:type="character" w:customStyle="1" w:styleId="FootnoteTextChar">
    <w:name w:val="Footnote Text Char"/>
    <w:basedOn w:val="DefaultParagraphFont"/>
    <w:link w:val="FootnoteText"/>
    <w:uiPriority w:val="99"/>
    <w:semiHidden/>
    <w:rsid w:val="00C42927"/>
    <w:rPr>
      <w:sz w:val="20"/>
      <w:szCs w:val="20"/>
    </w:rPr>
  </w:style>
  <w:style w:type="character" w:styleId="FootnoteReference">
    <w:name w:val="footnote reference"/>
    <w:basedOn w:val="DefaultParagraphFont"/>
    <w:uiPriority w:val="99"/>
    <w:semiHidden/>
    <w:unhideWhenUsed/>
    <w:rsid w:val="00C42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40487">
      <w:bodyDiv w:val="1"/>
      <w:marLeft w:val="0"/>
      <w:marRight w:val="0"/>
      <w:marTop w:val="0"/>
      <w:marBottom w:val="0"/>
      <w:divBdr>
        <w:top w:val="none" w:sz="0" w:space="0" w:color="auto"/>
        <w:left w:val="none" w:sz="0" w:space="0" w:color="auto"/>
        <w:bottom w:val="none" w:sz="0" w:space="0" w:color="auto"/>
        <w:right w:val="none" w:sz="0" w:space="0" w:color="auto"/>
      </w:divBdr>
    </w:div>
    <w:div w:id="590746738">
      <w:bodyDiv w:val="1"/>
      <w:marLeft w:val="0"/>
      <w:marRight w:val="0"/>
      <w:marTop w:val="0"/>
      <w:marBottom w:val="0"/>
      <w:divBdr>
        <w:top w:val="none" w:sz="0" w:space="0" w:color="auto"/>
        <w:left w:val="none" w:sz="0" w:space="0" w:color="auto"/>
        <w:bottom w:val="none" w:sz="0" w:space="0" w:color="auto"/>
        <w:right w:val="none" w:sz="0" w:space="0" w:color="auto"/>
      </w:divBdr>
    </w:div>
    <w:div w:id="953902405">
      <w:bodyDiv w:val="1"/>
      <w:marLeft w:val="0"/>
      <w:marRight w:val="0"/>
      <w:marTop w:val="0"/>
      <w:marBottom w:val="0"/>
      <w:divBdr>
        <w:top w:val="none" w:sz="0" w:space="0" w:color="auto"/>
        <w:left w:val="none" w:sz="0" w:space="0" w:color="auto"/>
        <w:bottom w:val="none" w:sz="0" w:space="0" w:color="auto"/>
        <w:right w:val="none" w:sz="0" w:space="0" w:color="auto"/>
      </w:divBdr>
    </w:div>
    <w:div w:id="1013339145">
      <w:bodyDiv w:val="1"/>
      <w:marLeft w:val="0"/>
      <w:marRight w:val="0"/>
      <w:marTop w:val="0"/>
      <w:marBottom w:val="0"/>
      <w:divBdr>
        <w:top w:val="none" w:sz="0" w:space="0" w:color="auto"/>
        <w:left w:val="none" w:sz="0" w:space="0" w:color="auto"/>
        <w:bottom w:val="none" w:sz="0" w:space="0" w:color="auto"/>
        <w:right w:val="none" w:sz="0" w:space="0" w:color="auto"/>
      </w:divBdr>
    </w:div>
    <w:div w:id="1409495634">
      <w:bodyDiv w:val="1"/>
      <w:marLeft w:val="0"/>
      <w:marRight w:val="0"/>
      <w:marTop w:val="0"/>
      <w:marBottom w:val="0"/>
      <w:divBdr>
        <w:top w:val="none" w:sz="0" w:space="0" w:color="auto"/>
        <w:left w:val="none" w:sz="0" w:space="0" w:color="auto"/>
        <w:bottom w:val="none" w:sz="0" w:space="0" w:color="auto"/>
        <w:right w:val="none" w:sz="0" w:space="0" w:color="auto"/>
      </w:divBdr>
    </w:div>
    <w:div w:id="1522473199">
      <w:bodyDiv w:val="1"/>
      <w:marLeft w:val="0"/>
      <w:marRight w:val="0"/>
      <w:marTop w:val="0"/>
      <w:marBottom w:val="0"/>
      <w:divBdr>
        <w:top w:val="none" w:sz="0" w:space="0" w:color="auto"/>
        <w:left w:val="none" w:sz="0" w:space="0" w:color="auto"/>
        <w:bottom w:val="none" w:sz="0" w:space="0" w:color="auto"/>
        <w:right w:val="none" w:sz="0" w:space="0" w:color="auto"/>
      </w:divBdr>
    </w:div>
    <w:div w:id="1778405967">
      <w:bodyDiv w:val="1"/>
      <w:marLeft w:val="0"/>
      <w:marRight w:val="0"/>
      <w:marTop w:val="0"/>
      <w:marBottom w:val="0"/>
      <w:divBdr>
        <w:top w:val="none" w:sz="0" w:space="0" w:color="auto"/>
        <w:left w:val="none" w:sz="0" w:space="0" w:color="auto"/>
        <w:bottom w:val="none" w:sz="0" w:space="0" w:color="auto"/>
        <w:right w:val="none" w:sz="0" w:space="0" w:color="auto"/>
      </w:divBdr>
    </w:div>
    <w:div w:id="2088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at.int/Documents/Recs/compendiopdf-f/2022-08-f.pd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cat.int/Documents/Recs/compendiopdf-f/2022-08-f.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cat.int/Documents/Recs/compendiopdf-f/2022-08-f.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ccat.int/Documents/Recs/compendiopdf-f/2023-06-f.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ccat.int/Documents/Recs/compendiopdf-f/2023-06-f.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ccat.int/Documents/Recs/compendiopdf-f/2022-08-f.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3F7BC-7A7F-4436-82D4-92F1C013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6395</Characters>
  <Application>Microsoft Office Word</Application>
  <DocSecurity>0</DocSecurity>
  <Lines>639</Lines>
  <Paragraphs>355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2023-01-09T10:15:00Z</dcterms:created>
  <dcterms:modified xsi:type="dcterms:W3CDTF">2024-01-30T11:36:00Z</dcterms:modified>
</cp:coreProperties>
</file>