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940" w:rsidRPr="00AC5940" w:rsidRDefault="00AC5940" w:rsidP="00AC5940">
      <w:pPr>
        <w:spacing w:line="240" w:lineRule="auto"/>
        <w:contextualSpacing/>
        <w:jc w:val="right"/>
        <w:rPr>
          <w:rFonts w:ascii="Cambria" w:hAnsi="Cambria" w:cs="Times New Roman"/>
          <w:b/>
          <w:sz w:val="20"/>
          <w:szCs w:val="20"/>
          <w:lang w:val="en-US"/>
        </w:rPr>
      </w:pPr>
      <w:r w:rsidRPr="00AC5940">
        <w:rPr>
          <w:rFonts w:ascii="Cambria" w:hAnsi="Cambria" w:cs="Times New Roman"/>
          <w:b/>
          <w:sz w:val="20"/>
          <w:szCs w:val="20"/>
          <w:lang w:val="en-US"/>
        </w:rPr>
        <w:t>Original: English/French/Spanish</w:t>
      </w:r>
    </w:p>
    <w:p w:rsidR="00AC5940" w:rsidRPr="00AC5940" w:rsidRDefault="00AC5940" w:rsidP="00246CA2">
      <w:pPr>
        <w:spacing w:line="240" w:lineRule="auto"/>
        <w:contextualSpacing/>
        <w:jc w:val="center"/>
        <w:rPr>
          <w:rFonts w:ascii="Cambria" w:hAnsi="Cambria" w:cs="Times New Roman"/>
          <w:b/>
          <w:sz w:val="20"/>
          <w:szCs w:val="20"/>
          <w:lang w:val="en-US"/>
        </w:rPr>
      </w:pPr>
    </w:p>
    <w:p w:rsidR="001910E3" w:rsidRDefault="001910E3" w:rsidP="00246CA2">
      <w:pPr>
        <w:spacing w:line="240" w:lineRule="auto"/>
        <w:contextualSpacing/>
        <w:jc w:val="center"/>
        <w:rPr>
          <w:rFonts w:ascii="Cambria" w:hAnsi="Cambria" w:cs="Times New Roman"/>
          <w:b/>
          <w:sz w:val="20"/>
          <w:szCs w:val="20"/>
          <w:lang w:val="en-US"/>
        </w:rPr>
      </w:pPr>
    </w:p>
    <w:p w:rsidR="001939E3" w:rsidRPr="00AC5940" w:rsidRDefault="001A7D39" w:rsidP="00246CA2">
      <w:pPr>
        <w:spacing w:line="240" w:lineRule="auto"/>
        <w:contextualSpacing/>
        <w:jc w:val="center"/>
        <w:rPr>
          <w:rFonts w:ascii="Cambria" w:hAnsi="Cambria" w:cs="Times New Roman"/>
          <w:b/>
          <w:sz w:val="20"/>
          <w:szCs w:val="20"/>
          <w:lang w:val="en-US"/>
        </w:rPr>
      </w:pPr>
      <w:r w:rsidRPr="00AC5940">
        <w:rPr>
          <w:rFonts w:ascii="Cambria" w:hAnsi="Cambria" w:cs="Times New Roman"/>
          <w:b/>
          <w:sz w:val="20"/>
          <w:szCs w:val="20"/>
          <w:lang w:val="en-US"/>
        </w:rPr>
        <w:t>Addendum to COC-307/17</w:t>
      </w:r>
    </w:p>
    <w:p w:rsidR="001A7D39" w:rsidRPr="00AC5940" w:rsidRDefault="001A7D39" w:rsidP="00246CA2">
      <w:pPr>
        <w:spacing w:line="240" w:lineRule="auto"/>
        <w:contextualSpacing/>
        <w:jc w:val="center"/>
        <w:rPr>
          <w:rFonts w:ascii="Cambria" w:hAnsi="Cambria" w:cs="Times New Roman"/>
          <w:b/>
          <w:sz w:val="20"/>
          <w:szCs w:val="20"/>
          <w:lang w:val="en-US"/>
        </w:rPr>
      </w:pPr>
      <w:r w:rsidRPr="00AC5940">
        <w:rPr>
          <w:rFonts w:ascii="Cambria" w:hAnsi="Cambria" w:cs="Times New Roman"/>
          <w:b/>
          <w:sz w:val="20"/>
          <w:szCs w:val="20"/>
          <w:lang w:val="en-US"/>
        </w:rPr>
        <w:t>Rec. 08-09</w:t>
      </w:r>
    </w:p>
    <w:p w:rsidR="00246CA2" w:rsidRPr="00AC5940" w:rsidRDefault="00246CA2" w:rsidP="00246CA2">
      <w:pPr>
        <w:spacing w:line="240" w:lineRule="auto"/>
        <w:contextualSpacing/>
        <w:jc w:val="both"/>
        <w:rPr>
          <w:rFonts w:ascii="Cambria" w:hAnsi="Cambria" w:cs="Times New Roman"/>
          <w:b/>
          <w:sz w:val="20"/>
          <w:szCs w:val="20"/>
          <w:lang w:val="en-GB"/>
        </w:rPr>
      </w:pPr>
    </w:p>
    <w:p w:rsidR="00E6146F" w:rsidRPr="00AC5940" w:rsidRDefault="00477DD3" w:rsidP="00246CA2">
      <w:pPr>
        <w:jc w:val="both"/>
        <w:rPr>
          <w:rFonts w:ascii="Cambria" w:hAnsi="Cambria" w:cs="Times New Roman"/>
          <w:sz w:val="20"/>
          <w:szCs w:val="20"/>
          <w:lang w:val="en-US"/>
        </w:rPr>
      </w:pPr>
      <w:r w:rsidRPr="00AC5940">
        <w:rPr>
          <w:rFonts w:ascii="Cambria" w:hAnsi="Cambria" w:cs="Times New Roman"/>
          <w:sz w:val="20"/>
          <w:szCs w:val="20"/>
          <w:lang w:val="en-US"/>
        </w:rPr>
        <w:t xml:space="preserve">This </w:t>
      </w:r>
      <w:r w:rsidR="00B13897" w:rsidRPr="00AC5940">
        <w:rPr>
          <w:rFonts w:ascii="Cambria" w:hAnsi="Cambria" w:cs="Times New Roman"/>
          <w:sz w:val="20"/>
          <w:szCs w:val="20"/>
          <w:lang w:val="en-US"/>
        </w:rPr>
        <w:t>addendum contains</w:t>
      </w:r>
      <w:r w:rsidR="00E6146F" w:rsidRPr="00AC5940">
        <w:rPr>
          <w:rFonts w:ascii="Cambria" w:hAnsi="Cambria" w:cs="Times New Roman"/>
          <w:sz w:val="20"/>
          <w:szCs w:val="20"/>
          <w:lang w:val="en-US"/>
        </w:rPr>
        <w:t>:</w:t>
      </w:r>
    </w:p>
    <w:p w:rsidR="002C472C" w:rsidRDefault="002C472C" w:rsidP="002C472C">
      <w:pPr>
        <w:pStyle w:val="ListParagraph"/>
        <w:numPr>
          <w:ilvl w:val="0"/>
          <w:numId w:val="12"/>
        </w:numPr>
        <w:jc w:val="both"/>
        <w:rPr>
          <w:rFonts w:ascii="Cambria" w:hAnsi="Cambria" w:cs="Times New Roman"/>
          <w:sz w:val="20"/>
          <w:szCs w:val="20"/>
          <w:lang w:val="en-US"/>
        </w:rPr>
      </w:pPr>
      <w:r w:rsidRPr="00AC5940">
        <w:rPr>
          <w:rFonts w:ascii="Cambria" w:hAnsi="Cambria" w:cs="Times New Roman"/>
          <w:sz w:val="20"/>
          <w:szCs w:val="20"/>
          <w:lang w:val="en-US"/>
        </w:rPr>
        <w:t>A reply from Tunis</w:t>
      </w:r>
      <w:r w:rsidR="00514FCA" w:rsidRPr="00AC5940">
        <w:rPr>
          <w:rFonts w:ascii="Cambria" w:hAnsi="Cambria" w:cs="Times New Roman"/>
          <w:sz w:val="20"/>
          <w:szCs w:val="20"/>
          <w:lang w:val="en-US"/>
        </w:rPr>
        <w:t>ia</w:t>
      </w:r>
      <w:r w:rsidRPr="00AC5940">
        <w:rPr>
          <w:rFonts w:ascii="Cambria" w:hAnsi="Cambria" w:cs="Times New Roman"/>
          <w:sz w:val="20"/>
          <w:szCs w:val="20"/>
          <w:lang w:val="en-US"/>
        </w:rPr>
        <w:t xml:space="preserve"> to the EU additional allegations reported in August 2017 concerning Tunisian vessels.</w:t>
      </w:r>
    </w:p>
    <w:p w:rsidR="00AC5940" w:rsidRPr="00AC5940" w:rsidRDefault="00AC5940" w:rsidP="00AC5940">
      <w:pPr>
        <w:pStyle w:val="ListParagraph"/>
        <w:jc w:val="both"/>
        <w:rPr>
          <w:rFonts w:ascii="Cambria" w:hAnsi="Cambria" w:cs="Times New Roman"/>
          <w:sz w:val="20"/>
          <w:szCs w:val="20"/>
          <w:lang w:val="en-US"/>
        </w:rPr>
      </w:pPr>
    </w:p>
    <w:p w:rsidR="006C4977" w:rsidRPr="006C4977" w:rsidRDefault="002C472C" w:rsidP="002C472C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Times New Roman"/>
          <w:sz w:val="20"/>
          <w:szCs w:val="20"/>
          <w:lang w:val="en-US"/>
        </w:rPr>
      </w:pPr>
      <w:r w:rsidRPr="00AC5940">
        <w:rPr>
          <w:rFonts w:ascii="Cambria" w:hAnsi="Cambria" w:cs="Times New Roman"/>
          <w:sz w:val="20"/>
          <w:szCs w:val="20"/>
          <w:lang w:val="en-US"/>
        </w:rPr>
        <w:t xml:space="preserve">Another </w:t>
      </w:r>
      <w:r w:rsidR="001A7D39" w:rsidRPr="00AC5940">
        <w:rPr>
          <w:rFonts w:ascii="Cambria" w:hAnsi="Cambria" w:cs="Times New Roman"/>
          <w:sz w:val="20"/>
          <w:szCs w:val="20"/>
          <w:lang w:val="en-US"/>
        </w:rPr>
        <w:t xml:space="preserve">potential non-compliance presented by the European Union on 23 October 2017 </w:t>
      </w:r>
      <w:r w:rsidR="001A7D39" w:rsidRPr="006C4977">
        <w:rPr>
          <w:rFonts w:asciiTheme="majorHAnsi" w:hAnsiTheme="majorHAnsi" w:cs="Times New Roman"/>
          <w:sz w:val="20"/>
          <w:szCs w:val="20"/>
          <w:lang w:val="en-US"/>
        </w:rPr>
        <w:t>concerning a Tunisian vessel</w:t>
      </w:r>
      <w:r w:rsidRPr="006C4977">
        <w:rPr>
          <w:rFonts w:asciiTheme="majorHAnsi" w:hAnsiTheme="majorHAnsi" w:cs="Times New Roman"/>
          <w:sz w:val="20"/>
          <w:szCs w:val="20"/>
          <w:lang w:val="en-US"/>
        </w:rPr>
        <w:t xml:space="preserve"> and the </w:t>
      </w:r>
      <w:r w:rsidR="00507DC7" w:rsidRPr="006C4977">
        <w:rPr>
          <w:rFonts w:asciiTheme="majorHAnsi" w:hAnsiTheme="majorHAnsi" w:cs="Times New Roman"/>
          <w:sz w:val="20"/>
          <w:szCs w:val="20"/>
          <w:lang w:val="en-US"/>
        </w:rPr>
        <w:t>reply by Tunisia on 7 November 2017</w:t>
      </w:r>
      <w:r w:rsidR="001A7D39" w:rsidRPr="006C4977">
        <w:rPr>
          <w:rFonts w:asciiTheme="majorHAnsi" w:hAnsiTheme="majorHAnsi" w:cs="Times New Roman"/>
          <w:sz w:val="20"/>
          <w:szCs w:val="20"/>
          <w:lang w:val="en-US"/>
        </w:rPr>
        <w:t>.</w:t>
      </w:r>
    </w:p>
    <w:p w:rsidR="006C4977" w:rsidRPr="00F41605" w:rsidRDefault="006C4977" w:rsidP="006C4977">
      <w:pPr>
        <w:rPr>
          <w:rFonts w:asciiTheme="majorHAnsi" w:hAnsiTheme="majorHAnsi"/>
          <w:sz w:val="20"/>
          <w:szCs w:val="20"/>
          <w:lang w:val="en-US"/>
        </w:rPr>
      </w:pPr>
    </w:p>
    <w:p w:rsidR="006C4977" w:rsidRPr="00F41605" w:rsidRDefault="006C4977" w:rsidP="006C4977">
      <w:pPr>
        <w:rPr>
          <w:rFonts w:asciiTheme="majorHAnsi" w:hAnsiTheme="majorHAnsi"/>
          <w:sz w:val="20"/>
          <w:szCs w:val="20"/>
          <w:lang w:val="fr-FR"/>
        </w:rPr>
      </w:pPr>
      <w:r w:rsidRPr="00F41605">
        <w:rPr>
          <w:rFonts w:asciiTheme="majorHAnsi" w:hAnsiTheme="majorHAnsi"/>
          <w:sz w:val="20"/>
          <w:szCs w:val="20"/>
          <w:lang w:val="fr-FR"/>
        </w:rPr>
        <w:t>Le présent addendum contient:</w:t>
      </w:r>
      <w:bookmarkStart w:id="0" w:name="_GoBack"/>
      <w:bookmarkEnd w:id="0"/>
    </w:p>
    <w:p w:rsidR="006C4977" w:rsidRPr="00F41605" w:rsidRDefault="00F41605" w:rsidP="002A5D0F">
      <w:pPr>
        <w:tabs>
          <w:tab w:val="left" w:pos="284"/>
        </w:tabs>
        <w:rPr>
          <w:rFonts w:asciiTheme="majorHAnsi" w:hAnsiTheme="majorHAnsi"/>
          <w:sz w:val="20"/>
          <w:szCs w:val="20"/>
          <w:lang w:val="fr-FR"/>
        </w:rPr>
      </w:pPr>
      <w:r>
        <w:rPr>
          <w:rFonts w:asciiTheme="majorHAnsi" w:hAnsiTheme="majorHAnsi"/>
          <w:sz w:val="20"/>
          <w:szCs w:val="20"/>
          <w:lang w:val="fr-FR"/>
        </w:rPr>
        <w:tab/>
      </w:r>
      <w:r w:rsidR="006C4977" w:rsidRPr="00F41605">
        <w:rPr>
          <w:rFonts w:asciiTheme="majorHAnsi" w:hAnsiTheme="majorHAnsi"/>
          <w:sz w:val="20"/>
          <w:szCs w:val="20"/>
          <w:lang w:val="fr-FR"/>
        </w:rPr>
        <w:t>I.</w:t>
      </w:r>
      <w:r>
        <w:rPr>
          <w:rFonts w:asciiTheme="majorHAnsi" w:hAnsiTheme="majorHAnsi"/>
          <w:sz w:val="20"/>
          <w:szCs w:val="20"/>
          <w:lang w:val="fr-FR"/>
        </w:rPr>
        <w:tab/>
      </w:r>
      <w:r w:rsidR="006C4977" w:rsidRPr="00F41605">
        <w:rPr>
          <w:rFonts w:asciiTheme="majorHAnsi" w:eastAsia="Times New Roman" w:hAnsiTheme="majorHAnsi"/>
          <w:sz w:val="20"/>
          <w:szCs w:val="20"/>
          <w:lang w:val="fr-FR"/>
        </w:rPr>
        <w:t xml:space="preserve">Une réponse de la Tunisie à l’Union européenne relative aux allégations supplémentaires </w:t>
      </w:r>
      <w:r>
        <w:rPr>
          <w:rFonts w:asciiTheme="majorHAnsi" w:eastAsia="Times New Roman" w:hAnsiTheme="majorHAnsi"/>
          <w:sz w:val="20"/>
          <w:szCs w:val="20"/>
          <w:lang w:val="fr-FR"/>
        </w:rPr>
        <w:tab/>
      </w:r>
      <w:r>
        <w:rPr>
          <w:rFonts w:asciiTheme="majorHAnsi" w:eastAsia="Times New Roman" w:hAnsiTheme="majorHAnsi"/>
          <w:sz w:val="20"/>
          <w:szCs w:val="20"/>
          <w:lang w:val="fr-FR"/>
        </w:rPr>
        <w:tab/>
      </w:r>
      <w:r>
        <w:rPr>
          <w:rFonts w:asciiTheme="majorHAnsi" w:eastAsia="Times New Roman" w:hAnsiTheme="majorHAnsi"/>
          <w:sz w:val="20"/>
          <w:szCs w:val="20"/>
          <w:lang w:val="fr-FR"/>
        </w:rPr>
        <w:tab/>
      </w:r>
      <w:r w:rsidR="006C4977" w:rsidRPr="00F41605">
        <w:rPr>
          <w:rFonts w:asciiTheme="majorHAnsi" w:eastAsia="Times New Roman" w:hAnsiTheme="majorHAnsi"/>
          <w:sz w:val="20"/>
          <w:szCs w:val="20"/>
          <w:lang w:val="fr-FR"/>
        </w:rPr>
        <w:t>déclarées en août 2017 concernant des navires tunisiens.</w:t>
      </w:r>
    </w:p>
    <w:p w:rsidR="006C4977" w:rsidRPr="00F41605" w:rsidRDefault="006C4977" w:rsidP="006C4977">
      <w:pPr>
        <w:tabs>
          <w:tab w:val="left" w:pos="284"/>
        </w:tabs>
        <w:jc w:val="both"/>
        <w:rPr>
          <w:rFonts w:asciiTheme="majorHAnsi" w:eastAsia="Times New Roman" w:hAnsiTheme="majorHAnsi"/>
          <w:sz w:val="20"/>
          <w:szCs w:val="20"/>
          <w:lang w:val="fr-FR"/>
        </w:rPr>
      </w:pPr>
      <w:r w:rsidRPr="00F41605">
        <w:rPr>
          <w:rFonts w:asciiTheme="majorHAnsi" w:eastAsia="Times New Roman" w:hAnsiTheme="majorHAnsi"/>
          <w:sz w:val="20"/>
          <w:szCs w:val="20"/>
          <w:lang w:val="fr-FR"/>
        </w:rPr>
        <w:tab/>
        <w:t>II.</w:t>
      </w:r>
      <w:r w:rsidRPr="00F41605">
        <w:rPr>
          <w:rFonts w:asciiTheme="majorHAnsi" w:eastAsia="Times New Roman" w:hAnsiTheme="majorHAnsi"/>
          <w:sz w:val="20"/>
          <w:szCs w:val="20"/>
          <w:lang w:val="fr-FR"/>
        </w:rPr>
        <w:tab/>
        <w:t>Un autre cas de non-application potentielle présenté par l’Union européenne le 23</w:t>
      </w:r>
      <w:r w:rsidR="00F41605">
        <w:rPr>
          <w:rFonts w:asciiTheme="majorHAnsi" w:eastAsia="Times New Roman" w:hAnsiTheme="majorHAnsi"/>
          <w:sz w:val="20"/>
          <w:szCs w:val="20"/>
          <w:lang w:val="fr-FR"/>
        </w:rPr>
        <w:t xml:space="preserve"> </w:t>
      </w:r>
      <w:r w:rsidRPr="00F41605">
        <w:rPr>
          <w:rFonts w:asciiTheme="majorHAnsi" w:eastAsia="Times New Roman" w:hAnsiTheme="majorHAnsi"/>
          <w:sz w:val="20"/>
          <w:szCs w:val="20"/>
          <w:lang w:val="fr-FR"/>
        </w:rPr>
        <w:t>octobre 2017</w:t>
      </w:r>
      <w:r w:rsidR="00F41605">
        <w:rPr>
          <w:rFonts w:asciiTheme="majorHAnsi" w:eastAsia="Times New Roman" w:hAnsiTheme="majorHAnsi"/>
          <w:sz w:val="20"/>
          <w:szCs w:val="20"/>
          <w:lang w:val="fr-FR"/>
        </w:rPr>
        <w:t xml:space="preserve"> </w:t>
      </w:r>
      <w:r w:rsidR="00F41605">
        <w:rPr>
          <w:rFonts w:asciiTheme="majorHAnsi" w:eastAsia="Times New Roman" w:hAnsiTheme="majorHAnsi"/>
          <w:sz w:val="20"/>
          <w:szCs w:val="20"/>
          <w:lang w:val="fr-FR"/>
        </w:rPr>
        <w:tab/>
      </w:r>
      <w:r w:rsidR="00F41605">
        <w:rPr>
          <w:rFonts w:asciiTheme="majorHAnsi" w:eastAsia="Times New Roman" w:hAnsiTheme="majorHAnsi"/>
          <w:sz w:val="20"/>
          <w:szCs w:val="20"/>
          <w:lang w:val="fr-FR"/>
        </w:rPr>
        <w:tab/>
      </w:r>
      <w:r w:rsidRPr="00F41605">
        <w:rPr>
          <w:rFonts w:asciiTheme="majorHAnsi" w:eastAsia="Times New Roman" w:hAnsiTheme="majorHAnsi"/>
          <w:sz w:val="20"/>
          <w:szCs w:val="20"/>
          <w:lang w:val="fr-FR"/>
        </w:rPr>
        <w:t>concernant un navire tunisien et la réponse de la Tunisie datée du 7 novembre 2017.</w:t>
      </w:r>
    </w:p>
    <w:p w:rsidR="001A7D39" w:rsidRPr="002A5D0F" w:rsidRDefault="001A7D39" w:rsidP="006C4977">
      <w:pPr>
        <w:rPr>
          <w:rFonts w:asciiTheme="majorHAnsi" w:hAnsiTheme="majorHAnsi"/>
          <w:lang w:val="fr-FR"/>
        </w:rPr>
      </w:pPr>
    </w:p>
    <w:p w:rsidR="002A5D0F" w:rsidRPr="002A5D0F" w:rsidRDefault="002A5D0F" w:rsidP="002A5D0F">
      <w:pPr>
        <w:spacing w:after="0" w:line="240" w:lineRule="auto"/>
        <w:rPr>
          <w:rFonts w:asciiTheme="majorHAnsi" w:eastAsia="Calibri" w:hAnsiTheme="majorHAnsi" w:cs="Calibri"/>
          <w:sz w:val="20"/>
          <w:szCs w:val="20"/>
          <w:lang w:eastAsia="en-GB"/>
        </w:rPr>
      </w:pPr>
      <w:r w:rsidRPr="002A5D0F">
        <w:rPr>
          <w:rFonts w:asciiTheme="majorHAnsi" w:eastAsia="Calibri" w:hAnsiTheme="majorHAnsi" w:cs="Calibri"/>
          <w:sz w:val="20"/>
          <w:szCs w:val="20"/>
          <w:lang w:val="fr-FR" w:eastAsia="en-GB"/>
        </w:rPr>
        <w:t xml:space="preserve">En </w:t>
      </w:r>
      <w:r w:rsidRPr="002A5D0F">
        <w:rPr>
          <w:rFonts w:asciiTheme="majorHAnsi" w:eastAsia="Calibri" w:hAnsiTheme="majorHAnsi" w:cs="Calibri"/>
          <w:sz w:val="20"/>
          <w:szCs w:val="20"/>
          <w:lang w:eastAsia="en-GB"/>
        </w:rPr>
        <w:t xml:space="preserve">este </w:t>
      </w:r>
      <w:proofErr w:type="spellStart"/>
      <w:r w:rsidRPr="002A5D0F">
        <w:rPr>
          <w:rFonts w:asciiTheme="majorHAnsi" w:eastAsia="Calibri" w:hAnsiTheme="majorHAnsi" w:cs="Calibri"/>
          <w:sz w:val="20"/>
          <w:szCs w:val="20"/>
          <w:lang w:eastAsia="en-GB"/>
        </w:rPr>
        <w:t>adendum</w:t>
      </w:r>
      <w:proofErr w:type="spellEnd"/>
      <w:r w:rsidRPr="002A5D0F">
        <w:rPr>
          <w:rFonts w:asciiTheme="majorHAnsi" w:eastAsia="Calibri" w:hAnsiTheme="majorHAnsi" w:cs="Calibri"/>
          <w:sz w:val="20"/>
          <w:szCs w:val="20"/>
          <w:lang w:eastAsia="en-GB"/>
        </w:rPr>
        <w:t xml:space="preserve"> se incluye :</w:t>
      </w:r>
    </w:p>
    <w:p w:rsidR="002A5D0F" w:rsidRPr="002A5D0F" w:rsidRDefault="002A5D0F" w:rsidP="002A5D0F">
      <w:pPr>
        <w:spacing w:after="0" w:line="240" w:lineRule="auto"/>
        <w:rPr>
          <w:rFonts w:asciiTheme="majorHAnsi" w:eastAsia="Calibri" w:hAnsiTheme="majorHAnsi" w:cs="Calibri"/>
          <w:sz w:val="20"/>
          <w:szCs w:val="20"/>
          <w:lang w:eastAsia="en-GB"/>
        </w:rPr>
      </w:pPr>
    </w:p>
    <w:p w:rsidR="002A5D0F" w:rsidRPr="002A5D0F" w:rsidRDefault="002A5D0F" w:rsidP="002A5D0F">
      <w:pPr>
        <w:spacing w:after="0" w:line="240" w:lineRule="auto"/>
        <w:rPr>
          <w:rFonts w:asciiTheme="majorHAnsi" w:eastAsia="Calibri" w:hAnsiTheme="majorHAnsi" w:cs="Calibri"/>
          <w:sz w:val="20"/>
          <w:szCs w:val="20"/>
          <w:lang w:eastAsia="en-GB"/>
        </w:rPr>
      </w:pPr>
    </w:p>
    <w:p w:rsidR="002A5D0F" w:rsidRPr="002A5D0F" w:rsidRDefault="002A5D0F" w:rsidP="002A5D0F">
      <w:pPr>
        <w:spacing w:after="0" w:line="240" w:lineRule="auto"/>
        <w:ind w:firstLine="284"/>
        <w:jc w:val="both"/>
        <w:rPr>
          <w:rFonts w:asciiTheme="majorHAnsi" w:eastAsia="Calibri" w:hAnsiTheme="majorHAnsi" w:cs="Calibri"/>
          <w:sz w:val="20"/>
          <w:szCs w:val="20"/>
          <w:lang w:eastAsia="en-GB"/>
        </w:rPr>
      </w:pPr>
      <w:r w:rsidRPr="002A5D0F">
        <w:rPr>
          <w:rFonts w:asciiTheme="majorHAnsi" w:eastAsia="Calibri" w:hAnsiTheme="majorHAnsi" w:cs="Calibri"/>
          <w:sz w:val="20"/>
          <w:szCs w:val="20"/>
          <w:lang w:eastAsia="en-GB"/>
        </w:rPr>
        <w:t>I.</w:t>
      </w:r>
      <w:r w:rsidRPr="002A5D0F">
        <w:rPr>
          <w:rFonts w:asciiTheme="majorHAnsi" w:eastAsia="Calibri" w:hAnsiTheme="majorHAnsi" w:cs="Calibri"/>
          <w:sz w:val="20"/>
          <w:szCs w:val="20"/>
          <w:lang w:eastAsia="en-GB"/>
        </w:rPr>
        <w:tab/>
      </w: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 xml:space="preserve">Una respuesta de Túnez a la Unión Europea con respecto a las alegaciones suplementarias </w:t>
      </w: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ab/>
      </w: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>presentadas en agosto de 2017 en relación con los buques tunecinos.</w:t>
      </w:r>
    </w:p>
    <w:p w:rsidR="002A5D0F" w:rsidRPr="002A5D0F" w:rsidRDefault="002A5D0F" w:rsidP="002A5D0F">
      <w:pPr>
        <w:spacing w:after="0" w:line="240" w:lineRule="auto"/>
        <w:jc w:val="both"/>
        <w:rPr>
          <w:rFonts w:asciiTheme="majorHAnsi" w:eastAsia="Calibri" w:hAnsiTheme="majorHAnsi" w:cs="Calibri"/>
          <w:sz w:val="20"/>
          <w:szCs w:val="20"/>
          <w:lang w:eastAsia="en-GB"/>
        </w:rPr>
      </w:pPr>
    </w:p>
    <w:p w:rsidR="002A5D0F" w:rsidRPr="002A5D0F" w:rsidRDefault="002A5D0F" w:rsidP="002A5D0F">
      <w:pPr>
        <w:spacing w:after="0" w:line="240" w:lineRule="auto"/>
        <w:ind w:firstLine="284"/>
        <w:jc w:val="both"/>
        <w:rPr>
          <w:rFonts w:asciiTheme="majorHAnsi" w:eastAsia="Times New Roman" w:hAnsiTheme="majorHAnsi" w:cs="Calibri"/>
          <w:sz w:val="20"/>
          <w:szCs w:val="20"/>
          <w:lang w:eastAsia="en-GB"/>
        </w:rPr>
      </w:pP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>II.</w:t>
      </w: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ab/>
      </w: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 xml:space="preserve">Otro caso de posible incumplimiento presentado por la Unión Europea el 23 de octubre de 2017 </w:t>
      </w:r>
      <w:r>
        <w:rPr>
          <w:rFonts w:asciiTheme="majorHAnsi" w:eastAsia="Times New Roman" w:hAnsiTheme="majorHAnsi" w:cs="Calibri"/>
          <w:sz w:val="20"/>
          <w:szCs w:val="20"/>
          <w:lang w:eastAsia="en-GB"/>
        </w:rPr>
        <w:tab/>
      </w: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>relacionado con un buque tunecino y la respuesta de Túnez de fecha 7 de noviembre de 2017</w:t>
      </w: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>.</w:t>
      </w:r>
    </w:p>
    <w:p w:rsidR="002A5D0F" w:rsidRPr="002A5D0F" w:rsidRDefault="002A5D0F" w:rsidP="002A5D0F">
      <w:pPr>
        <w:spacing w:after="0" w:line="240" w:lineRule="auto"/>
        <w:rPr>
          <w:rFonts w:ascii="Calibri" w:eastAsia="Calibri" w:hAnsi="Calibri" w:cs="Calibri"/>
          <w:lang w:val="fr-FR" w:eastAsia="en-GB"/>
        </w:rPr>
      </w:pPr>
    </w:p>
    <w:p w:rsidR="002A5D0F" w:rsidRPr="006C4977" w:rsidRDefault="002A5D0F" w:rsidP="006C4977">
      <w:pPr>
        <w:rPr>
          <w:lang w:val="fr-FR"/>
        </w:rPr>
      </w:pPr>
    </w:p>
    <w:sectPr w:rsidR="002A5D0F" w:rsidRPr="006C4977" w:rsidSect="00442284">
      <w:headerReference w:type="default" r:id="rId7"/>
      <w:pgSz w:w="11906" w:h="16838" w:code="9"/>
      <w:pgMar w:top="1418" w:right="1418" w:bottom="1418" w:left="1418" w:header="851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9E9" w:rsidRDefault="000D79E9" w:rsidP="00FC36BF">
      <w:pPr>
        <w:spacing w:after="0" w:line="240" w:lineRule="auto"/>
      </w:pPr>
      <w:r>
        <w:separator/>
      </w:r>
    </w:p>
  </w:endnote>
  <w:endnote w:type="continuationSeparator" w:id="0">
    <w:p w:rsidR="000D79E9" w:rsidRDefault="000D79E9" w:rsidP="00FC3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9E9" w:rsidRDefault="000D79E9" w:rsidP="00FC36BF">
      <w:pPr>
        <w:spacing w:after="0" w:line="240" w:lineRule="auto"/>
      </w:pPr>
      <w:r>
        <w:separator/>
      </w:r>
    </w:p>
  </w:footnote>
  <w:footnote w:type="continuationSeparator" w:id="0">
    <w:p w:rsidR="000D79E9" w:rsidRDefault="000D79E9" w:rsidP="00FC3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940" w:rsidRPr="00AC5940" w:rsidRDefault="00AC5940" w:rsidP="00AC5940">
    <w:pPr>
      <w:spacing w:after="0" w:line="240" w:lineRule="exact"/>
      <w:rPr>
        <w:rFonts w:ascii="Cambria" w:eastAsia="MS Mincho" w:hAnsi="Cambria" w:cs="Times New Roman"/>
        <w:b/>
        <w:bCs/>
        <w:sz w:val="28"/>
        <w:szCs w:val="24"/>
        <w:lang w:val="en-US" w:eastAsia="ja-JP"/>
      </w:rPr>
    </w:pP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>2017 COM</w: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ab/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ab/>
      <w:t xml:space="preserve">                   </w:t>
    </w:r>
    <w:r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 xml:space="preserve">                    </w:t>
    </w:r>
    <w:r w:rsidRPr="00AC5940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 xml:space="preserve">Doc. No. </w:t>
    </w:r>
    <w:r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COC</w:t>
    </w:r>
    <w:r w:rsidRPr="00AC5940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-</w:t>
    </w:r>
    <w:r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307_Addendum</w:t>
    </w:r>
    <w:r w:rsidRPr="00AC5940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 xml:space="preserve"> / 2017</w:t>
    </w:r>
  </w:p>
  <w:p w:rsidR="00AC5940" w:rsidRPr="00AC5940" w:rsidRDefault="00AC5940" w:rsidP="00AC5940">
    <w:pPr>
      <w:tabs>
        <w:tab w:val="left" w:pos="7320"/>
      </w:tabs>
      <w:spacing w:after="0" w:line="240" w:lineRule="exact"/>
      <w:rPr>
        <w:rFonts w:ascii="Cambria" w:eastAsia="MS Mincho" w:hAnsi="Cambria" w:cs="Times New Roman"/>
        <w:b/>
        <w:bCs/>
        <w:sz w:val="24"/>
        <w:szCs w:val="24"/>
        <w:lang w:val="en-US" w:eastAsia="ja-JP"/>
      </w:rPr>
    </w:pP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begin"/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instrText xml:space="preserve"> TIME  \@ "MMMM d, yyyy" </w:instrTex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separate"/>
    </w:r>
    <w:r w:rsidR="002A5D0F">
      <w:rPr>
        <w:rFonts w:ascii="Cambria" w:eastAsia="MS Mincho" w:hAnsi="Cambria" w:cs="Times New Roman"/>
        <w:b/>
        <w:bCs/>
        <w:noProof/>
        <w:sz w:val="24"/>
        <w:szCs w:val="24"/>
        <w:lang w:val="en-US" w:eastAsia="ja-JP"/>
      </w:rPr>
      <w:t>November 8, 2017</w: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end"/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 xml:space="preserve"> (</w: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begin"/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instrText xml:space="preserve"> DATE \@ "h:mm am/pm" </w:instrTex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separate"/>
    </w:r>
    <w:r w:rsidR="002A5D0F">
      <w:rPr>
        <w:rFonts w:ascii="Cambria" w:eastAsia="MS Mincho" w:hAnsi="Cambria" w:cs="Times New Roman"/>
        <w:b/>
        <w:bCs/>
        <w:noProof/>
        <w:sz w:val="24"/>
        <w:szCs w:val="24"/>
        <w:lang w:val="en-US" w:eastAsia="ja-JP"/>
      </w:rPr>
      <w:t>2:31 PM</w: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end"/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>)</w:t>
    </w:r>
  </w:p>
  <w:p w:rsidR="00AC5940" w:rsidRPr="00AC5940" w:rsidRDefault="00AC5940" w:rsidP="00AC5940">
    <w:pPr>
      <w:tabs>
        <w:tab w:val="left" w:pos="7320"/>
      </w:tabs>
      <w:spacing w:after="0" w:line="240" w:lineRule="exact"/>
      <w:jc w:val="right"/>
      <w:rPr>
        <w:rFonts w:ascii="Cambria" w:eastAsia="MS Mincho" w:hAnsi="Cambria" w:cs="Times New Roman"/>
        <w:sz w:val="24"/>
        <w:szCs w:val="24"/>
        <w:lang w:val="en-US"/>
      </w:rPr>
    </w:pPr>
    <w:r w:rsidRPr="00AC5940">
      <w:rPr>
        <w:rFonts w:ascii="Cambria" w:eastAsia="MS Mincho" w:hAnsi="Cambria" w:cs="Times New Roman"/>
        <w:b/>
        <w:noProof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EA14C0" wp14:editId="1C2AED08">
              <wp:simplePos x="0" y="0"/>
              <wp:positionH relativeFrom="column">
                <wp:posOffset>0</wp:posOffset>
              </wp:positionH>
              <wp:positionV relativeFrom="paragraph">
                <wp:posOffset>31115</wp:posOffset>
              </wp:positionV>
              <wp:extent cx="5715000" cy="0"/>
              <wp:effectExtent l="9525" t="12065" r="9525" b="6985"/>
              <wp:wrapNone/>
              <wp:docPr id="48" name="Straight Connector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00847D" id="Straight Connector 4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5pt" to="450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3n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4F86"/>
    <w:multiLevelType w:val="hybridMultilevel"/>
    <w:tmpl w:val="9A8C6542"/>
    <w:lvl w:ilvl="0" w:tplc="335CC8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03FBF"/>
    <w:multiLevelType w:val="hybridMultilevel"/>
    <w:tmpl w:val="28C0A59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6438F1"/>
    <w:multiLevelType w:val="hybridMultilevel"/>
    <w:tmpl w:val="7944A088"/>
    <w:lvl w:ilvl="0" w:tplc="248EBC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155B3"/>
    <w:multiLevelType w:val="hybridMultilevel"/>
    <w:tmpl w:val="1C96F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84604"/>
    <w:multiLevelType w:val="hybridMultilevel"/>
    <w:tmpl w:val="57D4FA1A"/>
    <w:lvl w:ilvl="0" w:tplc="7C88F886">
      <w:start w:val="1"/>
      <w:numFmt w:val="upperRoman"/>
      <w:lvlText w:val="%1."/>
      <w:lvlJc w:val="left"/>
      <w:pPr>
        <w:ind w:left="720" w:hanging="360"/>
      </w:pPr>
      <w:rPr>
        <w:rFonts w:asciiTheme="majorHAnsi" w:eastAsiaTheme="minorHAnsi" w:hAnsiTheme="majorHAnsi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35249"/>
    <w:multiLevelType w:val="hybridMultilevel"/>
    <w:tmpl w:val="DEE0BF92"/>
    <w:lvl w:ilvl="0" w:tplc="7450C5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E5B79"/>
    <w:multiLevelType w:val="hybridMultilevel"/>
    <w:tmpl w:val="078A84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D3701A"/>
    <w:multiLevelType w:val="hybridMultilevel"/>
    <w:tmpl w:val="8EBC5D7C"/>
    <w:lvl w:ilvl="0" w:tplc="D422D8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CB01C0"/>
    <w:multiLevelType w:val="hybridMultilevel"/>
    <w:tmpl w:val="EF2027B4"/>
    <w:lvl w:ilvl="0" w:tplc="DC2AE0C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071B9"/>
    <w:multiLevelType w:val="hybridMultilevel"/>
    <w:tmpl w:val="DE202522"/>
    <w:lvl w:ilvl="0" w:tplc="00D424CA">
      <w:start w:val="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E24AD"/>
    <w:multiLevelType w:val="hybridMultilevel"/>
    <w:tmpl w:val="A3382252"/>
    <w:lvl w:ilvl="0" w:tplc="0C0A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6018E"/>
    <w:multiLevelType w:val="hybridMultilevel"/>
    <w:tmpl w:val="D8B890A6"/>
    <w:lvl w:ilvl="0" w:tplc="6000676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0D602D"/>
    <w:multiLevelType w:val="hybridMultilevel"/>
    <w:tmpl w:val="80D04D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2"/>
  </w:num>
  <w:num w:numId="11">
    <w:abstractNumId w:val="5"/>
  </w:num>
  <w:num w:numId="12">
    <w:abstractNumId w:val="4"/>
  </w:num>
  <w:num w:numId="13">
    <w:abstractNumId w:val="11"/>
  </w:num>
  <w:num w:numId="14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364"/>
    <w:rsid w:val="00007802"/>
    <w:rsid w:val="0002266A"/>
    <w:rsid w:val="00027229"/>
    <w:rsid w:val="00083249"/>
    <w:rsid w:val="000A20FA"/>
    <w:rsid w:val="000B6497"/>
    <w:rsid w:val="000D79E9"/>
    <w:rsid w:val="001910E3"/>
    <w:rsid w:val="001939E3"/>
    <w:rsid w:val="001A7D39"/>
    <w:rsid w:val="001E4518"/>
    <w:rsid w:val="001F203E"/>
    <w:rsid w:val="00246CA2"/>
    <w:rsid w:val="002A5D0F"/>
    <w:rsid w:val="002C472C"/>
    <w:rsid w:val="002C5A5A"/>
    <w:rsid w:val="002C775E"/>
    <w:rsid w:val="002F3A29"/>
    <w:rsid w:val="00316C84"/>
    <w:rsid w:val="00355DD9"/>
    <w:rsid w:val="003808C1"/>
    <w:rsid w:val="00380B8F"/>
    <w:rsid w:val="003C453A"/>
    <w:rsid w:val="003E189B"/>
    <w:rsid w:val="003E50DE"/>
    <w:rsid w:val="00427F20"/>
    <w:rsid w:val="00442284"/>
    <w:rsid w:val="00477DD3"/>
    <w:rsid w:val="004F29E5"/>
    <w:rsid w:val="00507DC7"/>
    <w:rsid w:val="00514FCA"/>
    <w:rsid w:val="00566B29"/>
    <w:rsid w:val="005836FA"/>
    <w:rsid w:val="005A1759"/>
    <w:rsid w:val="005B5C7E"/>
    <w:rsid w:val="005D21C3"/>
    <w:rsid w:val="006C4977"/>
    <w:rsid w:val="006D0098"/>
    <w:rsid w:val="007E0BE9"/>
    <w:rsid w:val="007E6D57"/>
    <w:rsid w:val="0080088E"/>
    <w:rsid w:val="008331EE"/>
    <w:rsid w:val="008A2E9D"/>
    <w:rsid w:val="008C3157"/>
    <w:rsid w:val="008D1194"/>
    <w:rsid w:val="008D753D"/>
    <w:rsid w:val="008F7123"/>
    <w:rsid w:val="0099107A"/>
    <w:rsid w:val="009F0E62"/>
    <w:rsid w:val="00A32A13"/>
    <w:rsid w:val="00AC5940"/>
    <w:rsid w:val="00B05A7B"/>
    <w:rsid w:val="00B13897"/>
    <w:rsid w:val="00B40C99"/>
    <w:rsid w:val="00BA1294"/>
    <w:rsid w:val="00BC6B4B"/>
    <w:rsid w:val="00BE4B1D"/>
    <w:rsid w:val="00CF4AF4"/>
    <w:rsid w:val="00D556B6"/>
    <w:rsid w:val="00DF6EEB"/>
    <w:rsid w:val="00E03897"/>
    <w:rsid w:val="00E32270"/>
    <w:rsid w:val="00E368E7"/>
    <w:rsid w:val="00E47B3E"/>
    <w:rsid w:val="00E53B2A"/>
    <w:rsid w:val="00E6146F"/>
    <w:rsid w:val="00E70F7C"/>
    <w:rsid w:val="00EB619B"/>
    <w:rsid w:val="00ED0C1F"/>
    <w:rsid w:val="00ED3062"/>
    <w:rsid w:val="00EF2623"/>
    <w:rsid w:val="00F01E52"/>
    <w:rsid w:val="00F02A22"/>
    <w:rsid w:val="00F02BF1"/>
    <w:rsid w:val="00F27F97"/>
    <w:rsid w:val="00F41605"/>
    <w:rsid w:val="00F93DA5"/>
    <w:rsid w:val="00FA2364"/>
    <w:rsid w:val="00FA62B7"/>
    <w:rsid w:val="00FC0E59"/>
    <w:rsid w:val="00FC36BF"/>
    <w:rsid w:val="00FF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6382FC-7911-4162-A8BB-DD11F214D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62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262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C36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6BF"/>
  </w:style>
  <w:style w:type="paragraph" w:styleId="Footer">
    <w:name w:val="footer"/>
    <w:basedOn w:val="Normal"/>
    <w:link w:val="FooterChar"/>
    <w:uiPriority w:val="99"/>
    <w:unhideWhenUsed/>
    <w:rsid w:val="00FC36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6BF"/>
  </w:style>
  <w:style w:type="table" w:styleId="TableGrid">
    <w:name w:val="Table Grid"/>
    <w:basedOn w:val="TableNormal"/>
    <w:rsid w:val="00FC3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C36BF"/>
    <w:pPr>
      <w:spacing w:after="0" w:line="240" w:lineRule="auto"/>
    </w:pPr>
    <w:rPr>
      <w:rFonts w:ascii="Courier New" w:eastAsia="Gulim" w:hAnsi="Courier New" w:cs="Courier New"/>
      <w:sz w:val="20"/>
      <w:szCs w:val="20"/>
      <w:lang w:val="en-US"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FC36BF"/>
    <w:rPr>
      <w:rFonts w:ascii="Courier New" w:eastAsia="Gulim" w:hAnsi="Courier New" w:cs="Courier New"/>
      <w:sz w:val="20"/>
      <w:szCs w:val="20"/>
      <w:lang w:val="en-US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5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Rebecca Campoy</cp:lastModifiedBy>
  <cp:revision>14</cp:revision>
  <cp:lastPrinted>2016-11-12T19:50:00Z</cp:lastPrinted>
  <dcterms:created xsi:type="dcterms:W3CDTF">2017-10-23T08:48:00Z</dcterms:created>
  <dcterms:modified xsi:type="dcterms:W3CDTF">2017-11-08T13:33:00Z</dcterms:modified>
</cp:coreProperties>
</file>