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7029" w:rsidRPr="00187029" w:rsidRDefault="00187029" w:rsidP="00187029">
      <w:pPr>
        <w:spacing w:after="0" w:line="240" w:lineRule="atLeast"/>
        <w:rPr>
          <w:rFonts w:ascii="Times New Roman" w:hAnsi="Times New Roman"/>
          <w:color w:val="000000" w:themeColor="text1"/>
          <w:sz w:val="20"/>
          <w:szCs w:val="20"/>
          <w:lang w:val="en-GB"/>
        </w:rPr>
      </w:pPr>
      <w:r>
        <w:rPr>
          <w:b/>
          <w:bCs/>
          <w:color w:val="000000" w:themeColor="text1"/>
          <w:lang w:val="en-GB"/>
        </w:rPr>
        <w:t xml:space="preserve">JAPAN </w:t>
      </w:r>
      <w:r w:rsidRPr="00187029">
        <w:rPr>
          <w:rFonts w:ascii="Times New Roman" w:hAnsi="Times New Roman"/>
          <w:bCs/>
          <w:color w:val="000000" w:themeColor="text1"/>
          <w:sz w:val="20"/>
          <w:szCs w:val="20"/>
          <w:lang w:val="en-GB"/>
        </w:rPr>
        <w:t>Attachment:</w:t>
      </w:r>
      <w:r w:rsidRPr="00187029">
        <w:rPr>
          <w:rFonts w:ascii="Times New Roman" w:hAnsi="Times New Roman"/>
          <w:color w:val="000000" w:themeColor="text1"/>
          <w:sz w:val="20"/>
          <w:szCs w:val="20"/>
          <w:lang w:val="en-GB"/>
        </w:rPr>
        <w:t xml:space="preserve"> Text of regulations and other related documents adopted to implement the Recommendation 14-04</w:t>
      </w:r>
    </w:p>
    <w:p w:rsidR="00187029" w:rsidRPr="00187029" w:rsidRDefault="00187029" w:rsidP="00187029">
      <w:pPr>
        <w:spacing w:after="0" w:line="240" w:lineRule="atLeast"/>
        <w:rPr>
          <w:rFonts w:ascii="Times New Roman" w:hAnsi="Times New Roman"/>
          <w:color w:val="000000" w:themeColor="text1"/>
          <w:sz w:val="20"/>
          <w:szCs w:val="20"/>
        </w:rPr>
      </w:pPr>
    </w:p>
    <w:p w:rsidR="00187029" w:rsidRPr="00187029" w:rsidRDefault="00187029" w:rsidP="00187029">
      <w:pPr>
        <w:spacing w:after="0" w:line="240" w:lineRule="atLeast"/>
        <w:rPr>
          <w:rFonts w:ascii="Times New Roman" w:eastAsiaTheme="minorEastAsia" w:hAnsi="Times New Roman"/>
          <w:color w:val="000000" w:themeColor="text1"/>
          <w:sz w:val="20"/>
          <w:szCs w:val="20"/>
          <w:lang w:eastAsia="ja-JP"/>
        </w:rPr>
      </w:pPr>
      <w:r w:rsidRPr="00187029">
        <w:rPr>
          <w:rFonts w:ascii="Times New Roman" w:eastAsiaTheme="minorEastAsia" w:hAnsi="Times New Roman"/>
          <w:color w:val="000000" w:themeColor="text1"/>
          <w:sz w:val="20"/>
          <w:szCs w:val="20"/>
          <w:lang w:eastAsia="ja-JP"/>
        </w:rPr>
        <w:t>Ministerial ordinance of the Minister of Agriculture, Forestry and Fisheries</w:t>
      </w:r>
    </w:p>
    <w:p w:rsidR="00187029" w:rsidRPr="00187029" w:rsidRDefault="00187029" w:rsidP="00187029">
      <w:pPr>
        <w:spacing w:after="0" w:line="240" w:lineRule="atLeast"/>
        <w:ind w:leftChars="100" w:left="420" w:hangingChars="100" w:hanging="200"/>
        <w:rPr>
          <w:rFonts w:ascii="Times New Roman" w:eastAsiaTheme="minorEastAsia" w:hAnsi="Times New Roman"/>
          <w:color w:val="000000" w:themeColor="text1"/>
          <w:sz w:val="20"/>
          <w:szCs w:val="20"/>
          <w:lang w:eastAsia="ja-JP"/>
        </w:rPr>
      </w:pPr>
      <w:r w:rsidRPr="00187029">
        <w:rPr>
          <w:rFonts w:ascii="Times New Roman" w:eastAsiaTheme="minorEastAsia" w:hAnsi="Times New Roman"/>
          <w:color w:val="000000" w:themeColor="text1"/>
          <w:sz w:val="20"/>
          <w:szCs w:val="20"/>
          <w:lang w:eastAsia="ja-JP"/>
        </w:rPr>
        <w:t>〇Article 57　(1)　The Minister of Agriculture, Forestry and Fisheries shall allocate the annual quotas of catch of northern bluefin tuna</w:t>
      </w:r>
      <w:bookmarkStart w:id="0" w:name="_GoBack"/>
      <w:bookmarkEnd w:id="0"/>
      <w:r w:rsidRPr="00187029">
        <w:rPr>
          <w:rFonts w:ascii="Times New Roman" w:eastAsiaTheme="minorEastAsia" w:hAnsi="Times New Roman"/>
          <w:color w:val="000000" w:themeColor="text1"/>
          <w:sz w:val="20"/>
          <w:szCs w:val="20"/>
          <w:lang w:eastAsia="ja-JP"/>
        </w:rPr>
        <w:t xml:space="preserve"> (limited to the bluefin tuna captured in the sea area of the Atlantic Ocean (including the sea area of the Mediterranean Sea); hereinafter referred to as "Atlantic bluefin tuna") and southern bluefin tuna for each Distant Water Skipjack/Tuna Fishery manager and for each ship engaged in capturing Atlantic bluefin tuna or southern bluefin tuna.</w:t>
      </w:r>
    </w:p>
    <w:p w:rsidR="00187029" w:rsidRPr="00187029" w:rsidRDefault="00187029" w:rsidP="00187029">
      <w:pPr>
        <w:spacing w:after="0" w:line="240" w:lineRule="atLeast"/>
        <w:ind w:leftChars="100" w:left="420" w:hangingChars="100" w:hanging="200"/>
        <w:rPr>
          <w:rFonts w:ascii="Times New Roman" w:eastAsiaTheme="minorEastAsia" w:hAnsi="Times New Roman"/>
          <w:color w:val="000000" w:themeColor="text1"/>
          <w:sz w:val="20"/>
          <w:szCs w:val="20"/>
          <w:lang w:eastAsia="ja-JP"/>
        </w:rPr>
      </w:pPr>
      <w:r w:rsidRPr="00187029">
        <w:rPr>
          <w:rFonts w:ascii="Times New Roman" w:eastAsiaTheme="minorEastAsia" w:hAnsi="Times New Roman"/>
          <w:color w:val="000000" w:themeColor="text1"/>
          <w:sz w:val="20"/>
          <w:szCs w:val="20"/>
          <w:lang w:eastAsia="ja-JP"/>
        </w:rPr>
        <w:t>〇Article 17　Each manager of a Designated Fishery shall not operate said Designated Fishery in violation of the measures of restriction or prohibition concerning the fishing operation using any specific fishing gear or ship or according to any specific fishing method or concerning the capture of any specific species of aquatic animals in any fishing operation area or period or in any specific area or period stated in the lower column of Appended Table 2 for each of the Designated Fisheries stated in the upper column of the same appended table, in addition to which is separately provided for in this Ministerial Ordinance.</w:t>
      </w:r>
    </w:p>
    <w:p w:rsidR="00187029" w:rsidRPr="00187029" w:rsidRDefault="00187029" w:rsidP="00187029">
      <w:pPr>
        <w:spacing w:after="0" w:line="240" w:lineRule="atLeast"/>
        <w:ind w:leftChars="100" w:left="420" w:hangingChars="100" w:hanging="200"/>
        <w:rPr>
          <w:rFonts w:ascii="Times New Roman" w:eastAsiaTheme="minorEastAsia" w:hAnsi="Times New Roman"/>
          <w:color w:val="000000" w:themeColor="text1"/>
          <w:sz w:val="20"/>
          <w:szCs w:val="20"/>
          <w:lang w:eastAsia="ja-JP"/>
        </w:rPr>
      </w:pPr>
      <w:r w:rsidRPr="00187029">
        <w:rPr>
          <w:rFonts w:ascii="Times New Roman" w:eastAsiaTheme="minorEastAsia" w:hAnsi="Times New Roman"/>
          <w:color w:val="000000" w:themeColor="text1"/>
          <w:sz w:val="20"/>
          <w:szCs w:val="20"/>
          <w:lang w:eastAsia="ja-JP"/>
        </w:rPr>
        <w:t>〇Article 59　(1)　No Distant Water Skipjack/Tuna Fishery manager shall transship the catch of said fishery or any product thereof from the boat used to capture said catch or to produce said product to another boat, except in any case that falls under any of the items of Article 29. However, this shall not apply to any case in which transshipment is made in a port outside Japan or in a sea area separately specified and publicly notified by the Minister of Agriculture, Forestry and Fisheries and is permitted in advance by the Minister of Agriculture, Forestry and Fisheries .</w:t>
      </w:r>
    </w:p>
    <w:p w:rsidR="00187029" w:rsidRPr="00187029" w:rsidRDefault="00187029" w:rsidP="00187029">
      <w:pPr>
        <w:spacing w:after="0" w:line="240" w:lineRule="atLeast"/>
        <w:ind w:leftChars="100" w:left="420" w:hangingChars="100" w:hanging="200"/>
        <w:rPr>
          <w:rFonts w:ascii="Times New Roman" w:eastAsiaTheme="minorEastAsia" w:hAnsi="Times New Roman"/>
          <w:color w:val="000000" w:themeColor="text1"/>
          <w:sz w:val="20"/>
          <w:szCs w:val="20"/>
          <w:lang w:eastAsia="ja-JP"/>
        </w:rPr>
      </w:pPr>
      <w:r w:rsidRPr="00187029">
        <w:rPr>
          <w:rFonts w:ascii="Times New Roman" w:eastAsiaTheme="minorEastAsia" w:hAnsi="Times New Roman"/>
          <w:color w:val="000000" w:themeColor="text1"/>
          <w:sz w:val="20"/>
          <w:szCs w:val="20"/>
          <w:lang w:eastAsia="ja-JP"/>
        </w:rPr>
        <w:t>〇Article 18　(1)　In the case where the Minister of Agriculture, Forestry and Fisheries designates the unloading ports of the catch of any Designated Fishery or any product thereof (including the catch or any product thereof transported under the permission pursuant to the provision of Article 27; hereinafter referred to as "the catch, etc." in this Article) by a public notice or provides that one or more shall be selected from the unloading ports of the catch, etc. designated in said public notice for fishery regulation or other fishery coordination of the Designated Fishery, each manager of a Designated Fishery (excluding the persons who have obtained the permission of the Large and Medium-scale Purse Seine Fishery, Large-scale Whale Fishery, Small-scale Whale Fishery, North Pacific Ocean Saury Fishery or Squid Jigging Fishery; hereinafter the same shall apply in this Article) shall not unload the catch, etc. of said Designated Fishery at other than said unloading port(s) pertaining to said designation or selection. However, this shall not apply to the case where the quantity of said catch, etc. is inspected in the unloading port pertaining to the designation or selection under the permission of the Minister of Agriculture, Forestry and Fisheries obtained in advance, or the case where there is any unavoidable reason such as a rainstorm.</w:t>
      </w:r>
    </w:p>
    <w:p w:rsidR="00187029" w:rsidRPr="00187029" w:rsidRDefault="00187029" w:rsidP="00187029">
      <w:pPr>
        <w:spacing w:after="0" w:line="240" w:lineRule="atLeast"/>
        <w:ind w:leftChars="100" w:left="420" w:hangingChars="100" w:hanging="200"/>
        <w:rPr>
          <w:rFonts w:ascii="Times New Roman" w:eastAsiaTheme="minorEastAsia" w:hAnsi="Times New Roman"/>
          <w:color w:val="000000" w:themeColor="text1"/>
          <w:sz w:val="20"/>
          <w:szCs w:val="20"/>
          <w:lang w:eastAsia="ja-JP"/>
        </w:rPr>
      </w:pPr>
      <w:r w:rsidRPr="00187029">
        <w:rPr>
          <w:rFonts w:ascii="Times New Roman" w:eastAsiaTheme="minorEastAsia" w:hAnsi="Times New Roman"/>
          <w:color w:val="000000" w:themeColor="text1"/>
          <w:sz w:val="20"/>
          <w:szCs w:val="20"/>
          <w:lang w:eastAsia="ja-JP"/>
        </w:rPr>
        <w:t>〇Article 28-2　(1)　When the captain of any ship pertaining to the permission of a Designated Fishery operates in any sea area separately designated and publicly notified by the Minister of Agriculture, Forestry and Fisheries for each Designated Fishery, he/she shall keep a fishing logbook in said ship and describe the matters separately specified and publicly notified by the Minister of Agriculture, Forestry and Fisheries as provided in said public notice.</w:t>
      </w:r>
    </w:p>
    <w:p w:rsidR="00187029" w:rsidRPr="00187029" w:rsidRDefault="00187029" w:rsidP="00187029">
      <w:pPr>
        <w:spacing w:after="0" w:line="240" w:lineRule="atLeast"/>
        <w:ind w:leftChars="100" w:left="420" w:hangingChars="100" w:hanging="200"/>
        <w:rPr>
          <w:rFonts w:ascii="Times New Roman" w:eastAsiaTheme="minorEastAsia" w:hAnsi="Times New Roman"/>
          <w:color w:val="000000" w:themeColor="text1"/>
          <w:sz w:val="20"/>
          <w:szCs w:val="20"/>
          <w:lang w:eastAsia="ja-JP"/>
        </w:rPr>
      </w:pPr>
      <w:r w:rsidRPr="00187029">
        <w:rPr>
          <w:rFonts w:ascii="Times New Roman" w:eastAsiaTheme="minorEastAsia" w:hAnsi="Times New Roman"/>
          <w:color w:val="000000" w:themeColor="text1"/>
          <w:sz w:val="20"/>
          <w:szCs w:val="20"/>
          <w:lang w:eastAsia="ja-JP"/>
        </w:rPr>
        <w:t>〇Article 24-2　(1)　Manager of a Each Designated Fishery shall install a satellite-based ship positioning transmitter in the ship pertaining to said permission in advance, if the ship enters any sea areas separately designated and publicly notified by the Minister of Agriculture, Forestry and Fisheries for each Designated Fishery.</w:t>
      </w:r>
    </w:p>
    <w:p w:rsidR="00187029" w:rsidRPr="00187029" w:rsidRDefault="00187029" w:rsidP="00187029">
      <w:pPr>
        <w:spacing w:after="0" w:line="240" w:lineRule="atLeast"/>
        <w:ind w:leftChars="100" w:left="404" w:hangingChars="92" w:hanging="184"/>
        <w:rPr>
          <w:rFonts w:ascii="Times New Roman" w:eastAsiaTheme="minorEastAsia" w:hAnsi="Times New Roman"/>
          <w:color w:val="000000" w:themeColor="text1"/>
          <w:sz w:val="20"/>
          <w:szCs w:val="20"/>
          <w:lang w:eastAsia="ja-JP"/>
        </w:rPr>
      </w:pPr>
      <w:r w:rsidRPr="00187029">
        <w:rPr>
          <w:rFonts w:ascii="Times New Roman" w:eastAsiaTheme="minorEastAsia" w:hAnsi="Times New Roman"/>
          <w:color w:val="000000" w:themeColor="text1"/>
          <w:sz w:val="20"/>
          <w:szCs w:val="20"/>
          <w:lang w:eastAsia="ja-JP"/>
        </w:rPr>
        <w:t>〇Article24-1</w:t>
      </w:r>
      <w:r w:rsidRPr="00187029">
        <w:rPr>
          <w:rFonts w:ascii="Times New Roman" w:hAnsi="Times New Roman"/>
          <w:sz w:val="20"/>
          <w:szCs w:val="20"/>
        </w:rPr>
        <w:t xml:space="preserve"> (2) In addition to the cases provided in this Ministerial Ordinance, in any case in which the Minister of Agriculture, Forestry and Fisheries specifies and gives public notice of the matters to be reported and reporting method when he/she finds it necessary for the propagation and protection of aquatic animals and plants or for fishery regulation or other </w:t>
      </w:r>
      <w:r w:rsidRPr="00187029">
        <w:rPr>
          <w:rFonts w:ascii="Times New Roman" w:hAnsi="Times New Roman"/>
          <w:sz w:val="20"/>
          <w:szCs w:val="20"/>
        </w:rPr>
        <w:lastRenderedPageBreak/>
        <w:t>fishery coordination with respect to a Designated Fishery, or in any case in which the Minister of Agriculture, Forestry and Fisheries or a fishery enforcement officer requests a report by wireless telegram or wireless telephone when he/she finds it necessary for the propagation and protection of aquatic animals and plants or for fishery regulation or other fishery coordination, the captain of each boat pertaining to permission to engage in such Designated Fishery shall report in accordance with said specification or request.</w:t>
      </w:r>
    </w:p>
    <w:p w:rsidR="00187029" w:rsidRPr="00187029" w:rsidRDefault="00187029" w:rsidP="00187029">
      <w:pPr>
        <w:spacing w:after="0" w:line="240" w:lineRule="atLeast"/>
        <w:rPr>
          <w:rFonts w:ascii="Times New Roman" w:eastAsiaTheme="minorEastAsia" w:hAnsi="Times New Roman"/>
          <w:color w:val="000000" w:themeColor="text1"/>
          <w:sz w:val="20"/>
          <w:szCs w:val="20"/>
          <w:lang w:eastAsia="ja-JP"/>
        </w:rPr>
      </w:pPr>
    </w:p>
    <w:p w:rsidR="00187029" w:rsidRPr="00187029" w:rsidRDefault="00187029" w:rsidP="00187029">
      <w:pPr>
        <w:spacing w:after="0" w:line="240" w:lineRule="atLeast"/>
        <w:rPr>
          <w:rFonts w:ascii="Times New Roman" w:eastAsiaTheme="minorEastAsia" w:hAnsi="Times New Roman"/>
          <w:color w:val="000000" w:themeColor="text1"/>
          <w:sz w:val="20"/>
          <w:szCs w:val="20"/>
          <w:lang w:eastAsia="ja-JP"/>
        </w:rPr>
      </w:pPr>
    </w:p>
    <w:p w:rsidR="008F3B7B" w:rsidRPr="00187029" w:rsidRDefault="008F3B7B">
      <w:pPr>
        <w:rPr>
          <w:rFonts w:ascii="Times New Roman" w:hAnsi="Times New Roman"/>
          <w:sz w:val="20"/>
          <w:szCs w:val="20"/>
        </w:rPr>
      </w:pPr>
    </w:p>
    <w:sectPr w:rsidR="008F3B7B" w:rsidRPr="00187029" w:rsidSect="00187029">
      <w:pgSz w:w="11906" w:h="16838"/>
      <w:pgMar w:top="1418" w:right="1361" w:bottom="1418" w:left="136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029"/>
    <w:rsid w:val="00187029"/>
    <w:rsid w:val="008F3B7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Theme="minorHAnsi" w:hAnsi="Cambria" w:cstheme="minorBidi"/>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7029"/>
    <w:rPr>
      <w:rFonts w:ascii="Calibri" w:eastAsia="Calibri" w:hAnsi="Calibri" w:cs="Times New Roman"/>
      <w:sz w:val="22"/>
      <w:lang w:val="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Theme="minorHAnsi" w:hAnsi="Cambria" w:cstheme="minorBidi"/>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7029"/>
    <w:rPr>
      <w:rFonts w:ascii="Calibri" w:eastAsia="Calibri" w:hAnsi="Calibri" w:cs="Times New Roman"/>
      <w:sz w:val="22"/>
      <w:lang w:val="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758</Words>
  <Characters>4174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Jenny Cheatle</dc:creator>
  <cp:lastModifiedBy>Jenny Cheatle</cp:lastModifiedBy>
  <cp:revision>1</cp:revision>
  <dcterms:created xsi:type="dcterms:W3CDTF">2017-09-29T12:18:00Z</dcterms:created>
  <dcterms:modified xsi:type="dcterms:W3CDTF">2017-09-29T12:20:00Z</dcterms:modified>
</cp:coreProperties>
</file>