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280871" w14:textId="77777777" w:rsidR="00E158A1" w:rsidRPr="005D5B14" w:rsidRDefault="003A5EC9" w:rsidP="00F07856">
      <w:pPr>
        <w:pStyle w:val="Heading1"/>
        <w:ind w:left="0" w:right="134"/>
        <w:jc w:val="right"/>
        <w:rPr>
          <w:rFonts w:asciiTheme="majorHAnsi" w:hAnsiTheme="majorHAnsi"/>
          <w:sz w:val="20"/>
          <w:szCs w:val="20"/>
        </w:rPr>
      </w:pPr>
      <w:r>
        <w:rPr>
          <w:rFonts w:asciiTheme="majorHAnsi" w:hAnsiTheme="majorHAnsi"/>
          <w:color w:val="231F20"/>
          <w:sz w:val="20"/>
        </w:rPr>
        <w:t>Original: inglés y español</w:t>
      </w:r>
    </w:p>
    <w:p w14:paraId="75D88462" w14:textId="77777777" w:rsidR="00E158A1" w:rsidRPr="005D5B14" w:rsidRDefault="00E158A1" w:rsidP="00F07856">
      <w:pPr>
        <w:pStyle w:val="BodyText"/>
        <w:rPr>
          <w:rFonts w:asciiTheme="majorHAnsi" w:hAnsiTheme="majorHAnsi"/>
          <w:b/>
          <w:sz w:val="20"/>
          <w:szCs w:val="20"/>
        </w:rPr>
      </w:pPr>
    </w:p>
    <w:p w14:paraId="0E5B9053" w14:textId="77777777" w:rsidR="00E158A1" w:rsidRPr="005D5B14" w:rsidRDefault="003A5EC9">
      <w:pPr>
        <w:ind w:left="2" w:right="2"/>
        <w:jc w:val="center"/>
        <w:rPr>
          <w:rFonts w:asciiTheme="majorHAnsi" w:hAnsiTheme="majorHAnsi"/>
          <w:b/>
          <w:sz w:val="20"/>
          <w:szCs w:val="20"/>
        </w:rPr>
      </w:pPr>
      <w:r>
        <w:rPr>
          <w:rFonts w:asciiTheme="majorHAnsi" w:hAnsiTheme="majorHAnsi"/>
          <w:b/>
          <w:color w:val="231F20"/>
          <w:sz w:val="20"/>
        </w:rPr>
        <w:t>Simplificación de las medidas de conservación y ordenación de ICCAT</w:t>
      </w:r>
    </w:p>
    <w:p w14:paraId="69BC8935" w14:textId="77777777" w:rsidR="00E158A1" w:rsidRPr="005D5B14" w:rsidRDefault="003A5EC9">
      <w:pPr>
        <w:spacing w:before="15"/>
        <w:ind w:left="2"/>
        <w:jc w:val="center"/>
        <w:rPr>
          <w:rFonts w:asciiTheme="majorHAnsi" w:hAnsiTheme="majorHAnsi"/>
          <w:i/>
          <w:sz w:val="20"/>
          <w:szCs w:val="20"/>
        </w:rPr>
      </w:pPr>
      <w:r>
        <w:rPr>
          <w:rFonts w:asciiTheme="majorHAnsi" w:hAnsiTheme="majorHAnsi"/>
          <w:i/>
          <w:color w:val="231F20"/>
          <w:sz w:val="20"/>
        </w:rPr>
        <w:t>Secretaría de ICCAT</w:t>
      </w:r>
    </w:p>
    <w:p w14:paraId="00E893EB" w14:textId="77777777" w:rsidR="00E158A1" w:rsidRPr="005D5B14" w:rsidRDefault="00E158A1" w:rsidP="00BE280B">
      <w:pPr>
        <w:pStyle w:val="BodyText"/>
        <w:spacing w:before="29"/>
        <w:jc w:val="both"/>
        <w:rPr>
          <w:rFonts w:asciiTheme="majorHAnsi" w:hAnsiTheme="majorHAnsi"/>
          <w:i/>
          <w:sz w:val="20"/>
          <w:szCs w:val="20"/>
        </w:rPr>
      </w:pPr>
    </w:p>
    <w:p w14:paraId="757F53CB" w14:textId="4CACB293" w:rsidR="00E158A1" w:rsidRPr="005D5B14" w:rsidRDefault="003A5EC9" w:rsidP="00323B76">
      <w:pPr>
        <w:pStyle w:val="Heading1"/>
        <w:ind w:left="0"/>
        <w:jc w:val="both"/>
        <w:rPr>
          <w:rFonts w:asciiTheme="majorHAnsi" w:hAnsiTheme="majorHAnsi"/>
          <w:sz w:val="20"/>
          <w:szCs w:val="20"/>
        </w:rPr>
      </w:pPr>
      <w:r>
        <w:rPr>
          <w:rFonts w:asciiTheme="majorHAnsi" w:hAnsiTheme="majorHAnsi"/>
          <w:color w:val="231F20"/>
          <w:sz w:val="20"/>
        </w:rPr>
        <w:t>Medidas derogadas y/o sustituidas por medidas adoptadas en 2024</w:t>
      </w:r>
    </w:p>
    <w:p w14:paraId="30BE8025" w14:textId="77777777" w:rsidR="00E158A1" w:rsidRPr="005D5B14" w:rsidRDefault="00E158A1" w:rsidP="00323B76">
      <w:pPr>
        <w:pStyle w:val="BodyText"/>
        <w:spacing w:before="28"/>
        <w:jc w:val="both"/>
        <w:rPr>
          <w:rFonts w:asciiTheme="majorHAnsi" w:hAnsiTheme="majorHAnsi"/>
          <w:b/>
          <w:sz w:val="20"/>
          <w:szCs w:val="20"/>
        </w:rPr>
      </w:pPr>
    </w:p>
    <w:p w14:paraId="1746D1F4" w14:textId="7B70AC16" w:rsidR="00E158A1" w:rsidRPr="005D5B14" w:rsidRDefault="003A5EC9" w:rsidP="00323B76">
      <w:pPr>
        <w:spacing w:line="268" w:lineRule="auto"/>
        <w:ind w:right="127"/>
        <w:jc w:val="both"/>
        <w:rPr>
          <w:rFonts w:asciiTheme="majorHAnsi" w:hAnsiTheme="majorHAnsi"/>
          <w:sz w:val="20"/>
          <w:szCs w:val="20"/>
        </w:rPr>
      </w:pPr>
      <w:r>
        <w:rPr>
          <w:rFonts w:asciiTheme="majorHAnsi" w:hAnsiTheme="majorHAnsi"/>
          <w:color w:val="231F20"/>
          <w:sz w:val="20"/>
        </w:rPr>
        <w:t xml:space="preserve">Rec. 14-13: </w:t>
      </w:r>
      <w:r>
        <w:rPr>
          <w:rFonts w:asciiTheme="majorHAnsi" w:hAnsiTheme="majorHAnsi"/>
          <w:i/>
          <w:color w:val="231F20"/>
          <w:sz w:val="20"/>
        </w:rPr>
        <w:t>Recomendación de ICCAT que enmienda la Recomendación de ICCAT para mejorar el diálogo entre los gestores y científicos pesqueros</w:t>
      </w:r>
    </w:p>
    <w:p w14:paraId="12F12E32" w14:textId="012BC4AD" w:rsidR="00E158A1" w:rsidRPr="005D5B14" w:rsidRDefault="003A5EC9" w:rsidP="00323B76">
      <w:pPr>
        <w:pStyle w:val="BodyText"/>
        <w:spacing w:before="152"/>
        <w:jc w:val="both"/>
        <w:rPr>
          <w:rFonts w:asciiTheme="majorHAnsi" w:hAnsiTheme="majorHAnsi"/>
          <w:sz w:val="20"/>
          <w:szCs w:val="20"/>
        </w:rPr>
      </w:pPr>
      <w:r>
        <w:rPr>
          <w:rFonts w:asciiTheme="majorHAnsi" w:hAnsiTheme="majorHAnsi"/>
          <w:color w:val="0F4B8E"/>
          <w:sz w:val="20"/>
        </w:rPr>
        <w:t>Derogada y sustituida por la Rec. 24-13</w:t>
      </w:r>
    </w:p>
    <w:p w14:paraId="351F21B2" w14:textId="002E9769" w:rsidR="00E158A1" w:rsidRPr="005D5B14" w:rsidRDefault="003A5EC9" w:rsidP="00323B76">
      <w:pPr>
        <w:spacing w:before="177"/>
        <w:jc w:val="both"/>
        <w:rPr>
          <w:rFonts w:asciiTheme="majorHAnsi" w:hAnsiTheme="majorHAnsi"/>
          <w:i/>
          <w:sz w:val="20"/>
          <w:szCs w:val="20"/>
        </w:rPr>
      </w:pPr>
      <w:r>
        <w:rPr>
          <w:rFonts w:asciiTheme="majorHAnsi" w:hAnsiTheme="majorHAnsi"/>
          <w:color w:val="231F20"/>
          <w:sz w:val="20"/>
        </w:rPr>
        <w:t xml:space="preserve">Rec. 17-02: </w:t>
      </w:r>
      <w:r>
        <w:rPr>
          <w:rFonts w:asciiTheme="majorHAnsi" w:hAnsiTheme="majorHAnsi"/>
          <w:i/>
          <w:iCs/>
          <w:color w:val="231F20"/>
          <w:sz w:val="20"/>
        </w:rPr>
        <w:t>Recomendación de ICCAT que enmienda la Recomendación</w:t>
      </w:r>
      <w:r w:rsidR="008A5367">
        <w:rPr>
          <w:rFonts w:asciiTheme="majorHAnsi" w:hAnsiTheme="majorHAnsi"/>
          <w:i/>
          <w:iCs/>
          <w:color w:val="231F20"/>
          <w:sz w:val="20"/>
        </w:rPr>
        <w:t xml:space="preserve"> </w:t>
      </w:r>
      <w:r>
        <w:rPr>
          <w:rFonts w:asciiTheme="majorHAnsi" w:hAnsiTheme="majorHAnsi"/>
          <w:i/>
          <w:iCs/>
          <w:color w:val="231F20"/>
          <w:sz w:val="20"/>
        </w:rPr>
        <w:t>16-03 sobre la conservación del pez espada del Atlántico norte</w:t>
      </w:r>
    </w:p>
    <w:p w14:paraId="065C6948" w14:textId="6E280DAA" w:rsidR="00E158A1" w:rsidRPr="005D5B14" w:rsidRDefault="003A5EC9" w:rsidP="00323B76">
      <w:pPr>
        <w:pStyle w:val="BodyText"/>
        <w:spacing w:before="177"/>
        <w:jc w:val="both"/>
        <w:rPr>
          <w:rFonts w:asciiTheme="majorHAnsi" w:hAnsiTheme="majorHAnsi"/>
          <w:sz w:val="20"/>
          <w:szCs w:val="20"/>
        </w:rPr>
      </w:pPr>
      <w:r>
        <w:rPr>
          <w:rFonts w:asciiTheme="majorHAnsi" w:hAnsiTheme="majorHAnsi"/>
          <w:color w:val="0F4B8E"/>
          <w:sz w:val="20"/>
        </w:rPr>
        <w:t>Derogada y sustituida por la Rec. 24-10</w:t>
      </w:r>
    </w:p>
    <w:p w14:paraId="7F88446C" w14:textId="721E9836" w:rsidR="00E158A1" w:rsidRPr="005D5B14" w:rsidRDefault="003A5EC9" w:rsidP="00323B76">
      <w:pPr>
        <w:spacing w:before="177"/>
        <w:jc w:val="both"/>
        <w:rPr>
          <w:rFonts w:asciiTheme="majorHAnsi" w:hAnsiTheme="majorHAnsi"/>
          <w:i/>
          <w:sz w:val="20"/>
          <w:szCs w:val="20"/>
        </w:rPr>
      </w:pPr>
      <w:r>
        <w:rPr>
          <w:rFonts w:asciiTheme="majorHAnsi" w:hAnsiTheme="majorHAnsi"/>
          <w:color w:val="231F20"/>
          <w:sz w:val="20"/>
        </w:rPr>
        <w:t xml:space="preserve">Res. 19-04: </w:t>
      </w:r>
      <w:r w:rsidRPr="00A01DAD">
        <w:rPr>
          <w:rFonts w:asciiTheme="majorHAnsi" w:hAnsiTheme="majorHAnsi"/>
          <w:i/>
          <w:iCs/>
          <w:color w:val="231F20"/>
          <w:sz w:val="20"/>
        </w:rPr>
        <w:t>Resolución de ICCAT sobre el desarrollo de los objetivos iniciales de ordenación para el pez espada del Atlántico norte</w:t>
      </w:r>
    </w:p>
    <w:p w14:paraId="29B5EE27" w14:textId="29D66FF9" w:rsidR="00E158A1" w:rsidRPr="005D5B14" w:rsidRDefault="003A5EC9" w:rsidP="00323B76">
      <w:pPr>
        <w:pStyle w:val="BodyText"/>
        <w:spacing w:before="177"/>
        <w:jc w:val="both"/>
        <w:rPr>
          <w:rFonts w:asciiTheme="majorHAnsi" w:hAnsiTheme="majorHAnsi"/>
          <w:color w:val="0F4B8E"/>
          <w:sz w:val="20"/>
          <w:szCs w:val="20"/>
        </w:rPr>
      </w:pPr>
      <w:r>
        <w:rPr>
          <w:rFonts w:asciiTheme="majorHAnsi" w:hAnsiTheme="majorHAnsi"/>
          <w:color w:val="0F4B8E"/>
          <w:sz w:val="20"/>
        </w:rPr>
        <w:t>Derogada y sustituida por la Rec. 24-10</w:t>
      </w:r>
    </w:p>
    <w:p w14:paraId="437E1F04" w14:textId="44E0A3AB" w:rsidR="007142F0" w:rsidRPr="005D5B14" w:rsidRDefault="007142F0" w:rsidP="00323B76">
      <w:pPr>
        <w:pStyle w:val="BodyText"/>
        <w:spacing w:before="177"/>
        <w:jc w:val="both"/>
        <w:rPr>
          <w:rFonts w:asciiTheme="majorHAnsi" w:hAnsiTheme="majorHAnsi"/>
          <w:i/>
          <w:color w:val="231F20"/>
          <w:sz w:val="20"/>
          <w:szCs w:val="20"/>
        </w:rPr>
      </w:pPr>
      <w:r>
        <w:rPr>
          <w:rFonts w:asciiTheme="majorHAnsi" w:hAnsiTheme="majorHAnsi"/>
          <w:color w:val="231F20"/>
          <w:sz w:val="20"/>
        </w:rPr>
        <w:t xml:space="preserve">Rec. 21-15:  </w:t>
      </w:r>
      <w:r>
        <w:rPr>
          <w:rFonts w:asciiTheme="majorHAnsi" w:hAnsiTheme="majorHAnsi"/>
          <w:i/>
          <w:color w:val="231F20"/>
          <w:sz w:val="20"/>
        </w:rPr>
        <w:t>Recomendación de ICCAT sobre transbordo</w:t>
      </w:r>
    </w:p>
    <w:p w14:paraId="5878B5EB" w14:textId="56F6BE60" w:rsidR="007142F0" w:rsidRPr="005D5B14" w:rsidRDefault="007142F0" w:rsidP="00323B76">
      <w:pPr>
        <w:pStyle w:val="BodyText"/>
        <w:spacing w:before="177"/>
        <w:jc w:val="both"/>
        <w:rPr>
          <w:rFonts w:asciiTheme="majorHAnsi" w:hAnsiTheme="majorHAnsi"/>
          <w:color w:val="0F4B8E"/>
          <w:sz w:val="20"/>
          <w:szCs w:val="20"/>
        </w:rPr>
      </w:pPr>
      <w:r>
        <w:rPr>
          <w:rFonts w:asciiTheme="majorHAnsi" w:hAnsiTheme="majorHAnsi"/>
          <w:color w:val="0F4B8E"/>
          <w:sz w:val="20"/>
        </w:rPr>
        <w:t>Derogada y sustituida por la Rec. 24-15</w:t>
      </w:r>
    </w:p>
    <w:p w14:paraId="3CC5FB4F" w14:textId="13847B17" w:rsidR="00E158A1" w:rsidRPr="005D5B14" w:rsidRDefault="003A5EC9" w:rsidP="00323B76">
      <w:pPr>
        <w:spacing w:before="178"/>
        <w:jc w:val="both"/>
        <w:rPr>
          <w:rFonts w:asciiTheme="majorHAnsi" w:hAnsiTheme="majorHAnsi"/>
          <w:i/>
          <w:sz w:val="20"/>
          <w:szCs w:val="20"/>
        </w:rPr>
      </w:pPr>
      <w:r>
        <w:rPr>
          <w:rFonts w:asciiTheme="majorHAnsi" w:hAnsiTheme="majorHAnsi"/>
          <w:color w:val="231F20"/>
          <w:sz w:val="20"/>
        </w:rPr>
        <w:t xml:space="preserve">Rec. 22-01: </w:t>
      </w:r>
      <w:r w:rsidRPr="00E37FC5">
        <w:rPr>
          <w:rFonts w:asciiTheme="majorHAnsi" w:hAnsiTheme="majorHAnsi"/>
          <w:i/>
          <w:iCs/>
          <w:color w:val="231F20"/>
          <w:sz w:val="20"/>
        </w:rPr>
        <w:t>Recomendación</w:t>
      </w:r>
      <w:r>
        <w:rPr>
          <w:rFonts w:asciiTheme="majorHAnsi" w:hAnsiTheme="majorHAnsi"/>
          <w:i/>
          <w:color w:val="231F20"/>
          <w:sz w:val="20"/>
        </w:rPr>
        <w:t xml:space="preserve"> de ICCAT que reemplaza la Recomendación 21-01 sobre un programa plurianual de conservación y ordenación para los túnidos tropicales</w:t>
      </w:r>
    </w:p>
    <w:p w14:paraId="1246D20E" w14:textId="203C247A" w:rsidR="00E158A1" w:rsidRPr="005D5B14" w:rsidRDefault="003A5EC9" w:rsidP="00323B76">
      <w:pPr>
        <w:pStyle w:val="BodyText"/>
        <w:spacing w:before="177"/>
        <w:jc w:val="both"/>
        <w:rPr>
          <w:rFonts w:asciiTheme="majorHAnsi" w:hAnsiTheme="majorHAnsi"/>
          <w:sz w:val="20"/>
          <w:szCs w:val="20"/>
        </w:rPr>
      </w:pPr>
      <w:r>
        <w:rPr>
          <w:rFonts w:asciiTheme="majorHAnsi" w:hAnsiTheme="majorHAnsi"/>
          <w:color w:val="0F4B8E"/>
          <w:sz w:val="20"/>
        </w:rPr>
        <w:t>Derogada y sustituida por la Rec. 24-01</w:t>
      </w:r>
    </w:p>
    <w:p w14:paraId="72F67DE7" w14:textId="66AC6116" w:rsidR="00E158A1" w:rsidRPr="005D5B14" w:rsidRDefault="003A5EC9" w:rsidP="00323B76">
      <w:pPr>
        <w:spacing w:before="177"/>
        <w:jc w:val="both"/>
        <w:rPr>
          <w:rFonts w:asciiTheme="majorHAnsi" w:hAnsiTheme="majorHAnsi"/>
          <w:i/>
          <w:sz w:val="20"/>
          <w:szCs w:val="20"/>
        </w:rPr>
      </w:pPr>
      <w:r>
        <w:rPr>
          <w:rFonts w:asciiTheme="majorHAnsi" w:hAnsiTheme="majorHAnsi"/>
          <w:color w:val="231F20"/>
          <w:sz w:val="20"/>
        </w:rPr>
        <w:t>Re</w:t>
      </w:r>
      <w:r w:rsidR="00544D91">
        <w:rPr>
          <w:rFonts w:asciiTheme="majorHAnsi" w:hAnsiTheme="majorHAnsi"/>
          <w:color w:val="231F20"/>
          <w:sz w:val="20"/>
        </w:rPr>
        <w:t>s</w:t>
      </w:r>
      <w:r>
        <w:rPr>
          <w:rFonts w:asciiTheme="majorHAnsi" w:hAnsiTheme="majorHAnsi"/>
          <w:color w:val="231F20"/>
          <w:sz w:val="20"/>
        </w:rPr>
        <w:t xml:space="preserve">. 22-02: </w:t>
      </w:r>
      <w:r>
        <w:rPr>
          <w:rFonts w:asciiTheme="majorHAnsi" w:hAnsiTheme="majorHAnsi"/>
          <w:i/>
          <w:color w:val="231F20"/>
          <w:sz w:val="20"/>
        </w:rPr>
        <w:t>Resolución de ICCAT sobre el desarrollo de objetivos de ordenación conceptuales iniciales para el listado del Atlántico occidental</w:t>
      </w:r>
    </w:p>
    <w:p w14:paraId="754904CB" w14:textId="013639A5" w:rsidR="00E158A1" w:rsidRPr="005D5B14" w:rsidRDefault="003A5EC9" w:rsidP="00323B76">
      <w:pPr>
        <w:pStyle w:val="BodyText"/>
        <w:spacing w:before="177"/>
        <w:jc w:val="both"/>
        <w:rPr>
          <w:rFonts w:asciiTheme="majorHAnsi" w:hAnsiTheme="majorHAnsi"/>
          <w:sz w:val="20"/>
          <w:szCs w:val="20"/>
        </w:rPr>
      </w:pPr>
      <w:r>
        <w:rPr>
          <w:rFonts w:asciiTheme="majorHAnsi" w:hAnsiTheme="majorHAnsi"/>
          <w:color w:val="0F4B8E"/>
          <w:sz w:val="20"/>
        </w:rPr>
        <w:t>Derogada y sustituida por la Rec. 24-04</w:t>
      </w:r>
    </w:p>
    <w:p w14:paraId="670734AD" w14:textId="411AAA71" w:rsidR="00E158A1" w:rsidRPr="005D5B14" w:rsidRDefault="003A5EC9" w:rsidP="00323B76">
      <w:pPr>
        <w:spacing w:before="178"/>
        <w:jc w:val="both"/>
        <w:rPr>
          <w:rFonts w:asciiTheme="majorHAnsi" w:hAnsiTheme="majorHAnsi"/>
          <w:i/>
          <w:sz w:val="20"/>
          <w:szCs w:val="20"/>
        </w:rPr>
      </w:pPr>
      <w:r>
        <w:rPr>
          <w:rFonts w:asciiTheme="majorHAnsi" w:hAnsiTheme="majorHAnsi"/>
          <w:color w:val="231F20"/>
          <w:sz w:val="20"/>
        </w:rPr>
        <w:t xml:space="preserve">Rec. 22-05:  </w:t>
      </w:r>
      <w:r>
        <w:rPr>
          <w:rFonts w:asciiTheme="majorHAnsi" w:hAnsiTheme="majorHAnsi"/>
          <w:i/>
          <w:iCs/>
          <w:color w:val="231F20"/>
          <w:sz w:val="20"/>
        </w:rPr>
        <w:t>Recomendación de ICCAT que enmienda la Recomendación 21-06 para establecer un plan de recuperación para el atún blanco del Mediterráneo</w:t>
      </w:r>
    </w:p>
    <w:p w14:paraId="1A7CC0CB" w14:textId="0866EF66" w:rsidR="00E158A1" w:rsidRPr="005D5B14" w:rsidRDefault="003A5EC9" w:rsidP="00323B76">
      <w:pPr>
        <w:pStyle w:val="BodyText"/>
        <w:spacing w:before="179"/>
        <w:jc w:val="both"/>
        <w:rPr>
          <w:rFonts w:asciiTheme="majorHAnsi" w:hAnsiTheme="majorHAnsi"/>
          <w:sz w:val="20"/>
          <w:szCs w:val="20"/>
        </w:rPr>
      </w:pPr>
      <w:r>
        <w:rPr>
          <w:rFonts w:asciiTheme="majorHAnsi" w:hAnsiTheme="majorHAnsi"/>
          <w:color w:val="0F4B8E"/>
          <w:sz w:val="20"/>
        </w:rPr>
        <w:t>Derogada y sustituida por la Rec. 24-08</w:t>
      </w:r>
    </w:p>
    <w:p w14:paraId="082E86D0" w14:textId="407C8114" w:rsidR="00E158A1" w:rsidRPr="005D5B14" w:rsidRDefault="003A5EC9" w:rsidP="00323B76">
      <w:pPr>
        <w:spacing w:before="177"/>
        <w:jc w:val="both"/>
        <w:rPr>
          <w:rFonts w:asciiTheme="majorHAnsi" w:hAnsiTheme="majorHAnsi"/>
          <w:i/>
          <w:sz w:val="20"/>
          <w:szCs w:val="20"/>
        </w:rPr>
      </w:pPr>
      <w:r>
        <w:rPr>
          <w:rFonts w:asciiTheme="majorHAnsi" w:hAnsiTheme="majorHAnsi"/>
          <w:color w:val="231F20"/>
          <w:sz w:val="20"/>
        </w:rPr>
        <w:t xml:space="preserve">Rec. 22-08: </w:t>
      </w:r>
      <w:r>
        <w:rPr>
          <w:rFonts w:asciiTheme="majorHAnsi" w:hAnsiTheme="majorHAnsi"/>
          <w:i/>
          <w:color w:val="231F20"/>
          <w:sz w:val="20"/>
        </w:rPr>
        <w:t>Recomendación de ICCAT que enmienda la Recomendación 21-08 sobre el establecimiento de un plan de recuperación plurianual para el atún rojo en el Atlántico este y Mediterráneo</w:t>
      </w:r>
    </w:p>
    <w:p w14:paraId="7BF67CDA" w14:textId="57C5D5ED" w:rsidR="00E158A1" w:rsidRPr="005D5B14" w:rsidRDefault="003A5EC9" w:rsidP="00323B76">
      <w:pPr>
        <w:pStyle w:val="BodyText"/>
        <w:spacing w:before="177"/>
        <w:jc w:val="both"/>
        <w:rPr>
          <w:rFonts w:asciiTheme="majorHAnsi" w:hAnsiTheme="majorHAnsi"/>
          <w:sz w:val="20"/>
          <w:szCs w:val="20"/>
        </w:rPr>
      </w:pPr>
      <w:r>
        <w:rPr>
          <w:rFonts w:asciiTheme="majorHAnsi" w:hAnsiTheme="majorHAnsi"/>
          <w:color w:val="0F4B8E"/>
          <w:sz w:val="20"/>
        </w:rPr>
        <w:t>Derogada y sustituida por la Rec. 24-05</w:t>
      </w:r>
    </w:p>
    <w:p w14:paraId="3A20A63D" w14:textId="52BE78CC" w:rsidR="00E158A1" w:rsidRPr="005D5B14" w:rsidRDefault="003A5EC9" w:rsidP="00323B76">
      <w:pPr>
        <w:spacing w:before="178"/>
        <w:jc w:val="both"/>
        <w:rPr>
          <w:rFonts w:asciiTheme="majorHAnsi" w:hAnsiTheme="majorHAnsi"/>
          <w:i/>
          <w:sz w:val="20"/>
          <w:szCs w:val="20"/>
        </w:rPr>
      </w:pPr>
      <w:r>
        <w:rPr>
          <w:rFonts w:asciiTheme="majorHAnsi" w:hAnsiTheme="majorHAnsi"/>
          <w:color w:val="231F20"/>
          <w:sz w:val="20"/>
        </w:rPr>
        <w:t xml:space="preserve">Rec. 22-16: </w:t>
      </w:r>
      <w:r>
        <w:rPr>
          <w:rFonts w:asciiTheme="majorHAnsi" w:hAnsiTheme="majorHAnsi"/>
          <w:i/>
          <w:color w:val="231F20"/>
          <w:sz w:val="20"/>
        </w:rPr>
        <w:t>Recomendación de ICCAT que enmienda la Recomendación 21-18 sobre la aplicación del sistema eBCD</w:t>
      </w:r>
    </w:p>
    <w:p w14:paraId="1196537F" w14:textId="082C3C6C" w:rsidR="00E158A1" w:rsidRPr="005D5B14" w:rsidRDefault="003A5EC9" w:rsidP="00323B76">
      <w:pPr>
        <w:pStyle w:val="BodyText"/>
        <w:spacing w:before="177"/>
        <w:jc w:val="both"/>
        <w:rPr>
          <w:rFonts w:asciiTheme="majorHAnsi" w:hAnsiTheme="majorHAnsi"/>
          <w:color w:val="0F4B8E"/>
          <w:sz w:val="20"/>
          <w:szCs w:val="20"/>
        </w:rPr>
      </w:pPr>
      <w:r>
        <w:rPr>
          <w:rFonts w:asciiTheme="majorHAnsi" w:hAnsiTheme="majorHAnsi"/>
          <w:color w:val="0F4B8E"/>
          <w:sz w:val="20"/>
        </w:rPr>
        <w:t>Derogada y sustituida por la Rec. 24-16</w:t>
      </w:r>
    </w:p>
    <w:p w14:paraId="6EC10ECB" w14:textId="430D90F2" w:rsidR="00961BF6" w:rsidRPr="005D5B14" w:rsidRDefault="00961BF6" w:rsidP="00323B76">
      <w:pPr>
        <w:spacing w:before="177"/>
        <w:jc w:val="both"/>
        <w:rPr>
          <w:rFonts w:asciiTheme="majorHAnsi" w:hAnsiTheme="majorHAnsi"/>
          <w:i/>
          <w:sz w:val="20"/>
          <w:szCs w:val="20"/>
        </w:rPr>
      </w:pPr>
      <w:r>
        <w:rPr>
          <w:rFonts w:asciiTheme="majorHAnsi" w:hAnsiTheme="majorHAnsi"/>
          <w:color w:val="231F20"/>
          <w:sz w:val="20"/>
        </w:rPr>
        <w:t xml:space="preserve">Rec. 22-17: </w:t>
      </w:r>
      <w:r>
        <w:rPr>
          <w:rFonts w:asciiTheme="majorHAnsi" w:hAnsiTheme="majorHAnsi"/>
          <w:i/>
          <w:color w:val="231F20"/>
          <w:sz w:val="20"/>
        </w:rPr>
        <w:t xml:space="preserve">Recomendación de ICCAT sobre la aplicación del sistema integrado de gestión en línea </w:t>
      </w:r>
    </w:p>
    <w:p w14:paraId="7F617B5A" w14:textId="6E87CE3B" w:rsidR="00961BF6" w:rsidRPr="005D5B14" w:rsidRDefault="00961BF6" w:rsidP="00323B76">
      <w:pPr>
        <w:pStyle w:val="BodyText"/>
        <w:spacing w:before="177"/>
        <w:jc w:val="both"/>
        <w:rPr>
          <w:rFonts w:asciiTheme="majorHAnsi" w:hAnsiTheme="majorHAnsi"/>
          <w:sz w:val="20"/>
          <w:szCs w:val="20"/>
        </w:rPr>
      </w:pPr>
      <w:r>
        <w:rPr>
          <w:rFonts w:asciiTheme="majorHAnsi" w:hAnsiTheme="majorHAnsi"/>
          <w:color w:val="0F4B8E"/>
          <w:sz w:val="20"/>
        </w:rPr>
        <w:t>Derogada y sustituida por la Rec. 24-17</w:t>
      </w:r>
    </w:p>
    <w:p w14:paraId="59C62467" w14:textId="173626E5" w:rsidR="00961BF6" w:rsidRPr="005D5B14" w:rsidRDefault="00961BF6" w:rsidP="00323B76">
      <w:pPr>
        <w:spacing w:before="178"/>
        <w:jc w:val="both"/>
        <w:rPr>
          <w:rFonts w:asciiTheme="majorHAnsi" w:hAnsiTheme="majorHAnsi"/>
          <w:i/>
          <w:sz w:val="20"/>
          <w:szCs w:val="20"/>
        </w:rPr>
      </w:pPr>
      <w:r>
        <w:rPr>
          <w:rFonts w:asciiTheme="majorHAnsi" w:hAnsiTheme="majorHAnsi"/>
          <w:color w:val="231F20"/>
          <w:sz w:val="20"/>
        </w:rPr>
        <w:t xml:space="preserve">Ref. 22-19: </w:t>
      </w:r>
      <w:r>
        <w:rPr>
          <w:rFonts w:asciiTheme="majorHAnsi" w:hAnsiTheme="majorHAnsi"/>
          <w:i/>
          <w:iCs/>
          <w:color w:val="231F20"/>
          <w:sz w:val="20"/>
        </w:rPr>
        <w:t>Número de documento en la declaración de transbordo</w:t>
      </w:r>
    </w:p>
    <w:p w14:paraId="216F753C" w14:textId="06027DAA" w:rsidR="00961BF6" w:rsidRPr="005D5B14" w:rsidRDefault="00961BF6" w:rsidP="00323B76">
      <w:pPr>
        <w:pStyle w:val="BodyText"/>
        <w:spacing w:before="177"/>
        <w:jc w:val="both"/>
        <w:rPr>
          <w:rFonts w:asciiTheme="majorHAnsi" w:hAnsiTheme="majorHAnsi"/>
          <w:sz w:val="20"/>
          <w:szCs w:val="20"/>
        </w:rPr>
      </w:pPr>
      <w:r>
        <w:rPr>
          <w:rFonts w:asciiTheme="majorHAnsi" w:hAnsiTheme="majorHAnsi"/>
          <w:color w:val="0F4B8E"/>
          <w:sz w:val="20"/>
        </w:rPr>
        <w:t>Derogada y sustituida por la Rec. 24-15</w:t>
      </w:r>
    </w:p>
    <w:p w14:paraId="4BF15544" w14:textId="1090A42C" w:rsidR="00961BF6" w:rsidRPr="005D5B14" w:rsidRDefault="00961BF6" w:rsidP="00323B76">
      <w:pPr>
        <w:spacing w:before="177"/>
        <w:jc w:val="both"/>
        <w:rPr>
          <w:rFonts w:asciiTheme="majorHAnsi" w:hAnsiTheme="majorHAnsi"/>
          <w:i/>
          <w:sz w:val="20"/>
          <w:szCs w:val="20"/>
        </w:rPr>
      </w:pPr>
      <w:r>
        <w:rPr>
          <w:rFonts w:asciiTheme="majorHAnsi" w:hAnsiTheme="majorHAnsi"/>
          <w:color w:val="231F20"/>
          <w:sz w:val="20"/>
        </w:rPr>
        <w:t xml:space="preserve">Rec. 23-01: </w:t>
      </w:r>
      <w:r>
        <w:rPr>
          <w:rFonts w:asciiTheme="majorHAnsi" w:hAnsiTheme="majorHAnsi"/>
          <w:i/>
          <w:color w:val="231F20"/>
          <w:sz w:val="20"/>
        </w:rPr>
        <w:t>Recomendación de ICCAT que reemplaza la Recomendación 22-01 sobre un programa plurianual de conservación y ordenación para los túnidos tropicales</w:t>
      </w:r>
    </w:p>
    <w:p w14:paraId="0460DCB6" w14:textId="46117FD2" w:rsidR="00961BF6" w:rsidRDefault="00961BF6" w:rsidP="00323B76">
      <w:pPr>
        <w:pStyle w:val="BodyText"/>
        <w:spacing w:before="177"/>
        <w:jc w:val="both"/>
        <w:rPr>
          <w:rFonts w:asciiTheme="majorHAnsi" w:hAnsiTheme="majorHAnsi"/>
          <w:color w:val="0F4B8E"/>
          <w:sz w:val="20"/>
        </w:rPr>
      </w:pPr>
      <w:r>
        <w:rPr>
          <w:rFonts w:asciiTheme="majorHAnsi" w:hAnsiTheme="majorHAnsi"/>
          <w:color w:val="0F4B8E"/>
          <w:sz w:val="20"/>
        </w:rPr>
        <w:t>Derogada y sustituida por la Rec. 24-01</w:t>
      </w:r>
    </w:p>
    <w:p w14:paraId="708DE97E" w14:textId="77777777" w:rsidR="00284DF9" w:rsidRPr="005D5B14" w:rsidRDefault="00284DF9" w:rsidP="00323B76">
      <w:pPr>
        <w:pStyle w:val="BodyText"/>
        <w:spacing w:before="177"/>
        <w:jc w:val="both"/>
        <w:rPr>
          <w:rFonts w:asciiTheme="majorHAnsi" w:hAnsiTheme="majorHAnsi"/>
          <w:sz w:val="20"/>
          <w:szCs w:val="20"/>
        </w:rPr>
      </w:pPr>
    </w:p>
    <w:p w14:paraId="12FFDEC7" w14:textId="1ADE72E8" w:rsidR="00961BF6" w:rsidRPr="005D5B14" w:rsidRDefault="00961BF6" w:rsidP="00323B76">
      <w:pPr>
        <w:spacing w:before="178"/>
        <w:jc w:val="both"/>
        <w:rPr>
          <w:rFonts w:asciiTheme="majorHAnsi" w:hAnsiTheme="majorHAnsi"/>
          <w:i/>
          <w:sz w:val="20"/>
          <w:szCs w:val="20"/>
        </w:rPr>
      </w:pPr>
      <w:r>
        <w:rPr>
          <w:rFonts w:asciiTheme="majorHAnsi" w:hAnsiTheme="majorHAnsi"/>
          <w:color w:val="231F20"/>
          <w:sz w:val="20"/>
        </w:rPr>
        <w:lastRenderedPageBreak/>
        <w:t xml:space="preserve">Rec. 23-02: </w:t>
      </w:r>
      <w:r>
        <w:rPr>
          <w:rFonts w:asciiTheme="majorHAnsi" w:hAnsiTheme="majorHAnsi"/>
          <w:i/>
          <w:iCs/>
          <w:color w:val="231F20"/>
          <w:sz w:val="20"/>
        </w:rPr>
        <w:t>Recomendación de ICCAT sobre el plan de devolución de patudo de Brasil</w:t>
      </w:r>
    </w:p>
    <w:p w14:paraId="7D1235A8" w14:textId="4D0231F9" w:rsidR="00961BF6" w:rsidRPr="005D5B14" w:rsidRDefault="00961BF6" w:rsidP="00323B76">
      <w:pPr>
        <w:pStyle w:val="BodyText"/>
        <w:spacing w:before="177"/>
        <w:jc w:val="both"/>
        <w:rPr>
          <w:rFonts w:asciiTheme="majorHAnsi" w:hAnsiTheme="majorHAnsi"/>
          <w:color w:val="0F4B8E"/>
          <w:sz w:val="20"/>
          <w:szCs w:val="20"/>
        </w:rPr>
      </w:pPr>
      <w:r>
        <w:rPr>
          <w:rFonts w:asciiTheme="majorHAnsi" w:hAnsiTheme="majorHAnsi"/>
          <w:color w:val="0F4B8E"/>
          <w:sz w:val="20"/>
        </w:rPr>
        <w:t>Derogada y sustituida por la Rec. 24-03</w:t>
      </w:r>
    </w:p>
    <w:p w14:paraId="59FA14F9" w14:textId="5FB38526" w:rsidR="00961BF6" w:rsidRPr="005D5B14" w:rsidRDefault="00961BF6" w:rsidP="00323B76">
      <w:pPr>
        <w:spacing w:before="177"/>
        <w:jc w:val="both"/>
        <w:rPr>
          <w:rFonts w:asciiTheme="majorHAnsi" w:hAnsiTheme="majorHAnsi"/>
          <w:i/>
          <w:sz w:val="20"/>
          <w:szCs w:val="20"/>
        </w:rPr>
      </w:pPr>
      <w:r>
        <w:rPr>
          <w:rFonts w:asciiTheme="majorHAnsi" w:hAnsiTheme="majorHAnsi"/>
          <w:color w:val="231F20"/>
          <w:sz w:val="20"/>
        </w:rPr>
        <w:t>Rec. 23-04</w:t>
      </w:r>
      <w:r>
        <w:rPr>
          <w:rFonts w:asciiTheme="majorHAnsi" w:hAnsiTheme="majorHAnsi"/>
          <w:i/>
          <w:iCs/>
          <w:color w:val="231F20"/>
          <w:sz w:val="20"/>
        </w:rPr>
        <w:t>: Recomendación de ICCAT que reemplaza la Recomendación suplementaria 22-03 que amplía y enmienda la Recomendación 17-02 para la conservación del pez espada del Atlántico norte</w:t>
      </w:r>
    </w:p>
    <w:p w14:paraId="6A036F91" w14:textId="599C6BD3" w:rsidR="00961BF6" w:rsidRPr="005D5B14" w:rsidRDefault="00961BF6" w:rsidP="00323B76">
      <w:pPr>
        <w:pStyle w:val="BodyText"/>
        <w:spacing w:before="177"/>
        <w:jc w:val="both"/>
        <w:rPr>
          <w:rFonts w:asciiTheme="majorHAnsi" w:hAnsiTheme="majorHAnsi"/>
          <w:sz w:val="20"/>
          <w:szCs w:val="20"/>
        </w:rPr>
      </w:pPr>
      <w:r>
        <w:rPr>
          <w:rFonts w:asciiTheme="majorHAnsi" w:hAnsiTheme="majorHAnsi"/>
          <w:color w:val="0F4B8E"/>
          <w:sz w:val="20"/>
        </w:rPr>
        <w:t>Derogada y sustituida por la Rec. 24-10</w:t>
      </w:r>
    </w:p>
    <w:p w14:paraId="20DC0916" w14:textId="5572A54D" w:rsidR="00961BF6" w:rsidRPr="005D5B14" w:rsidRDefault="00961BF6" w:rsidP="00323B76">
      <w:pPr>
        <w:spacing w:before="178"/>
        <w:jc w:val="both"/>
        <w:rPr>
          <w:rFonts w:asciiTheme="majorHAnsi" w:hAnsiTheme="majorHAnsi"/>
          <w:i/>
          <w:sz w:val="20"/>
          <w:szCs w:val="20"/>
        </w:rPr>
      </w:pPr>
      <w:r>
        <w:rPr>
          <w:rFonts w:asciiTheme="majorHAnsi" w:hAnsiTheme="majorHAnsi"/>
          <w:color w:val="231F20"/>
          <w:sz w:val="20"/>
        </w:rPr>
        <w:t xml:space="preserve">Rec. 23-06: </w:t>
      </w:r>
      <w:r>
        <w:rPr>
          <w:rFonts w:asciiTheme="majorHAnsi" w:hAnsiTheme="majorHAnsi"/>
          <w:i/>
          <w:color w:val="231F20"/>
          <w:sz w:val="20"/>
        </w:rPr>
        <w:t>Recomendación de ICCAT que enmienda la Recomendación 22-08 sobre el establecimiento de un plan de recuperación plurianual para el atún rojo en el Atlántico este y Mediterráneo</w:t>
      </w:r>
    </w:p>
    <w:p w14:paraId="34554AB0" w14:textId="10DE16DA" w:rsidR="00961BF6" w:rsidRPr="005D5B14" w:rsidRDefault="00961BF6" w:rsidP="00323B76">
      <w:pPr>
        <w:pStyle w:val="BodyText"/>
        <w:spacing w:before="177"/>
        <w:jc w:val="both"/>
        <w:rPr>
          <w:rFonts w:asciiTheme="majorHAnsi" w:hAnsiTheme="majorHAnsi"/>
          <w:color w:val="0F4B8E"/>
          <w:sz w:val="20"/>
          <w:szCs w:val="20"/>
        </w:rPr>
      </w:pPr>
      <w:r>
        <w:rPr>
          <w:rFonts w:asciiTheme="majorHAnsi" w:hAnsiTheme="majorHAnsi"/>
          <w:color w:val="0F4B8E"/>
          <w:sz w:val="20"/>
        </w:rPr>
        <w:t>Derogada y sustituida por la Rec. 24-05</w:t>
      </w:r>
    </w:p>
    <w:p w14:paraId="7498D29E" w14:textId="571ABEBF" w:rsidR="00961BF6" w:rsidRPr="005D5B14" w:rsidRDefault="00961BF6" w:rsidP="00323B76">
      <w:pPr>
        <w:spacing w:before="178"/>
        <w:jc w:val="both"/>
        <w:rPr>
          <w:rFonts w:asciiTheme="majorHAnsi" w:hAnsiTheme="majorHAnsi"/>
          <w:i/>
          <w:sz w:val="20"/>
          <w:szCs w:val="20"/>
        </w:rPr>
      </w:pPr>
      <w:r>
        <w:rPr>
          <w:rFonts w:asciiTheme="majorHAnsi" w:hAnsiTheme="majorHAnsi"/>
          <w:color w:val="231F20"/>
          <w:sz w:val="20"/>
        </w:rPr>
        <w:t xml:space="preserve">Rec. 23-08: </w:t>
      </w:r>
      <w:r>
        <w:rPr>
          <w:rFonts w:asciiTheme="majorHAnsi" w:hAnsiTheme="majorHAnsi"/>
          <w:i/>
          <w:iCs/>
          <w:color w:val="231F20"/>
          <w:sz w:val="20"/>
        </w:rPr>
        <w:t>Recomendación de ICCAT para un proyecto piloto de cría de atún rojo</w:t>
      </w:r>
      <w:r>
        <w:rPr>
          <w:rFonts w:asciiTheme="majorHAnsi" w:hAnsiTheme="majorHAnsi"/>
          <w:color w:val="231F20"/>
          <w:sz w:val="20"/>
        </w:rPr>
        <w:t xml:space="preserve"> (Thunnus thynnus</w:t>
      </w:r>
      <w:r>
        <w:rPr>
          <w:rFonts w:asciiTheme="majorHAnsi" w:hAnsiTheme="majorHAnsi"/>
          <w:i/>
          <w:color w:val="231F20"/>
          <w:sz w:val="20"/>
        </w:rPr>
        <w:t>) en el mar Cantábrico</w:t>
      </w:r>
    </w:p>
    <w:p w14:paraId="25D4E9D1" w14:textId="075B8EFC" w:rsidR="00961BF6" w:rsidRPr="005D5B14" w:rsidRDefault="00961BF6" w:rsidP="00323B76">
      <w:pPr>
        <w:pStyle w:val="BodyText"/>
        <w:spacing w:before="177"/>
        <w:jc w:val="both"/>
        <w:rPr>
          <w:rFonts w:asciiTheme="majorHAnsi" w:hAnsiTheme="majorHAnsi"/>
          <w:sz w:val="20"/>
          <w:szCs w:val="20"/>
        </w:rPr>
      </w:pPr>
      <w:r>
        <w:rPr>
          <w:rFonts w:asciiTheme="majorHAnsi" w:hAnsiTheme="majorHAnsi"/>
          <w:color w:val="0F4B8E"/>
          <w:sz w:val="20"/>
        </w:rPr>
        <w:t>Derogada y sustituida por la Rec. 24-06</w:t>
      </w:r>
    </w:p>
    <w:p w14:paraId="50212657" w14:textId="5395644F" w:rsidR="00961BF6" w:rsidRPr="005D5B14" w:rsidRDefault="00961BF6" w:rsidP="00323B76">
      <w:pPr>
        <w:spacing w:before="178"/>
        <w:jc w:val="both"/>
        <w:rPr>
          <w:rFonts w:asciiTheme="majorHAnsi" w:hAnsiTheme="majorHAnsi"/>
          <w:i/>
          <w:sz w:val="20"/>
          <w:szCs w:val="20"/>
        </w:rPr>
      </w:pPr>
      <w:r>
        <w:rPr>
          <w:rFonts w:asciiTheme="majorHAnsi" w:hAnsiTheme="majorHAnsi"/>
          <w:color w:val="231F20"/>
          <w:sz w:val="20"/>
        </w:rPr>
        <w:t>Rec. 23-14:</w:t>
      </w:r>
      <w:r w:rsidR="001E43DE">
        <w:rPr>
          <w:rFonts w:asciiTheme="majorHAnsi" w:hAnsiTheme="majorHAnsi"/>
          <w:color w:val="231F20"/>
          <w:sz w:val="20"/>
        </w:rPr>
        <w:t xml:space="preserve"> </w:t>
      </w:r>
      <w:r>
        <w:rPr>
          <w:rFonts w:asciiTheme="majorHAnsi" w:hAnsiTheme="majorHAnsi"/>
          <w:i/>
          <w:color w:val="231F20"/>
          <w:sz w:val="20"/>
        </w:rPr>
        <w:t>Recomendación de ICCAT sobre rayas mobúlidas (familia Mobulidae) capturadas en asociación con las pesquerías de ICCAT</w:t>
      </w:r>
    </w:p>
    <w:p w14:paraId="09F3F314" w14:textId="6212218E" w:rsidR="00961BF6" w:rsidRPr="005D5B14" w:rsidRDefault="00961BF6" w:rsidP="00323B76">
      <w:pPr>
        <w:pStyle w:val="BodyText"/>
        <w:spacing w:before="177"/>
        <w:jc w:val="both"/>
        <w:rPr>
          <w:rFonts w:asciiTheme="majorHAnsi" w:hAnsiTheme="majorHAnsi"/>
          <w:sz w:val="20"/>
          <w:szCs w:val="20"/>
        </w:rPr>
      </w:pPr>
      <w:r>
        <w:rPr>
          <w:rFonts w:asciiTheme="majorHAnsi" w:hAnsiTheme="majorHAnsi"/>
          <w:color w:val="0F4B8E"/>
          <w:sz w:val="20"/>
        </w:rPr>
        <w:t>Derogada y sustituida por la Rec. 24-12</w:t>
      </w:r>
    </w:p>
    <w:p w14:paraId="0D9118C4" w14:textId="77777777" w:rsidR="00243214" w:rsidRPr="005D5B14" w:rsidRDefault="00243214" w:rsidP="00243214">
      <w:pPr>
        <w:pStyle w:val="BodyText"/>
        <w:spacing w:before="177"/>
        <w:ind w:left="133"/>
        <w:jc w:val="both"/>
        <w:rPr>
          <w:rFonts w:asciiTheme="majorHAnsi" w:hAnsiTheme="majorHAnsi"/>
          <w:sz w:val="20"/>
          <w:szCs w:val="20"/>
        </w:rPr>
      </w:pPr>
    </w:p>
    <w:p w14:paraId="75F5E7FA" w14:textId="5106264C" w:rsidR="00E158A1" w:rsidRPr="005D5B14" w:rsidRDefault="003A5EC9" w:rsidP="000C3A47">
      <w:pPr>
        <w:pStyle w:val="Heading1"/>
        <w:spacing w:before="91"/>
        <w:ind w:left="0"/>
        <w:jc w:val="both"/>
        <w:rPr>
          <w:rFonts w:asciiTheme="majorHAnsi" w:hAnsiTheme="majorHAnsi"/>
          <w:sz w:val="20"/>
          <w:szCs w:val="20"/>
        </w:rPr>
      </w:pPr>
      <w:r>
        <w:rPr>
          <w:rFonts w:asciiTheme="majorHAnsi" w:hAnsiTheme="majorHAnsi"/>
          <w:color w:val="231F20"/>
          <w:sz w:val="20"/>
        </w:rPr>
        <w:t>Sugerencias para una futura simplificación de las Recomendaciones</w:t>
      </w:r>
    </w:p>
    <w:p w14:paraId="75D166D1" w14:textId="77777777" w:rsidR="00E158A1" w:rsidRPr="005D5B14" w:rsidRDefault="00E158A1" w:rsidP="000C3A47">
      <w:pPr>
        <w:pStyle w:val="BodyText"/>
        <w:spacing w:before="19"/>
        <w:jc w:val="both"/>
        <w:rPr>
          <w:rFonts w:asciiTheme="majorHAnsi" w:hAnsiTheme="majorHAnsi"/>
          <w:b/>
          <w:sz w:val="20"/>
          <w:szCs w:val="20"/>
        </w:rPr>
      </w:pPr>
    </w:p>
    <w:p w14:paraId="3B091AF0" w14:textId="1FBFD7FD" w:rsidR="00EB0373" w:rsidRPr="005D5B14" w:rsidRDefault="00EB47F8" w:rsidP="002551C5">
      <w:pPr>
        <w:pStyle w:val="BodyText"/>
        <w:numPr>
          <w:ilvl w:val="0"/>
          <w:numId w:val="3"/>
        </w:numPr>
        <w:spacing w:line="256" w:lineRule="auto"/>
        <w:ind w:left="426" w:right="132" w:hanging="426"/>
        <w:jc w:val="both"/>
        <w:rPr>
          <w:rFonts w:asciiTheme="majorHAnsi" w:hAnsiTheme="majorHAnsi"/>
          <w:sz w:val="20"/>
          <w:szCs w:val="20"/>
        </w:rPr>
      </w:pPr>
      <w:r>
        <w:rPr>
          <w:rFonts w:asciiTheme="majorHAnsi" w:hAnsiTheme="majorHAnsi"/>
          <w:sz w:val="20"/>
        </w:rPr>
        <w:t xml:space="preserve">Atún rojo del Atlántico este y Mediterráneo: En lo que respecta a los plazos y a la comunicación de datos en virtud de los requisitos M:BFT02 y M:BFT04, cabe señalar que tras la adopción de la Recomendación 21-08, que sustituyó a la Recomendación 06-07, ya no existe un plazo específico para comunicar los datos de introducción en jaulas y </w:t>
      </w:r>
      <w:r w:rsidR="001E388F">
        <w:rPr>
          <w:rFonts w:asciiTheme="majorHAnsi" w:hAnsiTheme="majorHAnsi"/>
          <w:sz w:val="20"/>
        </w:rPr>
        <w:t xml:space="preserve">de </w:t>
      </w:r>
      <w:r>
        <w:rPr>
          <w:rFonts w:asciiTheme="majorHAnsi" w:hAnsiTheme="majorHAnsi"/>
          <w:sz w:val="20"/>
        </w:rPr>
        <w:t>cría.</w:t>
      </w:r>
    </w:p>
    <w:p w14:paraId="70915068" w14:textId="77777777" w:rsidR="00EB0373" w:rsidRPr="005D5B14" w:rsidRDefault="00EB0373" w:rsidP="00EB0373">
      <w:pPr>
        <w:pStyle w:val="BodyText"/>
        <w:spacing w:line="256" w:lineRule="auto"/>
        <w:ind w:left="720" w:right="132"/>
        <w:jc w:val="both"/>
        <w:rPr>
          <w:rFonts w:asciiTheme="majorHAnsi" w:hAnsiTheme="majorHAnsi"/>
          <w:sz w:val="20"/>
          <w:szCs w:val="20"/>
        </w:rPr>
      </w:pPr>
    </w:p>
    <w:p w14:paraId="4C07F2B7" w14:textId="77777777" w:rsidR="00790E78" w:rsidRPr="005D5B14" w:rsidRDefault="00790E78" w:rsidP="006C2BF1">
      <w:pPr>
        <w:pStyle w:val="BodyText"/>
        <w:spacing w:line="256" w:lineRule="auto"/>
        <w:ind w:right="132" w:firstLine="426"/>
        <w:jc w:val="both"/>
        <w:rPr>
          <w:rFonts w:asciiTheme="majorHAnsi" w:hAnsiTheme="majorHAnsi"/>
          <w:sz w:val="20"/>
          <w:szCs w:val="20"/>
        </w:rPr>
      </w:pPr>
      <w:r>
        <w:rPr>
          <w:rFonts w:asciiTheme="majorHAnsi" w:hAnsiTheme="majorHAnsi"/>
          <w:sz w:val="20"/>
        </w:rPr>
        <w:t>Con arreglo a los párrafos 24 y 188 de la Rec. 24-05:</w:t>
      </w:r>
    </w:p>
    <w:p w14:paraId="67F72381" w14:textId="77777777" w:rsidR="00790E78" w:rsidRPr="005D5B14" w:rsidRDefault="00790E78" w:rsidP="00790E78">
      <w:pPr>
        <w:pStyle w:val="BodyText"/>
        <w:spacing w:line="256" w:lineRule="auto"/>
        <w:ind w:left="720" w:right="132"/>
        <w:jc w:val="both"/>
        <w:rPr>
          <w:rFonts w:asciiTheme="majorHAnsi" w:hAnsiTheme="majorHAnsi"/>
          <w:sz w:val="20"/>
          <w:szCs w:val="20"/>
        </w:rPr>
      </w:pPr>
    </w:p>
    <w:p w14:paraId="0F1A0194" w14:textId="143FECE6" w:rsidR="00790E78" w:rsidRPr="005D5B14" w:rsidRDefault="00790E78" w:rsidP="006C2BF1">
      <w:pPr>
        <w:pStyle w:val="BodyText"/>
        <w:spacing w:line="256" w:lineRule="auto"/>
        <w:ind w:left="426" w:right="132"/>
        <w:jc w:val="both"/>
        <w:rPr>
          <w:rFonts w:asciiTheme="majorHAnsi" w:hAnsiTheme="majorHAnsi" w:cs="Times New Roman"/>
          <w:i/>
          <w:iCs/>
          <w:sz w:val="20"/>
          <w:szCs w:val="20"/>
        </w:rPr>
      </w:pPr>
      <w:r>
        <w:rPr>
          <w:rFonts w:asciiTheme="majorHAnsi" w:hAnsiTheme="majorHAnsi"/>
          <w:i/>
          <w:sz w:val="20"/>
        </w:rPr>
        <w:t>"24.   La Secretaría de ICCAT recopilará estadísticas sobre la cantidad anual de introducción en jaulas (entrada de peces capturados en estado salvaje), de sacrificio y de exportación, por CPC de las granjas, utilizando los datos del sistema eBCD. El Grupo de trabajo permanente sobre sistemas de documentación de capturas (CDS WG) considerará el desarrollo de dicha función de extracción de datos y, hasta que dicha función esté disponible, cada CPC de las granjas comunicará estas estadísticas a la Secretaría de ICCAT. Estas estadísticas estarán disponibles en el sitio web de ICCAT y estarán sujetas a requisitos de confidencialidad.»</w:t>
      </w:r>
    </w:p>
    <w:p w14:paraId="2E461AD4" w14:textId="77777777" w:rsidR="006C2BF1" w:rsidRPr="005D5B14" w:rsidRDefault="006C2BF1" w:rsidP="006C2BF1">
      <w:pPr>
        <w:pStyle w:val="BodyText"/>
        <w:spacing w:line="256" w:lineRule="auto"/>
        <w:ind w:right="132" w:firstLine="426"/>
        <w:jc w:val="both"/>
        <w:rPr>
          <w:rFonts w:asciiTheme="majorHAnsi" w:hAnsiTheme="majorHAnsi" w:cs="Times New Roman"/>
          <w:i/>
          <w:iCs/>
          <w:sz w:val="20"/>
          <w:szCs w:val="20"/>
        </w:rPr>
      </w:pPr>
    </w:p>
    <w:p w14:paraId="3C8FB2D6" w14:textId="2AF9051E" w:rsidR="00790E78" w:rsidRPr="005D5B14" w:rsidRDefault="00790E78" w:rsidP="006C2BF1">
      <w:pPr>
        <w:pStyle w:val="BodyText"/>
        <w:spacing w:line="256" w:lineRule="auto"/>
        <w:ind w:right="132" w:firstLine="426"/>
        <w:jc w:val="both"/>
        <w:rPr>
          <w:rFonts w:asciiTheme="majorHAnsi" w:hAnsiTheme="majorHAnsi" w:cs="Times New Roman"/>
          <w:i/>
          <w:iCs/>
          <w:sz w:val="20"/>
          <w:szCs w:val="20"/>
        </w:rPr>
      </w:pPr>
      <w:r>
        <w:rPr>
          <w:rFonts w:asciiTheme="majorHAnsi" w:hAnsiTheme="majorHAnsi"/>
          <w:i/>
          <w:sz w:val="20"/>
        </w:rPr>
        <w:t>[…]</w:t>
      </w:r>
    </w:p>
    <w:p w14:paraId="14028B08" w14:textId="77777777" w:rsidR="006C2BF1" w:rsidRPr="005D5B14" w:rsidRDefault="006C2BF1" w:rsidP="006C2BF1">
      <w:pPr>
        <w:pStyle w:val="BodyText"/>
        <w:spacing w:line="256" w:lineRule="auto"/>
        <w:ind w:right="132" w:firstLine="426"/>
        <w:jc w:val="both"/>
        <w:rPr>
          <w:rFonts w:asciiTheme="majorHAnsi" w:hAnsiTheme="majorHAnsi" w:cs="Times New Roman"/>
          <w:b/>
          <w:bCs/>
          <w:i/>
          <w:iCs/>
          <w:sz w:val="20"/>
          <w:szCs w:val="20"/>
        </w:rPr>
      </w:pPr>
    </w:p>
    <w:p w14:paraId="6B63E39E" w14:textId="52800311" w:rsidR="00790E78" w:rsidRPr="005D5B14" w:rsidRDefault="00790E78" w:rsidP="006C2BF1">
      <w:pPr>
        <w:pStyle w:val="BodyText"/>
        <w:spacing w:line="256" w:lineRule="auto"/>
        <w:ind w:right="132" w:firstLine="426"/>
        <w:jc w:val="both"/>
        <w:rPr>
          <w:rFonts w:asciiTheme="majorHAnsi" w:hAnsiTheme="majorHAnsi" w:cs="Times New Roman"/>
          <w:b/>
          <w:bCs/>
          <w:i/>
          <w:iCs/>
          <w:sz w:val="20"/>
          <w:szCs w:val="20"/>
        </w:rPr>
      </w:pPr>
      <w:r>
        <w:rPr>
          <w:rFonts w:asciiTheme="majorHAnsi" w:hAnsiTheme="majorHAnsi"/>
          <w:b/>
          <w:i/>
          <w:sz w:val="20"/>
        </w:rPr>
        <w:t>Informe de introducción en jaula</w:t>
      </w:r>
    </w:p>
    <w:p w14:paraId="5B56A022" w14:textId="77777777" w:rsidR="006C2BF1" w:rsidRPr="005D5B14" w:rsidRDefault="006C2BF1" w:rsidP="006C2BF1">
      <w:pPr>
        <w:pStyle w:val="BodyText"/>
        <w:spacing w:line="256" w:lineRule="auto"/>
        <w:ind w:right="132" w:firstLine="360"/>
        <w:jc w:val="both"/>
        <w:rPr>
          <w:rFonts w:asciiTheme="majorHAnsi" w:hAnsiTheme="majorHAnsi" w:cs="Times New Roman"/>
          <w:i/>
          <w:iCs/>
          <w:sz w:val="20"/>
          <w:szCs w:val="20"/>
        </w:rPr>
      </w:pPr>
    </w:p>
    <w:p w14:paraId="642666F0" w14:textId="30DA5468" w:rsidR="00790E78" w:rsidRPr="005D5B14" w:rsidRDefault="00790E78" w:rsidP="006C2BF1">
      <w:pPr>
        <w:pStyle w:val="BodyText"/>
        <w:spacing w:line="256" w:lineRule="auto"/>
        <w:ind w:left="360" w:right="132"/>
        <w:jc w:val="both"/>
        <w:rPr>
          <w:rFonts w:asciiTheme="majorHAnsi" w:hAnsiTheme="majorHAnsi"/>
          <w:sz w:val="20"/>
          <w:szCs w:val="20"/>
        </w:rPr>
      </w:pPr>
      <w:r>
        <w:rPr>
          <w:rFonts w:asciiTheme="majorHAnsi" w:hAnsiTheme="majorHAnsi"/>
          <w:i/>
          <w:sz w:val="20"/>
        </w:rPr>
        <w:t xml:space="preserve">«188.  En los 15 días posteriores a la finalización de las órdenes de liberación, la autoridad competente de la CPC de la granja expedirá un informe de introducción en jaula para cada operación de introducción en jaula individual o, en el caso de una JFO o de almadrabas de la misma CPC/Estado miembro de la UE, para el conjunto completo de operaciones de introducción en jaulas relacionado con dicha JFO o dichas almadrabas. </w:t>
      </w:r>
      <w:r>
        <w:rPr>
          <w:rFonts w:asciiTheme="majorHAnsi" w:hAnsiTheme="majorHAnsi"/>
          <w:i/>
          <w:iCs/>
          <w:sz w:val="20"/>
        </w:rPr>
        <w:t>El informe de introducción en jaula incluirá la información mencionada en el párrafo 3 del Anexo 9 y se comunicará a la autoridad competente de la CPC del pabellón de captura o de la almadraba y a la Secretaría de ICCAT.»</w:t>
      </w:r>
    </w:p>
    <w:p w14:paraId="7A643D96" w14:textId="77777777" w:rsidR="00790E78" w:rsidRPr="005D5B14" w:rsidRDefault="00790E78" w:rsidP="00790E78">
      <w:pPr>
        <w:pStyle w:val="BodyText"/>
        <w:spacing w:before="4"/>
        <w:ind w:firstLine="720"/>
        <w:jc w:val="both"/>
        <w:rPr>
          <w:rFonts w:asciiTheme="majorHAnsi" w:hAnsiTheme="majorHAnsi"/>
          <w:sz w:val="20"/>
          <w:szCs w:val="20"/>
        </w:rPr>
      </w:pPr>
    </w:p>
    <w:p w14:paraId="1E65269F" w14:textId="438CB989" w:rsidR="00790E78" w:rsidRPr="005D5B14" w:rsidRDefault="00790E78" w:rsidP="00DB76AF">
      <w:pPr>
        <w:pStyle w:val="BodyText"/>
        <w:spacing w:before="4"/>
        <w:ind w:left="360"/>
        <w:jc w:val="both"/>
        <w:rPr>
          <w:rFonts w:asciiTheme="majorHAnsi" w:hAnsiTheme="majorHAnsi"/>
          <w:sz w:val="20"/>
          <w:szCs w:val="20"/>
        </w:rPr>
      </w:pPr>
      <w:r>
        <w:rPr>
          <w:rFonts w:asciiTheme="majorHAnsi" w:hAnsiTheme="majorHAnsi"/>
          <w:sz w:val="20"/>
        </w:rPr>
        <w:t>La Secretaría considera que M:BFT02 y M:BFT04 representan requisitos de</w:t>
      </w:r>
      <w:r w:rsidR="00031BE6">
        <w:rPr>
          <w:rFonts w:asciiTheme="majorHAnsi" w:hAnsiTheme="majorHAnsi"/>
          <w:sz w:val="20"/>
        </w:rPr>
        <w:t xml:space="preserve"> comunicación de</w:t>
      </w:r>
      <w:r>
        <w:rPr>
          <w:rFonts w:asciiTheme="majorHAnsi" w:hAnsiTheme="majorHAnsi"/>
          <w:sz w:val="20"/>
        </w:rPr>
        <w:t xml:space="preserve"> información relacionados pero distintos:</w:t>
      </w:r>
    </w:p>
    <w:p w14:paraId="2987552A" w14:textId="77777777" w:rsidR="00790E78" w:rsidRPr="005D5B14" w:rsidRDefault="00790E78" w:rsidP="00790E78">
      <w:pPr>
        <w:pStyle w:val="BodyText"/>
        <w:spacing w:before="4"/>
        <w:jc w:val="both"/>
        <w:rPr>
          <w:rFonts w:asciiTheme="majorHAnsi" w:hAnsiTheme="majorHAnsi"/>
          <w:sz w:val="20"/>
          <w:szCs w:val="20"/>
        </w:rPr>
      </w:pPr>
    </w:p>
    <w:p w14:paraId="198BEF46" w14:textId="7D0668CC" w:rsidR="00E158A1" w:rsidRPr="005D5B14" w:rsidRDefault="00790E78" w:rsidP="00DB76AF">
      <w:pPr>
        <w:pStyle w:val="BodyText"/>
        <w:numPr>
          <w:ilvl w:val="0"/>
          <w:numId w:val="3"/>
        </w:numPr>
        <w:spacing w:line="256" w:lineRule="auto"/>
        <w:ind w:right="132"/>
        <w:jc w:val="both"/>
        <w:rPr>
          <w:rFonts w:asciiTheme="majorHAnsi" w:hAnsiTheme="majorHAnsi"/>
          <w:sz w:val="20"/>
          <w:szCs w:val="20"/>
        </w:rPr>
      </w:pPr>
      <w:r>
        <w:rPr>
          <w:rFonts w:asciiTheme="majorHAnsi" w:hAnsiTheme="majorHAnsi"/>
          <w:sz w:val="20"/>
        </w:rPr>
        <w:t xml:space="preserve">M:BFT04 - Informe de introducción en jaula de atún rojo, se refiere únicamente a la información de introducción en jaula, que incluye tanto las operaciones de liberación como las de introducción </w:t>
      </w:r>
      <w:r>
        <w:rPr>
          <w:rFonts w:asciiTheme="majorHAnsi" w:hAnsiTheme="majorHAnsi"/>
          <w:sz w:val="20"/>
        </w:rPr>
        <w:lastRenderedPageBreak/>
        <w:t>en jaula posteriores o sólo la introducción en jaula cuando no se produce liberación. El plazo se establece explícitamente como 15 días después de la finalización de la liberación o, si no hay liberación, implica 15 días después de la operación de introducción en jaulas.</w:t>
      </w:r>
    </w:p>
    <w:p w14:paraId="417EB8CC" w14:textId="77777777" w:rsidR="00DB76AF" w:rsidRPr="005D5B14" w:rsidRDefault="00DB76AF" w:rsidP="009F5D54">
      <w:pPr>
        <w:pStyle w:val="BodyText"/>
        <w:spacing w:before="4"/>
        <w:ind w:left="851"/>
        <w:jc w:val="both"/>
        <w:rPr>
          <w:rFonts w:asciiTheme="majorHAnsi" w:hAnsiTheme="majorHAnsi"/>
          <w:sz w:val="20"/>
          <w:szCs w:val="20"/>
        </w:rPr>
      </w:pPr>
    </w:p>
    <w:p w14:paraId="171A4BCF" w14:textId="008C172C" w:rsidR="00790E78" w:rsidRPr="005D5B14" w:rsidRDefault="00790E78" w:rsidP="00DB76AF">
      <w:pPr>
        <w:pStyle w:val="BodyText"/>
        <w:numPr>
          <w:ilvl w:val="0"/>
          <w:numId w:val="3"/>
        </w:numPr>
        <w:spacing w:line="256" w:lineRule="auto"/>
        <w:ind w:right="132"/>
        <w:jc w:val="both"/>
        <w:rPr>
          <w:rFonts w:asciiTheme="majorHAnsi" w:hAnsiTheme="majorHAnsi"/>
          <w:sz w:val="20"/>
          <w:szCs w:val="20"/>
        </w:rPr>
      </w:pPr>
      <w:r>
        <w:rPr>
          <w:rFonts w:asciiTheme="majorHAnsi" w:hAnsiTheme="majorHAnsi"/>
          <w:sz w:val="20"/>
        </w:rPr>
        <w:t>M:BFT02 - Informes de cría de atún rojo, se refiere a otras actividades de cría dentro de la granja, como transferencias dentro de la granja, traspasos, sacrificios, etc., tal y como figuran en la tabla de eventos del formulario CP09. No están explícitamente contemplados en la actual Recomendación con un plazo definido.</w:t>
      </w:r>
    </w:p>
    <w:p w14:paraId="33C59AA4" w14:textId="77777777" w:rsidR="00790E78" w:rsidRPr="005D5B14" w:rsidRDefault="00790E78" w:rsidP="00790E78">
      <w:pPr>
        <w:pStyle w:val="ListParagraph"/>
        <w:ind w:left="1440" w:firstLine="0"/>
        <w:rPr>
          <w:rFonts w:asciiTheme="majorHAnsi" w:hAnsiTheme="majorHAnsi"/>
          <w:sz w:val="20"/>
          <w:szCs w:val="20"/>
        </w:rPr>
      </w:pPr>
    </w:p>
    <w:p w14:paraId="7B13D9ED" w14:textId="6AF1BA7C" w:rsidR="0012438E" w:rsidRPr="005D5B14" w:rsidRDefault="001A418E" w:rsidP="001A418E">
      <w:pPr>
        <w:pStyle w:val="BodyText"/>
        <w:spacing w:before="4"/>
        <w:ind w:left="709"/>
        <w:jc w:val="both"/>
        <w:rPr>
          <w:rFonts w:asciiTheme="majorHAnsi" w:hAnsiTheme="majorHAnsi"/>
          <w:sz w:val="20"/>
          <w:szCs w:val="20"/>
        </w:rPr>
      </w:pPr>
      <w:r>
        <w:rPr>
          <w:rFonts w:asciiTheme="majorHAnsi" w:hAnsiTheme="majorHAnsi"/>
          <w:sz w:val="20"/>
        </w:rPr>
        <w:t>A</w:t>
      </w:r>
      <w:r w:rsidR="0012438E">
        <w:rPr>
          <w:rFonts w:asciiTheme="majorHAnsi" w:hAnsiTheme="majorHAnsi"/>
          <w:sz w:val="20"/>
        </w:rPr>
        <w:t xml:space="preserve">unque el sitio web de ICCAT indica actualmente una fecha límite para M:BFT02, esto puede parecer vago o redundante, ya que las operaciones de </w:t>
      </w:r>
      <w:r w:rsidR="008A0480">
        <w:rPr>
          <w:rFonts w:asciiTheme="majorHAnsi" w:hAnsiTheme="majorHAnsi"/>
          <w:sz w:val="20"/>
        </w:rPr>
        <w:t>introducción</w:t>
      </w:r>
      <w:r w:rsidR="0012438E">
        <w:rPr>
          <w:rFonts w:asciiTheme="majorHAnsi" w:hAnsiTheme="majorHAnsi"/>
          <w:sz w:val="20"/>
        </w:rPr>
        <w:t xml:space="preserve"> en jaulas y liberación ya se abordan en M:BFT04. La falta de un plazo claramente definido en la Recomendación actual podría inducir a confusión. Podría ser útil aclarar los datos específicos necesarios y establecer un plazo explícito para estas operaciones adicionales en la nueva Recomendación </w:t>
      </w:r>
      <w:r w:rsidR="00105F9D">
        <w:rPr>
          <w:rFonts w:asciiTheme="majorHAnsi" w:hAnsiTheme="majorHAnsi"/>
          <w:sz w:val="20"/>
        </w:rPr>
        <w:t>de atún rojo del este</w:t>
      </w:r>
      <w:r w:rsidR="0012438E">
        <w:rPr>
          <w:rFonts w:asciiTheme="majorHAnsi" w:hAnsiTheme="majorHAnsi"/>
          <w:sz w:val="20"/>
        </w:rPr>
        <w:t xml:space="preserve"> que se elaborará este año.</w:t>
      </w:r>
    </w:p>
    <w:p w14:paraId="69D932E1" w14:textId="77777777" w:rsidR="00413C9A" w:rsidRPr="005D5B14" w:rsidRDefault="00413C9A" w:rsidP="00790E78">
      <w:pPr>
        <w:pStyle w:val="BodyText"/>
        <w:spacing w:before="4"/>
        <w:ind w:left="720"/>
        <w:jc w:val="both"/>
        <w:rPr>
          <w:rFonts w:asciiTheme="majorHAnsi" w:hAnsiTheme="majorHAnsi"/>
          <w:sz w:val="20"/>
          <w:szCs w:val="20"/>
        </w:rPr>
      </w:pPr>
    </w:p>
    <w:p w14:paraId="3BCE8DD3" w14:textId="542CDC4B" w:rsidR="009A43AA" w:rsidRPr="005D5B14" w:rsidRDefault="009F37F9" w:rsidP="00454874">
      <w:pPr>
        <w:pStyle w:val="BodyText"/>
        <w:numPr>
          <w:ilvl w:val="0"/>
          <w:numId w:val="3"/>
        </w:numPr>
        <w:spacing w:line="256" w:lineRule="auto"/>
        <w:ind w:right="132"/>
        <w:jc w:val="both"/>
        <w:rPr>
          <w:rFonts w:asciiTheme="majorHAnsi" w:hAnsiTheme="majorHAnsi"/>
          <w:sz w:val="20"/>
          <w:szCs w:val="20"/>
        </w:rPr>
      </w:pPr>
      <w:r>
        <w:rPr>
          <w:rFonts w:asciiTheme="majorHAnsi" w:hAnsiTheme="majorHAnsi"/>
          <w:sz w:val="20"/>
        </w:rPr>
        <w:t>Túnidos tropicales: Para reducir la actual carga de comunicación de las CPC, así como para minimizar la redundancia y las discrepancias en los datos presentados en virtud de los requisitos M:TRO09 y M:TRO13, se sugiere que los datos de captura de túnidos tropicales se comuniquen exclusivamente con periodicidad mensual hasta que se haya alcanzado el 80 % del límite de captura de patudo de la CPC. A partir de ese momento, los informes de capturas serían semanales.</w:t>
      </w:r>
    </w:p>
    <w:p w14:paraId="7E23B529" w14:textId="77777777" w:rsidR="009A43AA" w:rsidRPr="008A5367" w:rsidRDefault="009A43AA" w:rsidP="009A43AA">
      <w:pPr>
        <w:pStyle w:val="BodyText"/>
        <w:spacing w:line="256" w:lineRule="auto"/>
        <w:ind w:left="720" w:right="132"/>
        <w:jc w:val="both"/>
        <w:rPr>
          <w:rFonts w:asciiTheme="majorHAnsi" w:hAnsiTheme="majorHAnsi"/>
          <w:sz w:val="20"/>
          <w:szCs w:val="20"/>
        </w:rPr>
      </w:pPr>
    </w:p>
    <w:p w14:paraId="318E57F9" w14:textId="3AE9DA1C" w:rsidR="009A43AA" w:rsidRPr="005D5B14" w:rsidRDefault="009A43AA" w:rsidP="009A43AA">
      <w:pPr>
        <w:pStyle w:val="BodyText"/>
        <w:spacing w:line="256" w:lineRule="auto"/>
        <w:ind w:left="720" w:right="132"/>
        <w:jc w:val="both"/>
        <w:rPr>
          <w:rFonts w:asciiTheme="majorHAnsi" w:hAnsiTheme="majorHAnsi"/>
          <w:sz w:val="20"/>
          <w:szCs w:val="20"/>
        </w:rPr>
      </w:pPr>
      <w:r>
        <w:rPr>
          <w:rFonts w:asciiTheme="majorHAnsi" w:hAnsiTheme="majorHAnsi"/>
          <w:sz w:val="20"/>
        </w:rPr>
        <w:t>Los párrafos 15 y 16 de la Recomendación 24-01 podrían modificarse del siguiente modo:</w:t>
      </w:r>
    </w:p>
    <w:p w14:paraId="443CD28C" w14:textId="77777777" w:rsidR="00A816D0" w:rsidRPr="005D5B14" w:rsidRDefault="00A816D0" w:rsidP="00A816D0">
      <w:pPr>
        <w:pStyle w:val="BodyText"/>
        <w:spacing w:line="256" w:lineRule="auto"/>
        <w:ind w:left="720" w:right="132"/>
        <w:jc w:val="both"/>
        <w:rPr>
          <w:rFonts w:asciiTheme="majorHAnsi" w:hAnsiTheme="majorHAnsi"/>
          <w:sz w:val="20"/>
          <w:szCs w:val="20"/>
        </w:rPr>
      </w:pPr>
    </w:p>
    <w:p w14:paraId="048B042C" w14:textId="5212AB5F" w:rsidR="000D7F9D" w:rsidRPr="005D5B14" w:rsidRDefault="009F37F9" w:rsidP="003B7414">
      <w:pPr>
        <w:pStyle w:val="BodyText"/>
        <w:spacing w:line="256" w:lineRule="auto"/>
        <w:ind w:left="720" w:right="132"/>
        <w:jc w:val="both"/>
        <w:rPr>
          <w:rFonts w:asciiTheme="majorHAnsi" w:hAnsiTheme="majorHAnsi" w:cs="Times New Roman"/>
          <w:i/>
          <w:iCs/>
          <w:sz w:val="20"/>
          <w:szCs w:val="20"/>
        </w:rPr>
      </w:pPr>
      <w:r>
        <w:rPr>
          <w:rFonts w:asciiTheme="majorHAnsi" w:hAnsiTheme="majorHAnsi"/>
          <w:i/>
          <w:sz w:val="20"/>
        </w:rPr>
        <w:t>15. Las CPC comunicarán mensualmente a la Secretaría la cantidad de túnidos tropicales por especies capturada por los buques que enarbolan su pabellón en el mes posterior al fin del periodo durante el cual se realizaron las capturas.</w:t>
      </w:r>
    </w:p>
    <w:p w14:paraId="031A4059" w14:textId="77777777" w:rsidR="003B7414" w:rsidRPr="005D5B14" w:rsidRDefault="003B7414" w:rsidP="003B7414">
      <w:pPr>
        <w:pStyle w:val="BodyText"/>
        <w:spacing w:line="256" w:lineRule="auto"/>
        <w:ind w:right="132" w:firstLine="720"/>
        <w:jc w:val="both"/>
        <w:rPr>
          <w:rFonts w:asciiTheme="majorHAnsi" w:hAnsiTheme="majorHAnsi" w:cs="Times New Roman"/>
          <w:i/>
          <w:iCs/>
          <w:sz w:val="20"/>
          <w:szCs w:val="20"/>
        </w:rPr>
      </w:pPr>
    </w:p>
    <w:p w14:paraId="15A14350" w14:textId="6C2C85EA" w:rsidR="009F37F9" w:rsidRPr="00070CB1" w:rsidRDefault="009F37F9" w:rsidP="003B7414">
      <w:pPr>
        <w:pStyle w:val="BodyText"/>
        <w:spacing w:line="256" w:lineRule="auto"/>
        <w:ind w:left="720" w:right="132"/>
        <w:jc w:val="both"/>
        <w:rPr>
          <w:rFonts w:asciiTheme="majorHAnsi" w:hAnsiTheme="majorHAnsi"/>
          <w:sz w:val="20"/>
          <w:szCs w:val="20"/>
        </w:rPr>
      </w:pPr>
      <w:r w:rsidRPr="00070CB1">
        <w:rPr>
          <w:rFonts w:asciiTheme="majorHAnsi" w:hAnsiTheme="majorHAnsi"/>
          <w:i/>
          <w:sz w:val="20"/>
          <w:szCs w:val="20"/>
        </w:rPr>
        <w:t xml:space="preserve">16. </w:t>
      </w:r>
      <w:r w:rsidRPr="00070CB1">
        <w:rPr>
          <w:i/>
          <w:iCs/>
          <w:sz w:val="20"/>
          <w:szCs w:val="20"/>
        </w:rPr>
        <w:t>No obstante lo dispuesto en el párrafo 15, las CPC informarán semanalmente una vez alcanzado el 80 % de sus límites de captura de patudo.</w:t>
      </w:r>
      <w:r w:rsidRPr="00070CB1">
        <w:rPr>
          <w:rFonts w:asciiTheme="majorHAnsi" w:hAnsiTheme="majorHAnsi"/>
          <w:sz w:val="20"/>
          <w:szCs w:val="20"/>
        </w:rPr>
        <w:t xml:space="preserve"> </w:t>
      </w:r>
    </w:p>
    <w:p w14:paraId="6E20A41D" w14:textId="77777777" w:rsidR="00790E78" w:rsidRPr="005D5B14" w:rsidRDefault="00790E78" w:rsidP="00790E78">
      <w:pPr>
        <w:pStyle w:val="BodyText"/>
        <w:spacing w:before="4"/>
        <w:ind w:left="720"/>
        <w:jc w:val="both"/>
        <w:rPr>
          <w:rFonts w:asciiTheme="majorHAnsi" w:hAnsiTheme="majorHAnsi"/>
          <w:sz w:val="20"/>
          <w:szCs w:val="20"/>
        </w:rPr>
      </w:pPr>
    </w:p>
    <w:p w14:paraId="0CE0F625" w14:textId="299EFC0D" w:rsidR="004662A0" w:rsidRPr="000216FC" w:rsidRDefault="003A5EC9" w:rsidP="004662A0">
      <w:pPr>
        <w:pStyle w:val="BodyText"/>
        <w:numPr>
          <w:ilvl w:val="0"/>
          <w:numId w:val="3"/>
        </w:numPr>
        <w:spacing w:before="4" w:line="256" w:lineRule="auto"/>
        <w:ind w:right="132"/>
        <w:jc w:val="both"/>
        <w:rPr>
          <w:rFonts w:asciiTheme="majorHAnsi" w:hAnsiTheme="majorHAnsi"/>
          <w:sz w:val="20"/>
          <w:szCs w:val="20"/>
        </w:rPr>
      </w:pPr>
      <w:r w:rsidRPr="000216FC">
        <w:rPr>
          <w:rFonts w:asciiTheme="majorHAnsi" w:hAnsiTheme="majorHAnsi"/>
          <w:color w:val="231F20"/>
          <w:sz w:val="20"/>
        </w:rPr>
        <w:t xml:space="preserve">Atún blanco del Mediterráneo: Las disposiciones que definen los requisitos M:ALB09 y M:ALB10, relativos al envío de datos de capturas mensuales y trimestrales, respectivamente, de atún blanco del Mediterráneo, así como la obligación de las CPC de notificar a la Secretaría de ICCAT cuando hayan alcanzado el 80 % del TAC, no se encuentran recogidas en la Rec. 24-08, sino en el </w:t>
      </w:r>
      <w:r w:rsidR="001F09B0">
        <w:rPr>
          <w:rFonts w:asciiTheme="majorHAnsi" w:hAnsiTheme="majorHAnsi"/>
          <w:color w:val="231F20"/>
          <w:sz w:val="20"/>
        </w:rPr>
        <w:t>I</w:t>
      </w:r>
      <w:r w:rsidRPr="000216FC">
        <w:rPr>
          <w:rFonts w:asciiTheme="majorHAnsi" w:hAnsiTheme="majorHAnsi"/>
          <w:color w:val="231F20"/>
          <w:sz w:val="20"/>
        </w:rPr>
        <w:t xml:space="preserve">nforme de la reunión del Grupo de trabajo </w:t>
      </w:r>
      <w:r w:rsidRPr="000216FC">
        <w:rPr>
          <w:rFonts w:asciiTheme="majorHAnsi" w:hAnsiTheme="majorHAnsi"/>
          <w:i/>
          <w:iCs/>
          <w:color w:val="231F20"/>
          <w:sz w:val="20"/>
        </w:rPr>
        <w:t>ad hoc</w:t>
      </w:r>
      <w:r w:rsidRPr="000216FC">
        <w:rPr>
          <w:rFonts w:asciiTheme="majorHAnsi" w:hAnsiTheme="majorHAnsi"/>
          <w:color w:val="231F20"/>
          <w:sz w:val="20"/>
        </w:rPr>
        <w:t xml:space="preserve"> sobre atún blanco del Mediterráneo celebrada en febrero de 2022. Se sugiere que cualquier recomendación que enmiende o sustituya a la Rec. 24-08, incluya explícitamente estas obligaciones.</w:t>
      </w:r>
    </w:p>
    <w:p w14:paraId="641E5E7E" w14:textId="77777777" w:rsidR="004662A0" w:rsidRPr="005D5B14" w:rsidRDefault="004662A0" w:rsidP="004662A0">
      <w:pPr>
        <w:pStyle w:val="BodyText"/>
        <w:spacing w:before="4" w:line="256" w:lineRule="auto"/>
        <w:ind w:left="720" w:right="132"/>
        <w:jc w:val="both"/>
        <w:rPr>
          <w:rFonts w:asciiTheme="majorHAnsi" w:hAnsiTheme="majorHAnsi"/>
          <w:sz w:val="20"/>
          <w:szCs w:val="20"/>
        </w:rPr>
      </w:pPr>
    </w:p>
    <w:p w14:paraId="7DA8F87B" w14:textId="4316FE16" w:rsidR="00E158A1" w:rsidRPr="005D5B14" w:rsidRDefault="003A5EC9" w:rsidP="004662A0">
      <w:pPr>
        <w:pStyle w:val="BodyText"/>
        <w:numPr>
          <w:ilvl w:val="0"/>
          <w:numId w:val="3"/>
        </w:numPr>
        <w:spacing w:before="4" w:line="256" w:lineRule="auto"/>
        <w:ind w:right="132"/>
        <w:jc w:val="both"/>
        <w:rPr>
          <w:rFonts w:asciiTheme="majorHAnsi" w:hAnsiTheme="majorHAnsi"/>
          <w:sz w:val="20"/>
          <w:szCs w:val="20"/>
        </w:rPr>
      </w:pPr>
      <w:r>
        <w:rPr>
          <w:rFonts w:asciiTheme="majorHAnsi" w:hAnsiTheme="majorHAnsi"/>
          <w:color w:val="231F20"/>
          <w:sz w:val="20"/>
        </w:rPr>
        <w:t>Pez espada del Atlántico sur: Para facilitar la consulta, se sugiere que las futuras modificaciones se hagan directamente sobre la medida principal, o que se proponga una nueva medida en su totalidad.</w:t>
      </w:r>
    </w:p>
    <w:p w14:paraId="56517101" w14:textId="77777777" w:rsidR="00E158A1" w:rsidRPr="005D5B14" w:rsidRDefault="00E158A1" w:rsidP="000C3A47">
      <w:pPr>
        <w:pStyle w:val="BodyText"/>
        <w:spacing w:before="19"/>
        <w:jc w:val="both"/>
        <w:rPr>
          <w:rFonts w:asciiTheme="majorHAnsi" w:hAnsiTheme="majorHAnsi"/>
          <w:sz w:val="20"/>
          <w:szCs w:val="20"/>
        </w:rPr>
      </w:pPr>
    </w:p>
    <w:p w14:paraId="0D6929FA" w14:textId="7DC204C0" w:rsidR="00E158A1" w:rsidRPr="005D5B14" w:rsidRDefault="003A5EC9" w:rsidP="00C00778">
      <w:pPr>
        <w:pStyle w:val="BodyText"/>
        <w:numPr>
          <w:ilvl w:val="0"/>
          <w:numId w:val="3"/>
        </w:numPr>
        <w:spacing w:line="256" w:lineRule="auto"/>
        <w:ind w:right="132"/>
        <w:jc w:val="both"/>
        <w:rPr>
          <w:rFonts w:asciiTheme="majorHAnsi" w:hAnsiTheme="majorHAnsi"/>
          <w:sz w:val="20"/>
          <w:szCs w:val="20"/>
        </w:rPr>
      </w:pPr>
      <w:bookmarkStart w:id="0" w:name="_Hlk202349882"/>
      <w:r>
        <w:rPr>
          <w:rFonts w:asciiTheme="majorHAnsi" w:hAnsiTheme="majorHAnsi"/>
          <w:color w:val="231F20"/>
          <w:sz w:val="20"/>
        </w:rPr>
        <w:t xml:space="preserve">Aves marinas: La combinación de la </w:t>
      </w:r>
      <w:r>
        <w:rPr>
          <w:rFonts w:asciiTheme="majorHAnsi" w:hAnsiTheme="majorHAnsi"/>
          <w:color w:val="005EAC"/>
          <w:sz w:val="20"/>
        </w:rPr>
        <w:t>Rec. 07-07</w:t>
      </w:r>
      <w:r>
        <w:rPr>
          <w:rFonts w:asciiTheme="majorHAnsi" w:hAnsiTheme="majorHAnsi"/>
          <w:color w:val="231F20"/>
          <w:sz w:val="20"/>
        </w:rPr>
        <w:t xml:space="preserve"> y la </w:t>
      </w:r>
      <w:r>
        <w:rPr>
          <w:rFonts w:asciiTheme="majorHAnsi" w:hAnsiTheme="majorHAnsi"/>
          <w:color w:val="005EAC"/>
          <w:sz w:val="20"/>
        </w:rPr>
        <w:t>Rec. 11-09</w:t>
      </w:r>
      <w:r>
        <w:rPr>
          <w:rFonts w:asciiTheme="majorHAnsi" w:hAnsiTheme="majorHAnsi"/>
          <w:color w:val="231F20"/>
          <w:sz w:val="20"/>
        </w:rPr>
        <w:t xml:space="preserve"> sobre aves marinas sigue pendiente. </w:t>
      </w:r>
      <w:r>
        <w:rPr>
          <w:rFonts w:asciiTheme="majorHAnsi" w:hAnsiTheme="majorHAnsi"/>
          <w:sz w:val="20"/>
        </w:rPr>
        <w:t>El Subcomité de ecosistemas y capturas fortuitas ha tomado nota de los avances en curso en relación con las medidas de mitigación de las capturas fortuitas de aves marinas, que se espera que estén terminadas a finales de 2026 o principios de 2027. Por lo tanto, se ha sugerido que cualquier esfuerzo para combinar o revisar estas recomendaciones debe esperar hasta después de que la Comisión reciba cualquier nuevo asesoramiento del SCRS.</w:t>
      </w:r>
    </w:p>
    <w:bookmarkEnd w:id="0"/>
    <w:p w14:paraId="167C23E7" w14:textId="77777777" w:rsidR="00E158A1" w:rsidRPr="005D5B14" w:rsidRDefault="00E158A1" w:rsidP="000C3A47">
      <w:pPr>
        <w:pStyle w:val="BodyText"/>
        <w:spacing w:before="4"/>
        <w:jc w:val="both"/>
        <w:rPr>
          <w:rFonts w:asciiTheme="majorHAnsi" w:hAnsiTheme="majorHAnsi"/>
          <w:sz w:val="20"/>
          <w:szCs w:val="20"/>
        </w:rPr>
      </w:pPr>
    </w:p>
    <w:p w14:paraId="337A24B8" w14:textId="1E6AFF10" w:rsidR="00E158A1" w:rsidRPr="005D5B14" w:rsidRDefault="003A5EC9" w:rsidP="00C00778">
      <w:pPr>
        <w:pStyle w:val="BodyText"/>
        <w:numPr>
          <w:ilvl w:val="0"/>
          <w:numId w:val="3"/>
        </w:numPr>
        <w:spacing w:line="256" w:lineRule="auto"/>
        <w:ind w:right="132"/>
        <w:jc w:val="both"/>
        <w:rPr>
          <w:rFonts w:asciiTheme="majorHAnsi" w:hAnsiTheme="majorHAnsi"/>
          <w:sz w:val="20"/>
          <w:szCs w:val="20"/>
        </w:rPr>
      </w:pPr>
      <w:r>
        <w:rPr>
          <w:rFonts w:asciiTheme="majorHAnsi" w:hAnsiTheme="majorHAnsi"/>
          <w:color w:val="231F20"/>
          <w:sz w:val="20"/>
        </w:rPr>
        <w:t xml:space="preserve">Tiburones en general: Existen varias medidas relativas a los tiburones: </w:t>
      </w:r>
      <w:r>
        <w:rPr>
          <w:rFonts w:asciiTheme="majorHAnsi" w:hAnsiTheme="majorHAnsi"/>
          <w:color w:val="005EAC"/>
          <w:sz w:val="20"/>
        </w:rPr>
        <w:t>Res. 95-02</w:t>
      </w:r>
      <w:r>
        <w:rPr>
          <w:rFonts w:asciiTheme="majorHAnsi" w:hAnsiTheme="majorHAnsi"/>
          <w:color w:val="231F20"/>
          <w:sz w:val="20"/>
        </w:rPr>
        <w:t xml:space="preserve">; </w:t>
      </w:r>
      <w:r>
        <w:rPr>
          <w:rFonts w:asciiTheme="majorHAnsi" w:hAnsiTheme="majorHAnsi"/>
          <w:color w:val="005EAC"/>
          <w:sz w:val="20"/>
        </w:rPr>
        <w:t>Res. 03-10</w:t>
      </w:r>
      <w:r>
        <w:rPr>
          <w:rFonts w:asciiTheme="majorHAnsi" w:hAnsiTheme="majorHAnsi"/>
          <w:color w:val="231F20"/>
          <w:sz w:val="20"/>
        </w:rPr>
        <w:t xml:space="preserve">; </w:t>
      </w:r>
      <w:r>
        <w:rPr>
          <w:rFonts w:asciiTheme="majorHAnsi" w:hAnsiTheme="majorHAnsi"/>
          <w:color w:val="005EAC"/>
          <w:sz w:val="20"/>
        </w:rPr>
        <w:t>Rec. 04-10</w:t>
      </w:r>
      <w:r>
        <w:rPr>
          <w:rFonts w:asciiTheme="majorHAnsi" w:hAnsiTheme="majorHAnsi"/>
          <w:color w:val="231F20"/>
          <w:sz w:val="20"/>
        </w:rPr>
        <w:t xml:space="preserve">; </w:t>
      </w:r>
      <w:r>
        <w:rPr>
          <w:rFonts w:asciiTheme="majorHAnsi" w:hAnsiTheme="majorHAnsi"/>
          <w:color w:val="005EAC"/>
          <w:sz w:val="20"/>
        </w:rPr>
        <w:t>Rec. 07-06</w:t>
      </w:r>
      <w:r w:rsidR="003619C5">
        <w:rPr>
          <w:rFonts w:asciiTheme="majorHAnsi" w:hAnsiTheme="majorHAnsi"/>
          <w:color w:val="231F20"/>
          <w:sz w:val="20"/>
        </w:rPr>
        <w:t xml:space="preserve"> y </w:t>
      </w:r>
      <w:r>
        <w:rPr>
          <w:rFonts w:asciiTheme="majorHAnsi" w:hAnsiTheme="majorHAnsi"/>
          <w:color w:val="005EAC"/>
          <w:sz w:val="20"/>
        </w:rPr>
        <w:t>Rec. 13-10</w:t>
      </w:r>
      <w:r>
        <w:rPr>
          <w:rFonts w:asciiTheme="majorHAnsi" w:hAnsiTheme="majorHAnsi"/>
          <w:color w:val="231F20"/>
          <w:sz w:val="20"/>
        </w:rPr>
        <w:t>. Se sugiere que las disposiciones pertinentes de estas medidas se consoliden en una sola, tanto para facilitar la consulta como para simplificar la hoja de comprobación de tiburones (</w:t>
      </w:r>
      <w:r>
        <w:rPr>
          <w:rFonts w:asciiTheme="majorHAnsi" w:hAnsiTheme="majorHAnsi"/>
          <w:color w:val="005EAC"/>
          <w:sz w:val="20"/>
        </w:rPr>
        <w:t>Rec. 18-06</w:t>
      </w:r>
      <w:r>
        <w:rPr>
          <w:rFonts w:asciiTheme="majorHAnsi" w:hAnsiTheme="majorHAnsi"/>
          <w:color w:val="231F20"/>
          <w:sz w:val="20"/>
        </w:rPr>
        <w:t>), cada vez más compleja y engorrosa. Cualquier versión combinada debería ser revisada y aprobada por la Subcomisión 4.</w:t>
      </w:r>
    </w:p>
    <w:p w14:paraId="340BBA4B" w14:textId="77777777" w:rsidR="00E158A1" w:rsidRPr="005D5B14" w:rsidRDefault="00E158A1" w:rsidP="000C3A47">
      <w:pPr>
        <w:pStyle w:val="BodyText"/>
        <w:spacing w:before="3"/>
        <w:jc w:val="both"/>
        <w:rPr>
          <w:rFonts w:asciiTheme="majorHAnsi" w:hAnsiTheme="majorHAnsi"/>
          <w:sz w:val="20"/>
          <w:szCs w:val="20"/>
        </w:rPr>
      </w:pPr>
    </w:p>
    <w:sectPr w:rsidR="00E158A1" w:rsidRPr="005D5B14" w:rsidSect="00F07856">
      <w:headerReference w:type="default" r:id="rId10"/>
      <w:footerReference w:type="default" r:id="rId11"/>
      <w:pgSz w:w="11907" w:h="16840" w:code="9"/>
      <w:pgMar w:top="1418" w:right="1418" w:bottom="1418" w:left="1418" w:header="851" w:footer="11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882BD9" w14:textId="77777777" w:rsidR="001D6DB3" w:rsidRDefault="001D6DB3">
      <w:r>
        <w:separator/>
      </w:r>
    </w:p>
  </w:endnote>
  <w:endnote w:type="continuationSeparator" w:id="0">
    <w:p w14:paraId="32FE3F04" w14:textId="77777777" w:rsidR="001D6DB3" w:rsidRDefault="001D6D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altName w:val="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CB701A" w14:textId="77777777" w:rsidR="00846B16" w:rsidRDefault="00B50B02" w:rsidP="00846B16">
    <w:pPr>
      <w:pStyle w:val="Footer"/>
      <w:jc w:val="center"/>
    </w:pPr>
    <w:sdt>
      <w:sdtPr>
        <w:rPr>
          <w:rFonts w:ascii="Calibri" w:eastAsia="Calibri" w:hAnsi="Calibri" w:cs="Calibri"/>
          <w:sz w:val="20"/>
          <w:szCs w:val="20"/>
        </w:rPr>
        <w:id w:val="810910487"/>
        <w:docPartObj>
          <w:docPartGallery w:val="Page Numbers (Top of Page)"/>
          <w:docPartUnique/>
        </w:docPartObj>
      </w:sdtPr>
      <w:sdtEndPr/>
      <w:sdtContent>
        <w:r w:rsidR="00846B16" w:rsidRPr="00713AD4">
          <w:rPr>
            <w:rFonts w:eastAsia="Calibri" w:cs="Calibri"/>
            <w:sz w:val="20"/>
          </w:rPr>
          <w:fldChar w:fldCharType="begin"/>
        </w:r>
        <w:r w:rsidR="00846B16" w:rsidRPr="00713AD4">
          <w:rPr>
            <w:rFonts w:eastAsia="Calibri" w:cs="Calibri"/>
            <w:sz w:val="20"/>
          </w:rPr>
          <w:instrText xml:space="preserve"> PAGE </w:instrText>
        </w:r>
        <w:r w:rsidR="00846B16" w:rsidRPr="00713AD4">
          <w:rPr>
            <w:rFonts w:eastAsia="Calibri" w:cs="Calibri"/>
            <w:sz w:val="20"/>
          </w:rPr>
          <w:fldChar w:fldCharType="separate"/>
        </w:r>
        <w:r w:rsidR="00846B16">
          <w:rPr>
            <w:rFonts w:eastAsia="Calibri" w:cs="Calibri"/>
            <w:sz w:val="20"/>
          </w:rPr>
          <w:t>1</w:t>
        </w:r>
        <w:r w:rsidR="00846B16" w:rsidRPr="00713AD4">
          <w:rPr>
            <w:rFonts w:eastAsia="Calibri" w:cs="Calibri"/>
            <w:sz w:val="20"/>
          </w:rPr>
          <w:fldChar w:fldCharType="end"/>
        </w:r>
        <w:r w:rsidR="00846B16">
          <w:rPr>
            <w:sz w:val="20"/>
          </w:rPr>
          <w:t xml:space="preserve"> / </w:t>
        </w:r>
        <w:r w:rsidR="00846B16" w:rsidRPr="00713AD4">
          <w:rPr>
            <w:rFonts w:eastAsia="Calibri" w:cs="Calibri"/>
            <w:sz w:val="20"/>
          </w:rPr>
          <w:fldChar w:fldCharType="begin"/>
        </w:r>
        <w:r w:rsidR="00846B16" w:rsidRPr="00713AD4">
          <w:rPr>
            <w:rFonts w:eastAsia="Calibri" w:cs="Calibri"/>
            <w:sz w:val="20"/>
          </w:rPr>
          <w:instrText xml:space="preserve"> NUMPAGES  </w:instrText>
        </w:r>
        <w:r w:rsidR="00846B16" w:rsidRPr="00713AD4">
          <w:rPr>
            <w:rFonts w:eastAsia="Calibri" w:cs="Calibri"/>
            <w:sz w:val="20"/>
          </w:rPr>
          <w:fldChar w:fldCharType="separate"/>
        </w:r>
        <w:r w:rsidR="00846B16">
          <w:rPr>
            <w:rFonts w:eastAsia="Calibri" w:cs="Calibri"/>
            <w:sz w:val="20"/>
          </w:rPr>
          <w:t>2</w:t>
        </w:r>
        <w:r w:rsidR="00846B16" w:rsidRPr="00713AD4">
          <w:rPr>
            <w:rFonts w:eastAsia="Calibri" w:cs="Calibri"/>
            <w:sz w:val="20"/>
          </w:rPr>
          <w:fldChar w:fldCharType="end"/>
        </w:r>
      </w:sdtContent>
    </w:sdt>
  </w:p>
  <w:p w14:paraId="4432A069" w14:textId="396DC2BE" w:rsidR="00E158A1" w:rsidRDefault="00E158A1">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395E4D" w14:textId="77777777" w:rsidR="001D6DB3" w:rsidRDefault="001D6DB3">
      <w:r>
        <w:separator/>
      </w:r>
    </w:p>
  </w:footnote>
  <w:footnote w:type="continuationSeparator" w:id="0">
    <w:p w14:paraId="441F42C0" w14:textId="77777777" w:rsidR="001D6DB3" w:rsidRDefault="001D6D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5A36A8" w14:textId="79EB054B" w:rsidR="00F07856" w:rsidRPr="00EB3CAC" w:rsidRDefault="00F07856" w:rsidP="00F07856">
    <w:pPr>
      <w:tabs>
        <w:tab w:val="left" w:pos="7320"/>
      </w:tabs>
      <w:spacing w:line="240" w:lineRule="exact"/>
      <w:jc w:val="right"/>
      <w:rPr>
        <w:b/>
        <w:bCs/>
        <w:sz w:val="20"/>
        <w:szCs w:val="20"/>
      </w:rPr>
    </w:pPr>
    <w:r>
      <w:rPr>
        <w:b/>
        <w:sz w:val="20"/>
      </w:rPr>
      <w:t>PLE_103/2025</w:t>
    </w:r>
  </w:p>
  <w:p w14:paraId="19625AA7" w14:textId="473610C8" w:rsidR="00E158A1" w:rsidRDefault="00F07856" w:rsidP="00F07856">
    <w:pPr>
      <w:tabs>
        <w:tab w:val="left" w:pos="7320"/>
      </w:tabs>
      <w:spacing w:line="240" w:lineRule="exact"/>
      <w:jc w:val="right"/>
      <w:rPr>
        <w:sz w:val="20"/>
      </w:rPr>
    </w:pPr>
    <w:r>
      <w:rPr>
        <w:b/>
        <w:sz w:val="16"/>
      </w:rPr>
      <w:fldChar w:fldCharType="begin"/>
    </w:r>
    <w:r>
      <w:rPr>
        <w:b/>
        <w:sz w:val="16"/>
      </w:rPr>
      <w:instrText xml:space="preserve"> TIME \@ "dd/MM/yyyy H:mm" </w:instrText>
    </w:r>
    <w:r>
      <w:rPr>
        <w:b/>
        <w:sz w:val="16"/>
      </w:rPr>
      <w:fldChar w:fldCharType="separate"/>
    </w:r>
    <w:r w:rsidR="008A5367">
      <w:rPr>
        <w:b/>
        <w:noProof/>
        <w:sz w:val="16"/>
      </w:rPr>
      <w:t>18/08/2025 14:11</w:t>
    </w:r>
    <w:r>
      <w:rPr>
        <w:b/>
        <w:bCs/>
        <w:sz w:val="16"/>
        <w:szCs w:val="1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8C78CA"/>
    <w:multiLevelType w:val="hybridMultilevel"/>
    <w:tmpl w:val="6B2CFEAA"/>
    <w:lvl w:ilvl="0" w:tplc="C4742554">
      <w:start w:val="2"/>
      <w:numFmt w:val="bullet"/>
      <w:lvlText w:val="-"/>
      <w:lvlJc w:val="left"/>
      <w:pPr>
        <w:ind w:left="720" w:hanging="360"/>
      </w:pPr>
      <w:rPr>
        <w:rFonts w:ascii="Cambria" w:eastAsia="Cambria" w:hAnsi="Cambria" w:cs="Cambria" w:hint="default"/>
        <w:color w:val="231F20"/>
        <w:w w:val="105"/>
        <w:u w:val="singl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1F539DB"/>
    <w:multiLevelType w:val="hybridMultilevel"/>
    <w:tmpl w:val="F5AA2138"/>
    <w:lvl w:ilvl="0" w:tplc="04090001">
      <w:start w:val="1"/>
      <w:numFmt w:val="bullet"/>
      <w:lvlText w:val=""/>
      <w:lvlJc w:val="left"/>
      <w:pPr>
        <w:ind w:left="1220" w:hanging="400"/>
      </w:pPr>
      <w:rPr>
        <w:rFonts w:ascii="Symbol" w:hAnsi="Symbol" w:hint="default"/>
        <w:b w:val="0"/>
        <w:bCs w:val="0"/>
        <w:i w:val="0"/>
        <w:iCs w:val="0"/>
        <w:color w:val="231F20"/>
        <w:spacing w:val="0"/>
        <w:w w:val="104"/>
        <w:sz w:val="18"/>
        <w:szCs w:val="18"/>
        <w:lang w:val="en-US" w:eastAsia="en-US" w:bidi="ar-SA"/>
      </w:rPr>
    </w:lvl>
    <w:lvl w:ilvl="1" w:tplc="1B90D898">
      <w:numFmt w:val="bullet"/>
      <w:lvlText w:val="•"/>
      <w:lvlJc w:val="left"/>
      <w:pPr>
        <w:ind w:left="1982" w:hanging="400"/>
      </w:pPr>
      <w:rPr>
        <w:rFonts w:hint="default"/>
        <w:lang w:val="en-US" w:eastAsia="en-US" w:bidi="ar-SA"/>
      </w:rPr>
    </w:lvl>
    <w:lvl w:ilvl="2" w:tplc="FD58CFDA">
      <w:numFmt w:val="bullet"/>
      <w:lvlText w:val="•"/>
      <w:lvlJc w:val="left"/>
      <w:pPr>
        <w:ind w:left="2742" w:hanging="400"/>
      </w:pPr>
      <w:rPr>
        <w:rFonts w:hint="default"/>
        <w:lang w:val="en-US" w:eastAsia="en-US" w:bidi="ar-SA"/>
      </w:rPr>
    </w:lvl>
    <w:lvl w:ilvl="3" w:tplc="76FADE44">
      <w:numFmt w:val="bullet"/>
      <w:lvlText w:val="•"/>
      <w:lvlJc w:val="left"/>
      <w:pPr>
        <w:ind w:left="3502" w:hanging="400"/>
      </w:pPr>
      <w:rPr>
        <w:rFonts w:hint="default"/>
        <w:lang w:val="en-US" w:eastAsia="en-US" w:bidi="ar-SA"/>
      </w:rPr>
    </w:lvl>
    <w:lvl w:ilvl="4" w:tplc="682E1D72">
      <w:numFmt w:val="bullet"/>
      <w:lvlText w:val="•"/>
      <w:lvlJc w:val="left"/>
      <w:pPr>
        <w:ind w:left="4262" w:hanging="400"/>
      </w:pPr>
      <w:rPr>
        <w:rFonts w:hint="default"/>
        <w:lang w:val="en-US" w:eastAsia="en-US" w:bidi="ar-SA"/>
      </w:rPr>
    </w:lvl>
    <w:lvl w:ilvl="5" w:tplc="EBC0BA62">
      <w:numFmt w:val="bullet"/>
      <w:lvlText w:val="•"/>
      <w:lvlJc w:val="left"/>
      <w:pPr>
        <w:ind w:left="5022" w:hanging="400"/>
      </w:pPr>
      <w:rPr>
        <w:rFonts w:hint="default"/>
        <w:lang w:val="en-US" w:eastAsia="en-US" w:bidi="ar-SA"/>
      </w:rPr>
    </w:lvl>
    <w:lvl w:ilvl="6" w:tplc="AF9A474A">
      <w:numFmt w:val="bullet"/>
      <w:lvlText w:val="•"/>
      <w:lvlJc w:val="left"/>
      <w:pPr>
        <w:ind w:left="5782" w:hanging="400"/>
      </w:pPr>
      <w:rPr>
        <w:rFonts w:hint="default"/>
        <w:lang w:val="en-US" w:eastAsia="en-US" w:bidi="ar-SA"/>
      </w:rPr>
    </w:lvl>
    <w:lvl w:ilvl="7" w:tplc="4FB43C90">
      <w:numFmt w:val="bullet"/>
      <w:lvlText w:val="•"/>
      <w:lvlJc w:val="left"/>
      <w:pPr>
        <w:ind w:left="6542" w:hanging="400"/>
      </w:pPr>
      <w:rPr>
        <w:rFonts w:hint="default"/>
        <w:lang w:val="en-US" w:eastAsia="en-US" w:bidi="ar-SA"/>
      </w:rPr>
    </w:lvl>
    <w:lvl w:ilvl="8" w:tplc="BFB04A4E">
      <w:numFmt w:val="bullet"/>
      <w:lvlText w:val="•"/>
      <w:lvlJc w:val="left"/>
      <w:pPr>
        <w:ind w:left="7302" w:hanging="400"/>
      </w:pPr>
      <w:rPr>
        <w:rFonts w:hint="default"/>
        <w:lang w:val="en-US" w:eastAsia="en-US" w:bidi="ar-SA"/>
      </w:rPr>
    </w:lvl>
  </w:abstractNum>
  <w:abstractNum w:abstractNumId="2" w15:restartNumberingAfterBreak="0">
    <w:nsid w:val="52B77076"/>
    <w:multiLevelType w:val="hybridMultilevel"/>
    <w:tmpl w:val="2C7037B8"/>
    <w:lvl w:ilvl="0" w:tplc="2F94BCF8">
      <w:start w:val="1"/>
      <w:numFmt w:val="bullet"/>
      <w:lvlText w:val=""/>
      <w:lvlJc w:val="left"/>
      <w:pPr>
        <w:ind w:left="720" w:hanging="360"/>
      </w:pPr>
      <w:rPr>
        <w:rFonts w:ascii="Symbol" w:hAnsi="Symbol" w:hint="default"/>
        <w:color w:val="231F20"/>
        <w:w w:val="105"/>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CA357E1"/>
    <w:multiLevelType w:val="hybridMultilevel"/>
    <w:tmpl w:val="CB5E9332"/>
    <w:lvl w:ilvl="0" w:tplc="2F94BCF8">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2146965328">
    <w:abstractNumId w:val="1"/>
  </w:num>
  <w:num w:numId="2" w16cid:durableId="283461935">
    <w:abstractNumId w:val="0"/>
  </w:num>
  <w:num w:numId="3" w16cid:durableId="1193229979">
    <w:abstractNumId w:val="2"/>
  </w:num>
  <w:num w:numId="4" w16cid:durableId="70530060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58A1"/>
    <w:rsid w:val="00006A80"/>
    <w:rsid w:val="000216FC"/>
    <w:rsid w:val="00031BE6"/>
    <w:rsid w:val="00065C36"/>
    <w:rsid w:val="00070CB1"/>
    <w:rsid w:val="000801D6"/>
    <w:rsid w:val="000C3A47"/>
    <w:rsid w:val="000D7F9D"/>
    <w:rsid w:val="00105F9D"/>
    <w:rsid w:val="0012438E"/>
    <w:rsid w:val="00160F01"/>
    <w:rsid w:val="001A418E"/>
    <w:rsid w:val="001D0F06"/>
    <w:rsid w:val="001D6DB3"/>
    <w:rsid w:val="001E388F"/>
    <w:rsid w:val="001E43DE"/>
    <w:rsid w:val="001F05A9"/>
    <w:rsid w:val="001F09B0"/>
    <w:rsid w:val="00243214"/>
    <w:rsid w:val="002551C5"/>
    <w:rsid w:val="00284DF9"/>
    <w:rsid w:val="00323B76"/>
    <w:rsid w:val="00332A5A"/>
    <w:rsid w:val="003371F7"/>
    <w:rsid w:val="0034175A"/>
    <w:rsid w:val="00353A53"/>
    <w:rsid w:val="003619C5"/>
    <w:rsid w:val="003A2991"/>
    <w:rsid w:val="003A5EC9"/>
    <w:rsid w:val="003B7414"/>
    <w:rsid w:val="00413C9A"/>
    <w:rsid w:val="00422A19"/>
    <w:rsid w:val="00427F04"/>
    <w:rsid w:val="004662A0"/>
    <w:rsid w:val="00490C3A"/>
    <w:rsid w:val="004B1493"/>
    <w:rsid w:val="004D02C0"/>
    <w:rsid w:val="00544D91"/>
    <w:rsid w:val="00564ED8"/>
    <w:rsid w:val="00592142"/>
    <w:rsid w:val="005D5B14"/>
    <w:rsid w:val="005D7636"/>
    <w:rsid w:val="005E3C77"/>
    <w:rsid w:val="00695183"/>
    <w:rsid w:val="006C2BF1"/>
    <w:rsid w:val="007142F0"/>
    <w:rsid w:val="007325C3"/>
    <w:rsid w:val="00742BBF"/>
    <w:rsid w:val="007817D5"/>
    <w:rsid w:val="00790E78"/>
    <w:rsid w:val="00800CEB"/>
    <w:rsid w:val="00846371"/>
    <w:rsid w:val="00846B16"/>
    <w:rsid w:val="008736F6"/>
    <w:rsid w:val="008A0480"/>
    <w:rsid w:val="008A5367"/>
    <w:rsid w:val="008E2ED7"/>
    <w:rsid w:val="0093685F"/>
    <w:rsid w:val="00961BF6"/>
    <w:rsid w:val="009A43AA"/>
    <w:rsid w:val="009F37F9"/>
    <w:rsid w:val="009F5D54"/>
    <w:rsid w:val="00A01DAD"/>
    <w:rsid w:val="00A34EB1"/>
    <w:rsid w:val="00A53B54"/>
    <w:rsid w:val="00A70129"/>
    <w:rsid w:val="00A816D0"/>
    <w:rsid w:val="00B3695F"/>
    <w:rsid w:val="00BA15B5"/>
    <w:rsid w:val="00BE280B"/>
    <w:rsid w:val="00C00778"/>
    <w:rsid w:val="00CB5C28"/>
    <w:rsid w:val="00D8183F"/>
    <w:rsid w:val="00DB5D09"/>
    <w:rsid w:val="00DB76AF"/>
    <w:rsid w:val="00DF1A51"/>
    <w:rsid w:val="00E158A1"/>
    <w:rsid w:val="00E37FC5"/>
    <w:rsid w:val="00EB0373"/>
    <w:rsid w:val="00EB47F8"/>
    <w:rsid w:val="00EB505F"/>
    <w:rsid w:val="00EF3C95"/>
    <w:rsid w:val="00F07856"/>
    <w:rsid w:val="00FC1003"/>
    <w:rsid w:val="00FD13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70F904"/>
  <w15:docId w15:val="{790D0E42-77E0-4B25-8521-CF2DD2A8F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mbria" w:eastAsia="Cambria" w:hAnsi="Cambria" w:cs="Cambria"/>
    </w:rPr>
  </w:style>
  <w:style w:type="paragraph" w:styleId="Heading1">
    <w:name w:val="heading 1"/>
    <w:basedOn w:val="Normal"/>
    <w:uiPriority w:val="1"/>
    <w:qFormat/>
    <w:pPr>
      <w:ind w:left="134"/>
      <w:outlineLvl w:val="0"/>
    </w:pPr>
    <w:rPr>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1"/>
    <w:qFormat/>
    <w:pPr>
      <w:ind w:left="1197" w:right="135" w:hanging="40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7142F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42F0"/>
    <w:rPr>
      <w:rFonts w:ascii="Segoe UI" w:eastAsia="Cambria" w:hAnsi="Segoe UI" w:cs="Segoe UI"/>
      <w:sz w:val="18"/>
      <w:szCs w:val="18"/>
    </w:rPr>
  </w:style>
  <w:style w:type="character" w:styleId="CommentReference">
    <w:name w:val="annotation reference"/>
    <w:basedOn w:val="DefaultParagraphFont"/>
    <w:uiPriority w:val="99"/>
    <w:semiHidden/>
    <w:unhideWhenUsed/>
    <w:rsid w:val="00800CEB"/>
    <w:rPr>
      <w:sz w:val="16"/>
      <w:szCs w:val="16"/>
    </w:rPr>
  </w:style>
  <w:style w:type="paragraph" w:styleId="CommentText">
    <w:name w:val="annotation text"/>
    <w:basedOn w:val="Normal"/>
    <w:link w:val="CommentTextChar"/>
    <w:uiPriority w:val="99"/>
    <w:semiHidden/>
    <w:unhideWhenUsed/>
    <w:rsid w:val="00800CEB"/>
    <w:rPr>
      <w:sz w:val="20"/>
      <w:szCs w:val="20"/>
    </w:rPr>
  </w:style>
  <w:style w:type="character" w:customStyle="1" w:styleId="CommentTextChar">
    <w:name w:val="Comment Text Char"/>
    <w:basedOn w:val="DefaultParagraphFont"/>
    <w:link w:val="CommentText"/>
    <w:uiPriority w:val="99"/>
    <w:semiHidden/>
    <w:rsid w:val="00800CEB"/>
    <w:rPr>
      <w:rFonts w:ascii="Cambria" w:eastAsia="Cambria" w:hAnsi="Cambria" w:cs="Cambria"/>
      <w:sz w:val="20"/>
      <w:szCs w:val="20"/>
    </w:rPr>
  </w:style>
  <w:style w:type="paragraph" w:styleId="CommentSubject">
    <w:name w:val="annotation subject"/>
    <w:basedOn w:val="CommentText"/>
    <w:next w:val="CommentText"/>
    <w:link w:val="CommentSubjectChar"/>
    <w:uiPriority w:val="99"/>
    <w:semiHidden/>
    <w:unhideWhenUsed/>
    <w:rsid w:val="00800CEB"/>
    <w:rPr>
      <w:b/>
      <w:bCs/>
    </w:rPr>
  </w:style>
  <w:style w:type="character" w:customStyle="1" w:styleId="CommentSubjectChar">
    <w:name w:val="Comment Subject Char"/>
    <w:basedOn w:val="CommentTextChar"/>
    <w:link w:val="CommentSubject"/>
    <w:uiPriority w:val="99"/>
    <w:semiHidden/>
    <w:rsid w:val="00800CEB"/>
    <w:rPr>
      <w:rFonts w:ascii="Cambria" w:eastAsia="Cambria" w:hAnsi="Cambria" w:cs="Cambria"/>
      <w:b/>
      <w:bCs/>
      <w:sz w:val="20"/>
      <w:szCs w:val="20"/>
    </w:rPr>
  </w:style>
  <w:style w:type="paragraph" w:styleId="Header">
    <w:name w:val="header"/>
    <w:basedOn w:val="Normal"/>
    <w:link w:val="HeaderChar"/>
    <w:uiPriority w:val="99"/>
    <w:unhideWhenUsed/>
    <w:rsid w:val="00564ED8"/>
    <w:pPr>
      <w:tabs>
        <w:tab w:val="center" w:pos="4513"/>
        <w:tab w:val="right" w:pos="9026"/>
      </w:tabs>
    </w:pPr>
  </w:style>
  <w:style w:type="character" w:customStyle="1" w:styleId="HeaderChar">
    <w:name w:val="Header Char"/>
    <w:basedOn w:val="DefaultParagraphFont"/>
    <w:link w:val="Header"/>
    <w:uiPriority w:val="99"/>
    <w:rsid w:val="00564ED8"/>
    <w:rPr>
      <w:rFonts w:ascii="Cambria" w:eastAsia="Cambria" w:hAnsi="Cambria" w:cs="Cambria"/>
    </w:rPr>
  </w:style>
  <w:style w:type="paragraph" w:styleId="Footer">
    <w:name w:val="footer"/>
    <w:basedOn w:val="Normal"/>
    <w:link w:val="FooterChar"/>
    <w:uiPriority w:val="99"/>
    <w:unhideWhenUsed/>
    <w:rsid w:val="00564ED8"/>
    <w:pPr>
      <w:tabs>
        <w:tab w:val="center" w:pos="4513"/>
        <w:tab w:val="right" w:pos="9026"/>
      </w:tabs>
    </w:pPr>
  </w:style>
  <w:style w:type="character" w:customStyle="1" w:styleId="FooterChar">
    <w:name w:val="Footer Char"/>
    <w:basedOn w:val="DefaultParagraphFont"/>
    <w:link w:val="Footer"/>
    <w:uiPriority w:val="99"/>
    <w:rsid w:val="00564ED8"/>
    <w:rPr>
      <w:rFonts w:ascii="Cambria" w:eastAsia="Cambria" w:hAnsi="Cambria" w:cs="Cambria"/>
    </w:rPr>
  </w:style>
  <w:style w:type="paragraph" w:styleId="NormalWeb">
    <w:name w:val="Normal (Web)"/>
    <w:basedOn w:val="Normal"/>
    <w:uiPriority w:val="99"/>
    <w:semiHidden/>
    <w:unhideWhenUsed/>
    <w:rsid w:val="00FD1312"/>
    <w:pPr>
      <w:widowControl/>
      <w:autoSpaceDE/>
      <w:autoSpaceDN/>
      <w:spacing w:before="100" w:beforeAutospacing="1" w:after="100" w:afterAutospacing="1"/>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8848434">
      <w:bodyDiv w:val="1"/>
      <w:marLeft w:val="0"/>
      <w:marRight w:val="0"/>
      <w:marTop w:val="0"/>
      <w:marBottom w:val="0"/>
      <w:divBdr>
        <w:top w:val="none" w:sz="0" w:space="0" w:color="auto"/>
        <w:left w:val="none" w:sz="0" w:space="0" w:color="auto"/>
        <w:bottom w:val="none" w:sz="0" w:space="0" w:color="auto"/>
        <w:right w:val="none" w:sz="0" w:space="0" w:color="auto"/>
      </w:divBdr>
    </w:div>
    <w:div w:id="531767047">
      <w:bodyDiv w:val="1"/>
      <w:marLeft w:val="0"/>
      <w:marRight w:val="0"/>
      <w:marTop w:val="0"/>
      <w:marBottom w:val="0"/>
      <w:divBdr>
        <w:top w:val="none" w:sz="0" w:space="0" w:color="auto"/>
        <w:left w:val="none" w:sz="0" w:space="0" w:color="auto"/>
        <w:bottom w:val="none" w:sz="0" w:space="0" w:color="auto"/>
        <w:right w:val="none" w:sz="0" w:space="0" w:color="auto"/>
      </w:divBdr>
    </w:div>
    <w:div w:id="779109400">
      <w:bodyDiv w:val="1"/>
      <w:marLeft w:val="0"/>
      <w:marRight w:val="0"/>
      <w:marTop w:val="0"/>
      <w:marBottom w:val="0"/>
      <w:divBdr>
        <w:top w:val="none" w:sz="0" w:space="0" w:color="auto"/>
        <w:left w:val="none" w:sz="0" w:space="0" w:color="auto"/>
        <w:bottom w:val="none" w:sz="0" w:space="0" w:color="auto"/>
        <w:right w:val="none" w:sz="0" w:space="0" w:color="auto"/>
      </w:divBdr>
    </w:div>
    <w:div w:id="1268536868">
      <w:bodyDiv w:val="1"/>
      <w:marLeft w:val="0"/>
      <w:marRight w:val="0"/>
      <w:marTop w:val="0"/>
      <w:marBottom w:val="0"/>
      <w:divBdr>
        <w:top w:val="none" w:sz="0" w:space="0" w:color="auto"/>
        <w:left w:val="none" w:sz="0" w:space="0" w:color="auto"/>
        <w:bottom w:val="none" w:sz="0" w:space="0" w:color="auto"/>
        <w:right w:val="none" w:sz="0" w:space="0" w:color="auto"/>
      </w:divBdr>
    </w:div>
    <w:div w:id="1335572363">
      <w:bodyDiv w:val="1"/>
      <w:marLeft w:val="0"/>
      <w:marRight w:val="0"/>
      <w:marTop w:val="0"/>
      <w:marBottom w:val="0"/>
      <w:divBdr>
        <w:top w:val="none" w:sz="0" w:space="0" w:color="auto"/>
        <w:left w:val="none" w:sz="0" w:space="0" w:color="auto"/>
        <w:bottom w:val="none" w:sz="0" w:space="0" w:color="auto"/>
        <w:right w:val="none" w:sz="0" w:space="0" w:color="auto"/>
      </w:divBdr>
    </w:div>
    <w:div w:id="1532500180">
      <w:bodyDiv w:val="1"/>
      <w:marLeft w:val="0"/>
      <w:marRight w:val="0"/>
      <w:marTop w:val="0"/>
      <w:marBottom w:val="0"/>
      <w:divBdr>
        <w:top w:val="none" w:sz="0" w:space="0" w:color="auto"/>
        <w:left w:val="none" w:sz="0" w:space="0" w:color="auto"/>
        <w:bottom w:val="none" w:sz="0" w:space="0" w:color="auto"/>
        <w:right w:val="none" w:sz="0" w:space="0" w:color="auto"/>
      </w:divBdr>
    </w:div>
    <w:div w:id="1729918046">
      <w:bodyDiv w:val="1"/>
      <w:marLeft w:val="0"/>
      <w:marRight w:val="0"/>
      <w:marTop w:val="0"/>
      <w:marBottom w:val="0"/>
      <w:divBdr>
        <w:top w:val="none" w:sz="0" w:space="0" w:color="auto"/>
        <w:left w:val="none" w:sz="0" w:space="0" w:color="auto"/>
        <w:bottom w:val="none" w:sz="0" w:space="0" w:color="auto"/>
        <w:right w:val="none" w:sz="0" w:space="0" w:color="auto"/>
      </w:divBdr>
    </w:div>
    <w:div w:id="20012728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7d73a274-b5d4-4934-af93-8b8c31f6f19f">
      <UserInfo>
        <DisplayName/>
        <AccountId xsi:nil="true"/>
        <AccountType/>
      </UserInfo>
    </SharedWithUsers>
    <TaxCatchAll xmlns="7d73a274-b5d4-4934-af93-8b8c31f6f19f" xsi:nil="true"/>
    <lcf76f155ced4ddcb4097134ff3c332f xmlns="04c986aa-787d-4a14-b577-9f29a18a283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3E84DD1BACBE3641B802C49D00950036" ma:contentTypeVersion="14" ma:contentTypeDescription="Crear nuevo documento." ma:contentTypeScope="" ma:versionID="845ae9bf7730e4c6e59b85cb5bbd8af9">
  <xsd:schema xmlns:xsd="http://www.w3.org/2001/XMLSchema" xmlns:xs="http://www.w3.org/2001/XMLSchema" xmlns:p="http://schemas.microsoft.com/office/2006/metadata/properties" xmlns:ns2="7d73a274-b5d4-4934-af93-8b8c31f6f19f" xmlns:ns3="04c986aa-787d-4a14-b577-9f29a18a2836" targetNamespace="http://schemas.microsoft.com/office/2006/metadata/properties" ma:root="true" ma:fieldsID="4b352ccc93337f0cbb572eb4e7ef500d" ns2:_="" ns3:_="">
    <xsd:import namespace="7d73a274-b5d4-4934-af93-8b8c31f6f19f"/>
    <xsd:import namespace="04c986aa-787d-4a14-b577-9f29a18a283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73a274-b5d4-4934-af93-8b8c31f6f19f"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TaxCatchAll" ma:index="19" nillable="true" ma:displayName="Taxonomy Catch All Column" ma:hidden="true" ma:list="{9543fe02-0786-4dab-a22a-a854937e675d}" ma:internalName="TaxCatchAll" ma:showField="CatchAllData" ma:web="7d73a274-b5d4-4934-af93-8b8c31f6f19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4c986aa-787d-4a14-b577-9f29a18a283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d93e85cc-e36d-4fcb-a8a6-48bf60db5ef2"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4A910D-8D91-4284-9E3C-C23C63DDDAFE}">
  <ds:schemaRefs>
    <ds:schemaRef ds:uri="http://schemas.microsoft.com/office/2006/metadata/properties"/>
    <ds:schemaRef ds:uri="http://schemas.microsoft.com/office/infopath/2007/PartnerControls"/>
    <ds:schemaRef ds:uri="7d73a274-b5d4-4934-af93-8b8c31f6f19f"/>
    <ds:schemaRef ds:uri="04c986aa-787d-4a14-b577-9f29a18a2836"/>
  </ds:schemaRefs>
</ds:datastoreItem>
</file>

<file path=customXml/itemProps2.xml><?xml version="1.0" encoding="utf-8"?>
<ds:datastoreItem xmlns:ds="http://schemas.openxmlformats.org/officeDocument/2006/customXml" ds:itemID="{3B5EE071-4DB7-40FE-B611-A9B74F82C7C7}">
  <ds:schemaRefs>
    <ds:schemaRef ds:uri="http://schemas.microsoft.com/sharepoint/v3/contenttype/forms"/>
  </ds:schemaRefs>
</ds:datastoreItem>
</file>

<file path=customXml/itemProps3.xml><?xml version="1.0" encoding="utf-8"?>
<ds:datastoreItem xmlns:ds="http://schemas.openxmlformats.org/officeDocument/2006/customXml" ds:itemID="{ECC8B0F3-830C-4DDA-B32E-C886870A40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73a274-b5d4-4934-af93-8b8c31f6f19f"/>
    <ds:schemaRef ds:uri="04c986aa-787d-4a14-b577-9f29a18a28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1351</Words>
  <Characters>7701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María José García</dc:creator>
  <dc:description/>
  <cp:lastModifiedBy>María José García</cp:lastModifiedBy>
  <cp:revision>2</cp:revision>
  <dcterms:created xsi:type="dcterms:W3CDTF">2025-08-18T12:34:00Z</dcterms:created>
  <dcterms:modified xsi:type="dcterms:W3CDTF">2025-08-18T12:34:00Z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8981900</vt:r8>
  </property>
  <property fmtid="{D5CDD505-2E9C-101B-9397-08002B2CF9AE}" pid="3" name="ContentTypeId">
    <vt:lpwstr>0x0101003E84DD1BACBE3641B802C49D00950036</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ies>
</file>