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48521D" w:rsidRDefault="00B4102F" w:rsidP="00B4102F">
      <w:pPr>
        <w:jc w:val="right"/>
        <w:rPr>
          <w:rFonts w:ascii="Cambria" w:hAnsi="Cambria"/>
          <w:b/>
          <w:sz w:val="20"/>
          <w:szCs w:val="20"/>
        </w:rPr>
      </w:pPr>
      <w:r w:rsidRPr="0048521D">
        <w:rPr>
          <w:rFonts w:ascii="Cambria" w:hAnsi="Cambria"/>
          <w:b/>
          <w:sz w:val="20"/>
          <w:szCs w:val="20"/>
        </w:rPr>
        <w:t>Original : anglais</w:t>
      </w:r>
    </w:p>
    <w:p w14:paraId="1B53B2C6" w14:textId="77777777" w:rsidR="00B4102F" w:rsidRPr="0048521D" w:rsidRDefault="00B4102F" w:rsidP="00B4102F">
      <w:pPr>
        <w:widowControl/>
        <w:spacing w:line="220" w:lineRule="exact"/>
        <w:jc w:val="center"/>
        <w:rPr>
          <w:rFonts w:ascii="Cambria" w:eastAsia="MS Mincho" w:hAnsi="Cambria"/>
          <w:b/>
          <w:bCs/>
          <w:kern w:val="0"/>
          <w:sz w:val="20"/>
          <w:szCs w:val="20"/>
          <w:lang w:eastAsia="en-US"/>
        </w:rPr>
      </w:pPr>
    </w:p>
    <w:p w14:paraId="52B12144" w14:textId="3A8091D9" w:rsidR="00E16AD0" w:rsidRPr="0048521D" w:rsidRDefault="00534305" w:rsidP="00E16AD0">
      <w:pPr>
        <w:widowControl/>
        <w:spacing w:line="220" w:lineRule="exact"/>
        <w:jc w:val="center"/>
        <w:rPr>
          <w:rFonts w:ascii="Cambria" w:eastAsia="MS Mincho" w:hAnsi="Cambria"/>
          <w:b/>
          <w:bCs/>
          <w:kern w:val="0"/>
          <w:sz w:val="20"/>
          <w:szCs w:val="20"/>
        </w:rPr>
      </w:pPr>
      <w:r w:rsidRPr="0048521D">
        <w:rPr>
          <w:rFonts w:ascii="Cambria" w:hAnsi="Cambria"/>
          <w:b/>
          <w:bCs/>
          <w:sz w:val="20"/>
          <w:szCs w:val="20"/>
        </w:rPr>
        <w:t>Système de surveillance électronique (EMS) et couverture par des observateurs dans le cadre du projet pilote norvégien de stockage de courte durée de thons rouges de l'Atlantique vivants</w:t>
      </w:r>
    </w:p>
    <w:p w14:paraId="31B47A30" w14:textId="77777777" w:rsidR="00152CF5" w:rsidRPr="0048521D" w:rsidRDefault="00152CF5" w:rsidP="00E16AD0">
      <w:pPr>
        <w:widowControl/>
        <w:spacing w:line="220" w:lineRule="exact"/>
        <w:jc w:val="center"/>
        <w:rPr>
          <w:rFonts w:ascii="Cambria" w:eastAsia="MS Mincho" w:hAnsi="Cambria"/>
          <w:b/>
          <w:bCs/>
          <w:kern w:val="0"/>
          <w:sz w:val="20"/>
          <w:szCs w:val="20"/>
          <w:lang w:eastAsia="en-US"/>
        </w:rPr>
      </w:pPr>
    </w:p>
    <w:p w14:paraId="35A1E026" w14:textId="3CC4D5E5" w:rsidR="00152CF5" w:rsidRPr="0048521D" w:rsidRDefault="002E1067" w:rsidP="00E16AD0">
      <w:pPr>
        <w:widowControl/>
        <w:spacing w:line="220" w:lineRule="exact"/>
        <w:jc w:val="center"/>
        <w:rPr>
          <w:rFonts w:ascii="Cambria" w:eastAsia="MS Mincho" w:hAnsi="Cambria"/>
          <w:b/>
          <w:bCs/>
          <w:kern w:val="0"/>
          <w:sz w:val="20"/>
          <w:szCs w:val="20"/>
        </w:rPr>
      </w:pPr>
      <w:r w:rsidRPr="0048521D">
        <w:rPr>
          <w:rFonts w:ascii="Cambria" w:hAnsi="Cambria"/>
          <w:b/>
          <w:bCs/>
          <w:sz w:val="20"/>
          <w:szCs w:val="20"/>
        </w:rPr>
        <w:t>Résumé exécutif</w:t>
      </w:r>
    </w:p>
    <w:p w14:paraId="5A1DEFE8" w14:textId="77777777" w:rsidR="002E1067" w:rsidRPr="0048521D" w:rsidRDefault="002E1067" w:rsidP="00E16AD0">
      <w:pPr>
        <w:widowControl/>
        <w:spacing w:line="220" w:lineRule="exact"/>
        <w:jc w:val="center"/>
        <w:rPr>
          <w:rFonts w:ascii="Cambria" w:eastAsia="MS Mincho" w:hAnsi="Cambria"/>
          <w:b/>
          <w:bCs/>
          <w:kern w:val="0"/>
          <w:sz w:val="20"/>
          <w:szCs w:val="20"/>
          <w:lang w:eastAsia="en-US"/>
        </w:rPr>
      </w:pPr>
    </w:p>
    <w:p w14:paraId="6C9B081D" w14:textId="3DD42F17" w:rsidR="00E16AD0" w:rsidRPr="0048521D" w:rsidRDefault="0031677A" w:rsidP="00E16AD0">
      <w:pPr>
        <w:widowControl/>
        <w:spacing w:line="220" w:lineRule="exact"/>
        <w:jc w:val="center"/>
        <w:rPr>
          <w:rFonts w:ascii="Cambria" w:eastAsia="MS Mincho" w:hAnsi="Cambria"/>
          <w:i/>
          <w:iCs/>
          <w:kern w:val="0"/>
          <w:sz w:val="20"/>
          <w:szCs w:val="20"/>
        </w:rPr>
      </w:pPr>
      <w:r w:rsidRPr="0048521D">
        <w:rPr>
          <w:rFonts w:ascii="Cambria" w:hAnsi="Cambria"/>
          <w:i/>
          <w:iCs/>
          <w:sz w:val="20"/>
          <w:szCs w:val="20"/>
        </w:rPr>
        <w:t>(Document soumis par la Norvège)</w:t>
      </w:r>
    </w:p>
    <w:p w14:paraId="1A9CA6F8" w14:textId="77777777" w:rsidR="00E16AD0" w:rsidRPr="0048521D" w:rsidRDefault="00E16AD0" w:rsidP="00E16AD0">
      <w:pPr>
        <w:widowControl/>
        <w:spacing w:line="220" w:lineRule="exact"/>
        <w:jc w:val="center"/>
        <w:rPr>
          <w:rFonts w:ascii="Cambria" w:eastAsia="MS Mincho" w:hAnsi="Cambria"/>
          <w:b/>
          <w:bCs/>
          <w:kern w:val="0"/>
          <w:sz w:val="20"/>
          <w:szCs w:val="20"/>
          <w:lang w:eastAsia="en-US"/>
        </w:rPr>
      </w:pPr>
    </w:p>
    <w:p w14:paraId="1C43AD7B" w14:textId="77777777" w:rsidR="0031677A" w:rsidRPr="0048521D" w:rsidRDefault="0031677A" w:rsidP="00E16AD0">
      <w:pPr>
        <w:widowControl/>
        <w:spacing w:line="220" w:lineRule="exact"/>
        <w:jc w:val="center"/>
        <w:rPr>
          <w:rFonts w:ascii="Cambria" w:eastAsia="MS Mincho" w:hAnsi="Cambria"/>
          <w:b/>
          <w:bCs/>
          <w:kern w:val="0"/>
          <w:sz w:val="20"/>
          <w:szCs w:val="20"/>
          <w:lang w:eastAsia="en-US"/>
        </w:rPr>
      </w:pPr>
    </w:p>
    <w:p w14:paraId="7055FC9A" w14:textId="77777777"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La Norvège a présenté une description de programme intitulée « Système de surveillance électronique (EMS) et couverture par des observateurs dans le cadre du projet pilote norvégien de stockage de courte durée de thons rouges vivants », jointe au présent document de réunion en tant qu'</w:t>
      </w:r>
      <w:r w:rsidRPr="0048521D">
        <w:rPr>
          <w:rFonts w:ascii="Cambria" w:hAnsi="Cambria"/>
          <w:b/>
          <w:sz w:val="20"/>
          <w:szCs w:val="20"/>
        </w:rPr>
        <w:t>annexe 1</w:t>
      </w:r>
      <w:r w:rsidRPr="0048521D">
        <w:rPr>
          <w:rFonts w:ascii="Cambria" w:hAnsi="Cambria"/>
          <w:sz w:val="20"/>
          <w:szCs w:val="20"/>
        </w:rPr>
        <w:t>. Ce résumé exécutif présente brièvement l'objectif, la portée et les principaux éléments de ce document.</w:t>
      </w:r>
    </w:p>
    <w:p w14:paraId="493B4A78"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2DC8840D" w14:textId="4627674F"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La description du programme porte sur l'utilisation prévue du système EMS dans le cadre du projet pilote norvégien de stockage de courte durée de thons rouges de l'Atlantique vivants. Ce projet pilote est mené dans le cadre des mesures pertinentes de l’ICCAT, notamment le projet pilote de l’ICCAT de stockage de spécimens vivants de courte durée, le plan de gestion pluriannuel du thon rouge de l'Atlantique Est et de la Méditerranée, ainsi que les normes minimales de l’ICCAT en matière d’EMS.</w:t>
      </w:r>
    </w:p>
    <w:p w14:paraId="03F5B0D0"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007EB3FA" w14:textId="77777777"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L'objectif de ce programme est de documenter et d'évaluer comment le système EMS peut être utilisé comme outil complémentaire de suivi, de documentation et de vérification dans le cadre du projet pilote norvégien. La Norvège ne propose pas de remplacer cette année le programme régional d'observateurs de l'ICCAT pour le thon rouge par l'EMS. Le système EMS sera utilisé en complément de la couverture par des observateurs, de la présence des autorités nationales de contrôle, de la déclaration des navires, de la documentation eBCD et des observations scientifiques menées par l'Institut de recherche marine.</w:t>
      </w:r>
    </w:p>
    <w:p w14:paraId="49043CEC"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17CB3BB7" w14:textId="408CC16D"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Le programme couvre les étapes opérationnelles concernées, notamment la recherche et la calée de la senne, le contrôle de la capture, le transfert vers la cage de transport, le remorquage éventuel ou le stockage de courte durée, les opérations de remise à l'eau ou les cas de mortalité, ainsi que les exigences en matière de documentation et de vérification qui y sont associées. Le navire participant est déjà équipé d'un système de surveillance électronique à distance (REM) installé conformément aux exigences écossaises en matière de REM pour la pêche pélagique. La Norvège a l'intention d'utiliser ce système existant comme base technique pour le projet pilote, tout en évaluant s'il est suffisant pour l’EMS de l’ICCAT et pour répondre aux besoins spécifiques de surveillance liés au stockage du thon rouge vivant.</w:t>
      </w:r>
    </w:p>
    <w:p w14:paraId="5E11D148"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6ABE904E" w14:textId="77777777"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L'un des principaux objectifs de ce projet pilote est de mettre en évidence les éventuelles lacunes entre le système REM actuel et les exigences de surveillance applicables aux opérations de stockage du thon rouge vivant. Une attention particulière sera accordée à la capacité du système à documenter de manière adéquate les activités de pêche, les opérations de transfert, les cas de remise à l'eau ou de mortalité, le bien-être des poissons, l'estimation des captures, la traçabilité et la cohérence avec les carnets de pêche, les documents de transfert et la documentation eBCD. Lorsque le système actuel n'assure pas une couverture suffisante, des mesures de surveillance supplémentaires peuvent s'avérer nécessaires.</w:t>
      </w:r>
    </w:p>
    <w:p w14:paraId="6989FE2F"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2BB2E7DA" w14:textId="77777777"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Compte tenu de la portée limitée de ce projet pilote, la Norvège a l'intention d'examiner l'intégralité des évènements liés à la pêche, au transfert, à la remise à l'eau, à la mortalité, aux interventions en matière de bien-être animal et aux défaillances du système. Les registres EMS feront l'objet d'une vérification croisée avec les rapports des observateurs, les carnets de pêche des navires, la documentation eBCD, les registres de transfert et les observations scientifiques.</w:t>
      </w:r>
    </w:p>
    <w:p w14:paraId="26C9918B"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3337B3DB" w14:textId="09755A62" w:rsidR="00AC4B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La Norvège a transmis la description du programme au Groupe de travail EMS afin de présenter l'approche envisagée et de recueillir des avis techniques sur l'utilisation proposée de l'EMS, notamment en ce qui concerne les lacunes, les mesures de sécurité ou les améliorations à prendre en compte avant ou pendant la mise en œuvre du projet pilote.</w:t>
      </w:r>
    </w:p>
    <w:p w14:paraId="208B37AF" w14:textId="1DE13892" w:rsidR="00E16AD0" w:rsidRPr="0048521D" w:rsidRDefault="00E16AD0">
      <w:pPr>
        <w:widowControl/>
        <w:jc w:val="left"/>
        <w:rPr>
          <w:rFonts w:ascii="Cambria" w:eastAsia="MS Mincho" w:hAnsi="Cambria"/>
          <w:b/>
          <w:bCs/>
          <w:kern w:val="0"/>
          <w:sz w:val="20"/>
          <w:szCs w:val="20"/>
        </w:rPr>
      </w:pPr>
      <w:r w:rsidRPr="0048521D">
        <w:rPr>
          <w:rFonts w:ascii="Cambria" w:hAnsi="Cambria"/>
          <w:sz w:val="20"/>
          <w:szCs w:val="20"/>
        </w:rPr>
        <w:br w:type="page"/>
      </w:r>
    </w:p>
    <w:p w14:paraId="1F15F7B4" w14:textId="39BF4C41" w:rsidR="00AC4BD0" w:rsidRPr="0048521D" w:rsidRDefault="00AC4BD0" w:rsidP="00AC4BD0">
      <w:pPr>
        <w:widowControl/>
        <w:spacing w:line="220" w:lineRule="exact"/>
        <w:jc w:val="right"/>
        <w:rPr>
          <w:rFonts w:ascii="Cambria" w:eastAsia="MS Mincho" w:hAnsi="Cambria"/>
          <w:b/>
          <w:bCs/>
          <w:kern w:val="0"/>
          <w:sz w:val="20"/>
          <w:szCs w:val="20"/>
        </w:rPr>
      </w:pPr>
      <w:r w:rsidRPr="0048521D">
        <w:rPr>
          <w:rFonts w:ascii="Cambria" w:hAnsi="Cambria"/>
          <w:b/>
          <w:bCs/>
          <w:sz w:val="20"/>
          <w:szCs w:val="20"/>
        </w:rPr>
        <w:lastRenderedPageBreak/>
        <w:t>Annexe 1</w:t>
      </w:r>
    </w:p>
    <w:p w14:paraId="11317028" w14:textId="77777777" w:rsidR="00AC4BD0" w:rsidRPr="0048521D" w:rsidRDefault="00AC4BD0" w:rsidP="00AC4BD0">
      <w:pPr>
        <w:widowControl/>
        <w:spacing w:line="220" w:lineRule="exact"/>
        <w:jc w:val="right"/>
        <w:rPr>
          <w:rFonts w:ascii="Cambria" w:eastAsia="MS Mincho" w:hAnsi="Cambria"/>
          <w:b/>
          <w:bCs/>
          <w:kern w:val="0"/>
          <w:sz w:val="20"/>
          <w:szCs w:val="20"/>
          <w:lang w:eastAsia="en-US"/>
        </w:rPr>
      </w:pPr>
    </w:p>
    <w:p w14:paraId="5747EE55" w14:textId="17E3F40B" w:rsidR="000E22EC" w:rsidRPr="0048521D" w:rsidRDefault="000E22EC" w:rsidP="000E22EC">
      <w:pPr>
        <w:widowControl/>
        <w:spacing w:line="220" w:lineRule="exact"/>
        <w:jc w:val="center"/>
        <w:rPr>
          <w:rFonts w:ascii="Cambria" w:eastAsia="MS Mincho" w:hAnsi="Cambria"/>
          <w:b/>
          <w:bCs/>
          <w:kern w:val="0"/>
          <w:sz w:val="20"/>
          <w:szCs w:val="20"/>
        </w:rPr>
      </w:pPr>
      <w:r w:rsidRPr="0048521D">
        <w:rPr>
          <w:rFonts w:ascii="Cambria" w:hAnsi="Cambria"/>
          <w:b/>
          <w:bCs/>
          <w:sz w:val="20"/>
          <w:szCs w:val="20"/>
        </w:rPr>
        <w:t>Description du programme</w:t>
      </w:r>
    </w:p>
    <w:p w14:paraId="74FE1085" w14:textId="7D8F15DB" w:rsidR="00B4102F" w:rsidRPr="0048521D" w:rsidRDefault="000E22EC" w:rsidP="000E22EC">
      <w:pPr>
        <w:widowControl/>
        <w:spacing w:line="220" w:lineRule="exact"/>
        <w:jc w:val="center"/>
        <w:rPr>
          <w:rFonts w:ascii="Cambria" w:eastAsia="MS Mincho" w:hAnsi="Cambria"/>
          <w:b/>
          <w:bCs/>
          <w:kern w:val="0"/>
          <w:sz w:val="20"/>
          <w:szCs w:val="20"/>
        </w:rPr>
      </w:pPr>
      <w:r w:rsidRPr="0048521D">
        <w:rPr>
          <w:rFonts w:ascii="Cambria" w:hAnsi="Cambria"/>
          <w:b/>
          <w:bCs/>
          <w:sz w:val="20"/>
          <w:szCs w:val="20"/>
        </w:rPr>
        <w:t>Système de surveillance électronique (EMS) et couverture par des observateurs dans le cadre du projet pilote norvégien de stockage de courte durée de thons rouges vivants</w:t>
      </w:r>
    </w:p>
    <w:p w14:paraId="34AC341B" w14:textId="2FC1985B" w:rsidR="002F2E07" w:rsidRPr="0048521D" w:rsidRDefault="002F2E07" w:rsidP="000E22EC">
      <w:pPr>
        <w:widowControl/>
        <w:spacing w:line="220" w:lineRule="exact"/>
        <w:jc w:val="center"/>
        <w:rPr>
          <w:rFonts w:ascii="Cambria" w:eastAsia="MS Mincho" w:hAnsi="Cambria"/>
          <w:i/>
          <w:iCs/>
          <w:kern w:val="0"/>
          <w:sz w:val="20"/>
          <w:szCs w:val="20"/>
        </w:rPr>
      </w:pPr>
      <w:r w:rsidRPr="0048521D">
        <w:rPr>
          <w:rFonts w:ascii="Cambria" w:hAnsi="Cambria"/>
          <w:i/>
          <w:iCs/>
          <w:sz w:val="20"/>
          <w:szCs w:val="20"/>
        </w:rPr>
        <w:t>(Document soumis par la Norvège)</w:t>
      </w:r>
    </w:p>
    <w:p w14:paraId="51CCC02B" w14:textId="77777777" w:rsidR="00B4102F" w:rsidRPr="0048521D" w:rsidRDefault="00B4102F" w:rsidP="00B4102F">
      <w:pPr>
        <w:widowControl/>
        <w:spacing w:line="220" w:lineRule="exact"/>
        <w:jc w:val="center"/>
        <w:rPr>
          <w:rFonts w:ascii="Cambria" w:eastAsia="MS Mincho" w:hAnsi="Cambria"/>
          <w:b/>
          <w:bCs/>
          <w:kern w:val="0"/>
          <w:sz w:val="20"/>
          <w:szCs w:val="20"/>
          <w:lang w:eastAsia="en-US"/>
        </w:rPr>
      </w:pPr>
    </w:p>
    <w:p w14:paraId="7C5B8FC8" w14:textId="77777777" w:rsidR="002F2E07" w:rsidRPr="0048521D" w:rsidRDefault="002F2E07" w:rsidP="009C63CB">
      <w:pPr>
        <w:widowControl/>
        <w:spacing w:line="220" w:lineRule="exact"/>
        <w:rPr>
          <w:rFonts w:ascii="Cambria" w:eastAsia="MS Mincho" w:hAnsi="Cambria"/>
          <w:b/>
          <w:bCs/>
          <w:kern w:val="0"/>
          <w:sz w:val="20"/>
          <w:szCs w:val="20"/>
          <w:lang w:eastAsia="en-US"/>
        </w:rPr>
      </w:pPr>
    </w:p>
    <w:p w14:paraId="4569D2BA" w14:textId="06FD0A3D" w:rsidR="002F2E07" w:rsidRPr="0048521D" w:rsidRDefault="009C63CB" w:rsidP="009C63CB">
      <w:pPr>
        <w:widowControl/>
        <w:spacing w:line="220" w:lineRule="exact"/>
        <w:rPr>
          <w:rFonts w:ascii="Cambria" w:eastAsia="MS Mincho" w:hAnsi="Cambria"/>
          <w:kern w:val="0"/>
          <w:sz w:val="20"/>
          <w:szCs w:val="20"/>
        </w:rPr>
      </w:pPr>
      <w:r w:rsidRPr="0048521D">
        <w:rPr>
          <w:rFonts w:ascii="Cambria" w:hAnsi="Cambria"/>
          <w:sz w:val="20"/>
          <w:szCs w:val="20"/>
        </w:rPr>
        <w:t>Préparé en tant que description de programme conforme à celle de l’ICCAT, en utilisant le cadre proposé de meilleures pratiques en matière d’EMS et les spécifications techniques écossaises du REM pour les navires pélagiques.</w:t>
      </w:r>
    </w:p>
    <w:p w14:paraId="70894DC3" w14:textId="77777777" w:rsidR="00B4102F" w:rsidRPr="0048521D" w:rsidRDefault="00B4102F" w:rsidP="00B4102F">
      <w:pPr>
        <w:widowControl/>
        <w:spacing w:line="220" w:lineRule="exact"/>
        <w:jc w:val="center"/>
        <w:rPr>
          <w:rFonts w:ascii="Cambria" w:eastAsia="MS Mincho" w:hAnsi="Cambria"/>
          <w:kern w:val="0"/>
          <w:sz w:val="20"/>
          <w:szCs w:val="20"/>
          <w:lang w:eastAsia="en-US"/>
        </w:rPr>
      </w:pPr>
    </w:p>
    <w:p w14:paraId="72130017" w14:textId="77777777" w:rsidR="008264A3" w:rsidRPr="0048521D" w:rsidRDefault="008264A3" w:rsidP="00B4102F">
      <w:pPr>
        <w:widowControl/>
        <w:spacing w:line="220" w:lineRule="exact"/>
        <w:jc w:val="center"/>
        <w:rPr>
          <w:rFonts w:ascii="Cambria" w:eastAsia="MS Mincho" w:hAnsi="Cambria"/>
          <w:kern w:val="0"/>
          <w:sz w:val="20"/>
          <w:szCs w:val="20"/>
          <w:lang w:eastAsia="en-US"/>
        </w:rPr>
      </w:pPr>
    </w:p>
    <w:p w14:paraId="5E792A8C" w14:textId="24E39CEC" w:rsidR="00B4102F" w:rsidRPr="0048521D" w:rsidRDefault="008264A3" w:rsidP="008264A3">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1.</w:t>
      </w:r>
      <w:r w:rsidRPr="0048521D">
        <w:rPr>
          <w:rFonts w:ascii="Cambria" w:hAnsi="Cambria"/>
          <w:b/>
          <w:bCs/>
          <w:sz w:val="20"/>
          <w:szCs w:val="20"/>
        </w:rPr>
        <w:tab/>
        <w:t>Identité du programme et base juridique</w:t>
      </w:r>
    </w:p>
    <w:p w14:paraId="3F56F07B" w14:textId="77777777" w:rsidR="00B4102F" w:rsidRPr="0048521D" w:rsidRDefault="00B4102F" w:rsidP="00C4686F">
      <w:pPr>
        <w:widowControl/>
        <w:tabs>
          <w:tab w:val="left" w:pos="426"/>
        </w:tabs>
        <w:spacing w:line="240" w:lineRule="exact"/>
        <w:jc w:val="left"/>
        <w:rPr>
          <w:rFonts w:ascii="Cambria" w:eastAsia="MS Mincho" w:hAnsi="Cambria"/>
          <w:kern w:val="0"/>
          <w:sz w:val="20"/>
          <w:szCs w:val="20"/>
          <w:lang w:eastAsia="en-US"/>
        </w:rPr>
      </w:pPr>
    </w:p>
    <w:tbl>
      <w:tblPr>
        <w:tblStyle w:val="Grilledutableau"/>
        <w:tblW w:w="0" w:type="auto"/>
        <w:jc w:val="center"/>
        <w:tblLook w:val="04A0" w:firstRow="1" w:lastRow="0" w:firstColumn="1" w:lastColumn="0" w:noHBand="0" w:noVBand="1"/>
      </w:tblPr>
      <w:tblGrid>
        <w:gridCol w:w="2268"/>
        <w:gridCol w:w="6236"/>
      </w:tblGrid>
      <w:tr w:rsidR="005052CB" w:rsidRPr="0048521D" w14:paraId="67357BF1" w14:textId="77777777" w:rsidTr="005052CB">
        <w:trPr>
          <w:jc w:val="center"/>
        </w:trPr>
        <w:tc>
          <w:tcPr>
            <w:tcW w:w="2268" w:type="dxa"/>
          </w:tcPr>
          <w:p w14:paraId="0DDFAEBC" w14:textId="77777777" w:rsidR="005052CB" w:rsidRPr="0048521D" w:rsidRDefault="005052CB" w:rsidP="005052CB">
            <w:pPr>
              <w:widowControl/>
              <w:jc w:val="center"/>
              <w:rPr>
                <w:rFonts w:ascii="Cambria" w:eastAsia="MS Mincho" w:hAnsi="Cambria"/>
                <w:bCs/>
                <w:i/>
                <w:iCs/>
                <w:sz w:val="20"/>
                <w:szCs w:val="20"/>
              </w:rPr>
            </w:pPr>
            <w:r w:rsidRPr="0048521D">
              <w:rPr>
                <w:rFonts w:ascii="Cambria" w:hAnsi="Cambria"/>
                <w:bCs/>
                <w:i/>
                <w:iCs/>
                <w:sz w:val="20"/>
                <w:szCs w:val="20"/>
              </w:rPr>
              <w:t>Élément</w:t>
            </w:r>
          </w:p>
        </w:tc>
        <w:tc>
          <w:tcPr>
            <w:tcW w:w="6236" w:type="dxa"/>
          </w:tcPr>
          <w:p w14:paraId="593F29DA" w14:textId="77777777" w:rsidR="005052CB" w:rsidRPr="0048521D" w:rsidRDefault="005052CB" w:rsidP="005052CB">
            <w:pPr>
              <w:widowControl/>
              <w:jc w:val="center"/>
              <w:rPr>
                <w:rFonts w:ascii="Cambria" w:eastAsia="MS Mincho" w:hAnsi="Cambria"/>
                <w:bCs/>
                <w:i/>
                <w:iCs/>
                <w:sz w:val="20"/>
                <w:szCs w:val="20"/>
              </w:rPr>
            </w:pPr>
            <w:r w:rsidRPr="0048521D">
              <w:rPr>
                <w:rFonts w:ascii="Cambria" w:hAnsi="Cambria"/>
                <w:bCs/>
                <w:i/>
                <w:iCs/>
                <w:sz w:val="20"/>
                <w:szCs w:val="20"/>
              </w:rPr>
              <w:t>Description provisoire</w:t>
            </w:r>
          </w:p>
        </w:tc>
      </w:tr>
      <w:tr w:rsidR="005052CB" w:rsidRPr="0048521D" w14:paraId="7AB9363C" w14:textId="77777777" w:rsidTr="005833E8">
        <w:trPr>
          <w:jc w:val="center"/>
        </w:trPr>
        <w:tc>
          <w:tcPr>
            <w:tcW w:w="2268" w:type="dxa"/>
          </w:tcPr>
          <w:p w14:paraId="09E0AE09"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Nom du programme</w:t>
            </w:r>
          </w:p>
        </w:tc>
        <w:tc>
          <w:tcPr>
            <w:tcW w:w="6236" w:type="dxa"/>
          </w:tcPr>
          <w:p w14:paraId="0B814ED0"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Système EMS et programme de surveillance par des observateurs dans le cadre du projet pilote norvégien de stockage de courte durée de thons rouges de l'Atlantique vivants.</w:t>
            </w:r>
          </w:p>
        </w:tc>
      </w:tr>
      <w:tr w:rsidR="005052CB" w:rsidRPr="0048521D" w14:paraId="5143D7C8" w14:textId="77777777" w:rsidTr="005833E8">
        <w:trPr>
          <w:jc w:val="center"/>
        </w:trPr>
        <w:tc>
          <w:tcPr>
            <w:tcW w:w="2268" w:type="dxa"/>
          </w:tcPr>
          <w:p w14:paraId="2E62903D" w14:textId="77777777" w:rsidR="005052CB" w:rsidRPr="0048521D" w:rsidRDefault="005052CB" w:rsidP="005052CB">
            <w:pPr>
              <w:widowControl/>
              <w:spacing w:line="220" w:lineRule="exact"/>
              <w:rPr>
                <w:rFonts w:ascii="Cambria" w:eastAsia="MS Mincho" w:hAnsi="Cambria"/>
                <w:sz w:val="20"/>
                <w:szCs w:val="20"/>
              </w:rPr>
            </w:pPr>
            <w:proofErr w:type="spellStart"/>
            <w:r w:rsidRPr="0048521D">
              <w:rPr>
                <w:rFonts w:ascii="Cambria" w:hAnsi="Cambria"/>
                <w:sz w:val="20"/>
                <w:szCs w:val="20"/>
              </w:rPr>
              <w:t>CPC</w:t>
            </w:r>
            <w:proofErr w:type="spellEnd"/>
            <w:r w:rsidRPr="0048521D">
              <w:rPr>
                <w:rFonts w:ascii="Cambria" w:hAnsi="Cambria"/>
                <w:sz w:val="20"/>
                <w:szCs w:val="20"/>
              </w:rPr>
              <w:t xml:space="preserve"> / autorité</w:t>
            </w:r>
          </w:p>
        </w:tc>
        <w:tc>
          <w:tcPr>
            <w:tcW w:w="6236" w:type="dxa"/>
          </w:tcPr>
          <w:p w14:paraId="16443221"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Norvège. Autorité compétente principale : Direction des pêches. Partenaire scientifique : Institut de recherche marine (</w:t>
            </w:r>
            <w:proofErr w:type="spellStart"/>
            <w:r w:rsidRPr="0048521D">
              <w:rPr>
                <w:rFonts w:ascii="Cambria" w:hAnsi="Cambria"/>
                <w:sz w:val="20"/>
                <w:szCs w:val="20"/>
              </w:rPr>
              <w:t>IMR</w:t>
            </w:r>
            <w:proofErr w:type="spellEnd"/>
            <w:r w:rsidRPr="0048521D">
              <w:rPr>
                <w:rFonts w:ascii="Cambria" w:hAnsi="Cambria"/>
                <w:sz w:val="20"/>
                <w:szCs w:val="20"/>
              </w:rPr>
              <w:t xml:space="preserve">). </w:t>
            </w:r>
          </w:p>
        </w:tc>
      </w:tr>
      <w:tr w:rsidR="005052CB" w:rsidRPr="0048521D" w14:paraId="67C1076E" w14:textId="77777777" w:rsidTr="005833E8">
        <w:trPr>
          <w:jc w:val="center"/>
        </w:trPr>
        <w:tc>
          <w:tcPr>
            <w:tcW w:w="2268" w:type="dxa"/>
          </w:tcPr>
          <w:p w14:paraId="32B9EB8C"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Base juridique de l’ICCAT</w:t>
            </w:r>
          </w:p>
        </w:tc>
        <w:tc>
          <w:tcPr>
            <w:tcW w:w="6236" w:type="dxa"/>
          </w:tcPr>
          <w:p w14:paraId="218E362C" w14:textId="123C2438" w:rsidR="005052CB" w:rsidRPr="0048521D" w:rsidRDefault="00024BCC" w:rsidP="001F1B28">
            <w:pPr>
              <w:widowControl/>
              <w:spacing w:line="220" w:lineRule="exact"/>
              <w:rPr>
                <w:rFonts w:ascii="Cambria" w:eastAsia="MS Mincho" w:hAnsi="Cambria"/>
                <w:sz w:val="20"/>
                <w:szCs w:val="20"/>
              </w:rPr>
            </w:pPr>
            <w:hyperlink r:id="rId11" w:history="1">
              <w:r w:rsidRPr="0048521D">
                <w:rPr>
                  <w:rStyle w:val="Lienhypertexte"/>
                  <w:rFonts w:ascii="Cambria" w:hAnsi="Cambria"/>
                  <w:i/>
                  <w:iCs/>
                  <w:sz w:val="20"/>
                  <w:szCs w:val="20"/>
                  <w:u w:val="none"/>
                </w:rPr>
                <w:t>Résolution de l’ICCAT amendant la Résolution 22-07 sur un projet pilote de stockage de courte durée du thon rouge vivan</w:t>
              </w:r>
              <w:r w:rsidR="00727D9D" w:rsidRPr="0048521D">
                <w:rPr>
                  <w:rStyle w:val="Lienhypertexte"/>
                  <w:rFonts w:ascii="Cambria" w:hAnsi="Cambria"/>
                  <w:i/>
                  <w:iCs/>
                  <w:sz w:val="20"/>
                  <w:szCs w:val="20"/>
                  <w:u w:val="none"/>
                </w:rPr>
                <w:t xml:space="preserve">t </w:t>
              </w:r>
              <w:r w:rsidR="00057648" w:rsidRPr="0048521D">
                <w:rPr>
                  <w:rStyle w:val="Lienhypertexte"/>
                  <w:rFonts w:ascii="Cambria" w:hAnsi="Cambria"/>
                  <w:sz w:val="20"/>
                  <w:szCs w:val="20"/>
                  <w:u w:val="none"/>
                </w:rPr>
                <w:t>(</w:t>
              </w:r>
              <w:r w:rsidR="00727D9D" w:rsidRPr="0048521D">
                <w:rPr>
                  <w:rStyle w:val="Lienhypertexte"/>
                  <w:rFonts w:ascii="Cambria" w:hAnsi="Cambria"/>
                  <w:sz w:val="20"/>
                  <w:szCs w:val="20"/>
                  <w:u w:val="none"/>
                </w:rPr>
                <w:t xml:space="preserve">Rés. </w:t>
              </w:r>
              <w:r w:rsidR="00727D9D" w:rsidRPr="0048521D">
                <w:rPr>
                  <w:rStyle w:val="Lienhypertexte"/>
                  <w:rFonts w:ascii="Cambria" w:hAnsi="Cambria"/>
                  <w:sz w:val="20"/>
                  <w:szCs w:val="20"/>
                  <w:u w:val="none"/>
                </w:rPr>
                <w:t>25-03)</w:t>
              </w:r>
            </w:hyperlink>
            <w:r w:rsidRPr="0048521D">
              <w:rPr>
                <w:rFonts w:ascii="Cambria" w:hAnsi="Cambria"/>
                <w:sz w:val="20"/>
                <w:szCs w:val="20"/>
              </w:rPr>
              <w:t xml:space="preserve"> ; </w:t>
            </w:r>
            <w:hyperlink r:id="rId12" w:history="1">
              <w:r w:rsidRPr="0048521D">
                <w:rPr>
                  <w:rStyle w:val="Lienhypertexte"/>
                  <w:rFonts w:ascii="Cambria" w:hAnsi="Cambria"/>
                  <w:i/>
                  <w:iCs/>
                  <w:sz w:val="20"/>
                  <w:szCs w:val="20"/>
                  <w:u w:val="none"/>
                </w:rPr>
                <w:t xml:space="preserve"> Recommandation de l’ICCAT amendant la Recommandation 22-08 établissant un plan pluriannuel de gestion du thon rouge dans l’Atlantique Est et la Méditerrané</w:t>
              </w:r>
              <w:r w:rsidR="00057648" w:rsidRPr="0048521D">
                <w:rPr>
                  <w:rStyle w:val="Lienhypertexte"/>
                  <w:rFonts w:ascii="Cambria" w:hAnsi="Cambria"/>
                  <w:i/>
                  <w:iCs/>
                  <w:sz w:val="20"/>
                  <w:szCs w:val="20"/>
                  <w:u w:val="none"/>
                </w:rPr>
                <w:t>e</w:t>
              </w:r>
              <w:r w:rsidR="00727D9D" w:rsidRPr="0048521D">
                <w:rPr>
                  <w:rStyle w:val="Lienhypertexte"/>
                  <w:rFonts w:ascii="Cambria" w:hAnsi="Cambria"/>
                  <w:i/>
                  <w:iCs/>
                  <w:sz w:val="20"/>
                  <w:szCs w:val="20"/>
                  <w:u w:val="none"/>
                </w:rPr>
                <w:t xml:space="preserve"> </w:t>
              </w:r>
              <w:r w:rsidR="00727D9D" w:rsidRPr="0048521D">
                <w:rPr>
                  <w:rStyle w:val="Lienhypertexte"/>
                  <w:rFonts w:ascii="Cambria" w:hAnsi="Cambria"/>
                  <w:sz w:val="20"/>
                  <w:szCs w:val="20"/>
                  <w:u w:val="none"/>
                </w:rPr>
                <w:t xml:space="preserve">(Rec. </w:t>
              </w:r>
              <w:r w:rsidR="00727D9D" w:rsidRPr="0048521D">
                <w:rPr>
                  <w:rStyle w:val="Lienhypertexte"/>
                  <w:rFonts w:ascii="Cambria" w:hAnsi="Cambria"/>
                  <w:sz w:val="20"/>
                  <w:szCs w:val="20"/>
                  <w:u w:val="none"/>
                </w:rPr>
                <w:t>25-04)</w:t>
              </w:r>
            </w:hyperlink>
            <w:r w:rsidRPr="0048521D">
              <w:rPr>
                <w:rFonts w:ascii="Cambria" w:hAnsi="Cambria"/>
                <w:sz w:val="20"/>
                <w:szCs w:val="20"/>
              </w:rPr>
              <w:t> ;</w:t>
            </w:r>
            <w:hyperlink r:id="rId13" w:history="1">
              <w:r w:rsidRPr="0048521D">
                <w:rPr>
                  <w:rStyle w:val="Lienhypertexte"/>
                  <w:rFonts w:ascii="Cambria" w:hAnsi="Cambria"/>
                  <w:i/>
                  <w:iCs/>
                  <w:sz w:val="20"/>
                  <w:szCs w:val="20"/>
                  <w:u w:val="none"/>
                </w:rPr>
                <w:t xml:space="preserve"> Recommandation de l’ICCAT visant à établir des normes minimales et des exigences du programme aux fins de l'utilisation des systèmes de surveillance électronique (EMS) dans les pêcheries de l’ICCA</w:t>
              </w:r>
              <w:r w:rsidR="00767815" w:rsidRPr="0048521D">
                <w:rPr>
                  <w:rStyle w:val="Lienhypertexte"/>
                  <w:rFonts w:ascii="Cambria" w:hAnsi="Cambria"/>
                  <w:i/>
                  <w:iCs/>
                  <w:sz w:val="20"/>
                  <w:szCs w:val="20"/>
                  <w:u w:val="none"/>
                </w:rPr>
                <w:t xml:space="preserve">T </w:t>
              </w:r>
              <w:r w:rsidR="00767815" w:rsidRPr="0048521D">
                <w:rPr>
                  <w:rStyle w:val="Lienhypertexte"/>
                  <w:rFonts w:ascii="Cambria" w:hAnsi="Cambria"/>
                  <w:sz w:val="20"/>
                  <w:szCs w:val="20"/>
                  <w:u w:val="none"/>
                </w:rPr>
                <w:t xml:space="preserve">(Rec. </w:t>
              </w:r>
              <w:r w:rsidR="00767815" w:rsidRPr="0048521D">
                <w:rPr>
                  <w:rStyle w:val="Lienhypertexte"/>
                  <w:rFonts w:ascii="Cambria" w:hAnsi="Cambria"/>
                  <w:sz w:val="20"/>
                  <w:szCs w:val="20"/>
                  <w:u w:val="none"/>
                </w:rPr>
                <w:t>23-18)</w:t>
              </w:r>
            </w:hyperlink>
          </w:p>
        </w:tc>
      </w:tr>
      <w:tr w:rsidR="005052CB" w:rsidRPr="0048521D" w14:paraId="2ED54C16" w14:textId="77777777" w:rsidTr="005833E8">
        <w:trPr>
          <w:jc w:val="center"/>
        </w:trPr>
        <w:tc>
          <w:tcPr>
            <w:tcW w:w="2268" w:type="dxa"/>
          </w:tcPr>
          <w:p w14:paraId="7346F1CE"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Base juridique nationale</w:t>
            </w:r>
          </w:p>
        </w:tc>
        <w:tc>
          <w:tcPr>
            <w:tcW w:w="6236" w:type="dxa"/>
          </w:tcPr>
          <w:p w14:paraId="03B76CCB" w14:textId="3563EA1B"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Réglementation norvégienne, conditions de la licence, plan de pêche annuel.</w:t>
            </w:r>
          </w:p>
        </w:tc>
      </w:tr>
      <w:tr w:rsidR="005052CB" w:rsidRPr="0048521D" w14:paraId="316042C1" w14:textId="77777777" w:rsidTr="005833E8">
        <w:trPr>
          <w:jc w:val="center"/>
        </w:trPr>
        <w:tc>
          <w:tcPr>
            <w:tcW w:w="2268" w:type="dxa"/>
          </w:tcPr>
          <w:p w14:paraId="47D4C581"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Pêcherie et engin</w:t>
            </w:r>
          </w:p>
        </w:tc>
        <w:tc>
          <w:tcPr>
            <w:tcW w:w="6236" w:type="dxa"/>
          </w:tcPr>
          <w:p w14:paraId="48A9B3B7"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Thon rouge de l’Atlantique (</w:t>
            </w:r>
            <w:proofErr w:type="spellStart"/>
            <w:r w:rsidRPr="0048521D">
              <w:rPr>
                <w:rFonts w:ascii="Cambria" w:hAnsi="Cambria"/>
                <w:i/>
                <w:iCs/>
                <w:sz w:val="20"/>
                <w:szCs w:val="20"/>
              </w:rPr>
              <w:t>Thunnus</w:t>
            </w:r>
            <w:proofErr w:type="spellEnd"/>
            <w:r w:rsidRPr="0048521D">
              <w:rPr>
                <w:rFonts w:ascii="Cambria" w:hAnsi="Cambria"/>
                <w:i/>
                <w:iCs/>
                <w:sz w:val="20"/>
                <w:szCs w:val="20"/>
              </w:rPr>
              <w:t xml:space="preserve"> </w:t>
            </w:r>
            <w:proofErr w:type="spellStart"/>
            <w:r w:rsidRPr="0048521D">
              <w:rPr>
                <w:rFonts w:ascii="Cambria" w:hAnsi="Cambria"/>
                <w:i/>
                <w:iCs/>
                <w:sz w:val="20"/>
                <w:szCs w:val="20"/>
              </w:rPr>
              <w:t>thynnus</w:t>
            </w:r>
            <w:proofErr w:type="spellEnd"/>
            <w:r w:rsidRPr="0048521D">
              <w:rPr>
                <w:rFonts w:ascii="Cambria" w:hAnsi="Cambria"/>
                <w:sz w:val="20"/>
                <w:szCs w:val="20"/>
              </w:rPr>
              <w:t>), senneur norvégien, opérations de pêche pilotes liées au transfert et au stockage de courte durée d’animaux vivants.</w:t>
            </w:r>
          </w:p>
        </w:tc>
      </w:tr>
      <w:tr w:rsidR="005052CB" w:rsidRPr="0048521D" w14:paraId="4B04A19C" w14:textId="77777777" w:rsidTr="005833E8">
        <w:trPr>
          <w:jc w:val="center"/>
        </w:trPr>
        <w:tc>
          <w:tcPr>
            <w:tcW w:w="2268" w:type="dxa"/>
          </w:tcPr>
          <w:p w14:paraId="54EDC6B2"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Période du programme</w:t>
            </w:r>
          </w:p>
        </w:tc>
        <w:tc>
          <w:tcPr>
            <w:tcW w:w="6236" w:type="dxa"/>
          </w:tcPr>
          <w:p w14:paraId="40EC79AC" w14:textId="4DFE71E3"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Période opérationnelle de deux semaines le long de la côte norvégienne en septembre/octobre.</w:t>
            </w:r>
          </w:p>
        </w:tc>
      </w:tr>
      <w:tr w:rsidR="005052CB" w:rsidRPr="0048521D" w14:paraId="121094FA" w14:textId="77777777" w:rsidTr="005833E8">
        <w:trPr>
          <w:jc w:val="center"/>
        </w:trPr>
        <w:tc>
          <w:tcPr>
            <w:tcW w:w="2268" w:type="dxa"/>
          </w:tcPr>
          <w:p w14:paraId="0BB8CD9E"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Navire</w:t>
            </w:r>
          </w:p>
        </w:tc>
        <w:tc>
          <w:tcPr>
            <w:tcW w:w="6236" w:type="dxa"/>
          </w:tcPr>
          <w:p w14:paraId="4BB4E81C"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 xml:space="preserve">Un senneur norvégien. </w:t>
            </w:r>
            <w:r w:rsidRPr="0048521D">
              <w:rPr>
                <w:rFonts w:ascii="Cambria" w:hAnsi="Cambria"/>
                <w:sz w:val="20"/>
                <w:szCs w:val="20"/>
              </w:rPr>
              <w:br/>
              <w:t xml:space="preserve">Nom du navire : </w:t>
            </w:r>
            <w:proofErr w:type="spellStart"/>
            <w:r w:rsidRPr="0048521D">
              <w:rPr>
                <w:rFonts w:ascii="Cambria" w:hAnsi="Cambria"/>
                <w:sz w:val="20"/>
                <w:szCs w:val="20"/>
              </w:rPr>
              <w:t>Vestbris</w:t>
            </w:r>
            <w:proofErr w:type="spellEnd"/>
            <w:r w:rsidRPr="0048521D">
              <w:rPr>
                <w:rFonts w:ascii="Cambria" w:hAnsi="Cambria"/>
                <w:sz w:val="20"/>
                <w:szCs w:val="20"/>
              </w:rPr>
              <w:t xml:space="preserve">, </w:t>
            </w:r>
            <w:r w:rsidRPr="0048521D">
              <w:rPr>
                <w:rFonts w:ascii="Cambria" w:hAnsi="Cambria"/>
                <w:sz w:val="20"/>
                <w:szCs w:val="20"/>
              </w:rPr>
              <w:br/>
            </w:r>
            <w:proofErr w:type="spellStart"/>
            <w:r w:rsidRPr="0048521D">
              <w:rPr>
                <w:rFonts w:ascii="Cambria" w:hAnsi="Cambria"/>
                <w:sz w:val="20"/>
                <w:szCs w:val="20"/>
              </w:rPr>
              <w:t>IRCS</w:t>
            </w:r>
            <w:proofErr w:type="spellEnd"/>
            <w:r w:rsidRPr="0048521D">
              <w:rPr>
                <w:rFonts w:ascii="Cambria" w:hAnsi="Cambria"/>
                <w:sz w:val="20"/>
                <w:szCs w:val="20"/>
              </w:rPr>
              <w:t xml:space="preserve"> : </w:t>
            </w:r>
            <w:proofErr w:type="spellStart"/>
            <w:r w:rsidRPr="0048521D">
              <w:rPr>
                <w:rFonts w:ascii="Cambria" w:hAnsi="Cambria"/>
                <w:sz w:val="20"/>
                <w:szCs w:val="20"/>
              </w:rPr>
              <w:t>LCJG</w:t>
            </w:r>
            <w:proofErr w:type="spellEnd"/>
            <w:r w:rsidRPr="0048521D">
              <w:rPr>
                <w:rFonts w:ascii="Cambria" w:hAnsi="Cambria"/>
                <w:sz w:val="20"/>
                <w:szCs w:val="20"/>
              </w:rPr>
              <w:br/>
              <w:t>Numéro d’immatriculation national : VL-50-G</w:t>
            </w:r>
            <w:r w:rsidRPr="0048521D">
              <w:rPr>
                <w:rFonts w:ascii="Cambria" w:hAnsi="Cambria"/>
                <w:sz w:val="20"/>
                <w:szCs w:val="20"/>
              </w:rPr>
              <w:br/>
              <w:t xml:space="preserve">numéro ICCAT : AT0061373 </w:t>
            </w:r>
          </w:p>
          <w:p w14:paraId="76395F79"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Longueur du navire (LOA) : 34,99</w:t>
            </w:r>
          </w:p>
        </w:tc>
      </w:tr>
    </w:tbl>
    <w:p w14:paraId="7633D95A" w14:textId="77777777" w:rsidR="008264A3" w:rsidRPr="0048521D" w:rsidRDefault="008264A3" w:rsidP="00C4686F">
      <w:pPr>
        <w:widowControl/>
        <w:tabs>
          <w:tab w:val="left" w:pos="426"/>
        </w:tabs>
        <w:spacing w:line="240" w:lineRule="exact"/>
        <w:jc w:val="left"/>
        <w:rPr>
          <w:rFonts w:ascii="Cambria" w:eastAsia="MS Mincho" w:hAnsi="Cambria"/>
          <w:kern w:val="0"/>
          <w:sz w:val="20"/>
          <w:szCs w:val="20"/>
          <w:lang w:eastAsia="en-US"/>
        </w:rPr>
      </w:pPr>
    </w:p>
    <w:p w14:paraId="090FE4C5" w14:textId="77777777" w:rsidR="001A1C52" w:rsidRPr="0048521D" w:rsidRDefault="001A1C52" w:rsidP="00C4686F">
      <w:pPr>
        <w:widowControl/>
        <w:tabs>
          <w:tab w:val="left" w:pos="426"/>
        </w:tabs>
        <w:spacing w:line="240" w:lineRule="exact"/>
        <w:jc w:val="left"/>
        <w:rPr>
          <w:rFonts w:ascii="Cambria" w:eastAsia="MS Mincho" w:hAnsi="Cambria"/>
          <w:kern w:val="0"/>
          <w:sz w:val="20"/>
          <w:szCs w:val="20"/>
          <w:lang w:eastAsia="en-US"/>
        </w:rPr>
      </w:pPr>
    </w:p>
    <w:p w14:paraId="227BA533" w14:textId="789C8FDB" w:rsidR="00CB24FD" w:rsidRPr="0048521D" w:rsidRDefault="00CB24FD" w:rsidP="00CB24FD">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2.</w:t>
      </w:r>
      <w:r w:rsidRPr="0048521D">
        <w:rPr>
          <w:rFonts w:ascii="Cambria" w:hAnsi="Cambria"/>
          <w:b/>
          <w:bCs/>
          <w:sz w:val="20"/>
          <w:szCs w:val="20"/>
        </w:rPr>
        <w:tab/>
        <w:t>But et objectifs</w:t>
      </w:r>
    </w:p>
    <w:p w14:paraId="3E8B5EA9" w14:textId="77777777" w:rsidR="00CB24FD" w:rsidRPr="0048521D" w:rsidRDefault="00CB24FD" w:rsidP="00BE6B16">
      <w:pPr>
        <w:widowControl/>
        <w:tabs>
          <w:tab w:val="left" w:pos="426"/>
        </w:tabs>
        <w:spacing w:line="220" w:lineRule="exact"/>
        <w:rPr>
          <w:rFonts w:ascii="Cambria" w:eastAsia="MS Mincho" w:hAnsi="Cambria"/>
          <w:b/>
          <w:bCs/>
          <w:kern w:val="0"/>
          <w:sz w:val="20"/>
          <w:szCs w:val="20"/>
          <w:lang w:eastAsia="en-US"/>
        </w:rPr>
      </w:pPr>
    </w:p>
    <w:p w14:paraId="7C7D6420" w14:textId="77777777" w:rsidR="00CB24FD" w:rsidRPr="0048521D" w:rsidRDefault="00CB24FD" w:rsidP="00BE6B16">
      <w:pPr>
        <w:widowControl/>
        <w:tabs>
          <w:tab w:val="left" w:pos="426"/>
        </w:tabs>
        <w:spacing w:line="240" w:lineRule="exact"/>
        <w:rPr>
          <w:rFonts w:ascii="Cambria" w:eastAsia="MS Mincho" w:hAnsi="Cambria"/>
          <w:kern w:val="0"/>
          <w:sz w:val="20"/>
          <w:szCs w:val="20"/>
        </w:rPr>
      </w:pPr>
      <w:r w:rsidRPr="0048521D">
        <w:rPr>
          <w:rFonts w:ascii="Cambria" w:hAnsi="Cambria"/>
          <w:sz w:val="20"/>
          <w:szCs w:val="20"/>
        </w:rPr>
        <w:t>Le but du programme est de documenter et d’évaluer l’utilisation du système EMS au cours du projet pilote norvégien de stockage de courte durée de thons rouges vivants. Le programme est conçu pour soutenir la déclaration à l’ICCAT, les besoins de la Norvège en matière de contrôle, l’évaluation scientifique et le développement de futures normes pour le stockage de spécimens vivants en Norvège.</w:t>
      </w:r>
    </w:p>
    <w:p w14:paraId="0453B47A" w14:textId="77777777" w:rsidR="00BE6B16" w:rsidRPr="0048521D" w:rsidRDefault="00BE6B16" w:rsidP="00BE6B16">
      <w:pPr>
        <w:widowControl/>
        <w:tabs>
          <w:tab w:val="left" w:pos="426"/>
        </w:tabs>
        <w:spacing w:line="240" w:lineRule="exact"/>
        <w:rPr>
          <w:rFonts w:ascii="Cambria" w:eastAsia="MS Mincho" w:hAnsi="Cambria"/>
          <w:kern w:val="0"/>
          <w:sz w:val="20"/>
          <w:szCs w:val="20"/>
          <w:lang w:eastAsia="en-US"/>
        </w:rPr>
      </w:pPr>
    </w:p>
    <w:p w14:paraId="71770E37" w14:textId="77777777" w:rsidR="00CB24FD" w:rsidRPr="0048521D" w:rsidRDefault="00CB24FD" w:rsidP="00BE6B16">
      <w:pPr>
        <w:widowControl/>
        <w:tabs>
          <w:tab w:val="left" w:pos="426"/>
        </w:tabs>
        <w:spacing w:line="240" w:lineRule="exact"/>
        <w:rPr>
          <w:rFonts w:ascii="Cambria" w:eastAsia="MS Mincho" w:hAnsi="Cambria"/>
          <w:kern w:val="0"/>
          <w:sz w:val="20"/>
          <w:szCs w:val="20"/>
        </w:rPr>
      </w:pPr>
      <w:r w:rsidRPr="0048521D">
        <w:rPr>
          <w:rFonts w:ascii="Cambria" w:hAnsi="Cambria"/>
          <w:sz w:val="20"/>
          <w:szCs w:val="20"/>
        </w:rPr>
        <w:t>Les objectifs spécifiques sont les suivants :</w:t>
      </w:r>
    </w:p>
    <w:p w14:paraId="09D842FA" w14:textId="77777777" w:rsidR="00BE6B16" w:rsidRPr="0048521D" w:rsidRDefault="00BE6B16" w:rsidP="00BE6B16">
      <w:pPr>
        <w:widowControl/>
        <w:tabs>
          <w:tab w:val="left" w:pos="426"/>
        </w:tabs>
        <w:spacing w:line="240" w:lineRule="exact"/>
        <w:rPr>
          <w:rFonts w:ascii="Cambria" w:eastAsia="MS Mincho" w:hAnsi="Cambria"/>
          <w:kern w:val="0"/>
          <w:sz w:val="20"/>
          <w:szCs w:val="20"/>
          <w:lang w:eastAsia="en-US"/>
        </w:rPr>
      </w:pPr>
    </w:p>
    <w:p w14:paraId="7F695813" w14:textId="23C36955" w:rsidR="00CB24FD" w:rsidRPr="0048521D" w:rsidRDefault="00CB24FD" w:rsidP="00BE6B16">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Documenter le navire, l’engin et le contexte opérationnel pour la capture de thons rouges à la senne au cours de la période pilote.</w:t>
      </w:r>
    </w:p>
    <w:p w14:paraId="0764DA1A" w14:textId="74BF57E4" w:rsidR="00CB24FD" w:rsidRPr="0048521D" w:rsidRDefault="00CB24FD" w:rsidP="00BE6B16">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Garantir une présence continue des observateurs régionaux du ROP-</w:t>
      </w:r>
      <w:proofErr w:type="spellStart"/>
      <w:r w:rsidRPr="0048521D">
        <w:rPr>
          <w:rFonts w:ascii="Cambria" w:hAnsi="Cambria"/>
          <w:sz w:val="20"/>
          <w:szCs w:val="20"/>
        </w:rPr>
        <w:t>BFT</w:t>
      </w:r>
      <w:proofErr w:type="spellEnd"/>
      <w:r w:rsidRPr="0048521D">
        <w:rPr>
          <w:rFonts w:ascii="Cambria" w:hAnsi="Cambria"/>
          <w:sz w:val="20"/>
          <w:szCs w:val="20"/>
        </w:rPr>
        <w:t xml:space="preserve"> de l’ICCAT à bord du navire participant pendant la période de pêche, conformément aux exigences du ROP-</w:t>
      </w:r>
      <w:proofErr w:type="spellStart"/>
      <w:r w:rsidRPr="0048521D">
        <w:rPr>
          <w:rFonts w:ascii="Cambria" w:hAnsi="Cambria"/>
          <w:sz w:val="20"/>
          <w:szCs w:val="20"/>
        </w:rPr>
        <w:t>BFT</w:t>
      </w:r>
      <w:proofErr w:type="spellEnd"/>
      <w:r w:rsidRPr="0048521D">
        <w:rPr>
          <w:rFonts w:ascii="Cambria" w:hAnsi="Cambria"/>
          <w:sz w:val="20"/>
          <w:szCs w:val="20"/>
        </w:rPr>
        <w:t xml:space="preserve"> pour les senneurs autorisés à pêcher du thon rouge.</w:t>
      </w:r>
    </w:p>
    <w:p w14:paraId="31394139" w14:textId="03BAFFDB" w:rsidR="001A1C52" w:rsidRPr="0048521D" w:rsidRDefault="00CB24FD" w:rsidP="00BE6B16">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lastRenderedPageBreak/>
        <w:t>Utiliser le système REM existant du navire, installé conformément aux exigences écossaises en matière de REM pour la pêche pélagique, comme base pour le niveau de suivi technique au cours du projet pilote.</w:t>
      </w:r>
    </w:p>
    <w:p w14:paraId="08FA1FD1" w14:textId="77777777" w:rsidR="00B76918" w:rsidRPr="0048521D" w:rsidRDefault="00B76918" w:rsidP="00B76918">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Compléter le système REM avec le personnel de la Direction des pêches et de l’</w:t>
      </w:r>
      <w:proofErr w:type="spellStart"/>
      <w:r w:rsidRPr="0048521D">
        <w:rPr>
          <w:rFonts w:ascii="Cambria" w:hAnsi="Cambria"/>
          <w:sz w:val="20"/>
          <w:szCs w:val="20"/>
        </w:rPr>
        <w:t>IMR</w:t>
      </w:r>
      <w:proofErr w:type="spellEnd"/>
      <w:r w:rsidRPr="0048521D">
        <w:rPr>
          <w:rFonts w:ascii="Cambria" w:hAnsi="Cambria"/>
          <w:sz w:val="20"/>
          <w:szCs w:val="20"/>
        </w:rPr>
        <w:t>, y compris des observations directes, l’échantillonnage scientifique, le suivi du bien-être des poissons et la documentation opérationnelle.</w:t>
      </w:r>
    </w:p>
    <w:p w14:paraId="7EA348D9" w14:textId="77777777" w:rsidR="00B76918" w:rsidRPr="0048521D" w:rsidRDefault="00B76918" w:rsidP="00B76918">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Évaluer si le système REM écossais est suffisant aux fins des normes minimales de l’ICCAT en matière d’EMS et du cas spécifique de son utilisation pour le stockage de thons rouges vivants.</w:t>
      </w:r>
    </w:p>
    <w:p w14:paraId="592EA850" w14:textId="77777777" w:rsidR="00B76918" w:rsidRPr="0048521D" w:rsidRDefault="00B76918" w:rsidP="00B76918">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Documenter les lacunes et les mesures rectificatives nécessaires avant toute future utilisation courante de l’EMS dans les opérations norvégiennes de stockage de thons rouges vivants.</w:t>
      </w:r>
    </w:p>
    <w:p w14:paraId="6FEBF156" w14:textId="77777777" w:rsidR="00B76918" w:rsidRPr="0048521D" w:rsidRDefault="00B76918" w:rsidP="00B76918">
      <w:pPr>
        <w:pStyle w:val="Paragraphedeliste"/>
        <w:widowControl/>
        <w:tabs>
          <w:tab w:val="left" w:pos="851"/>
        </w:tabs>
        <w:spacing w:line="240" w:lineRule="exact"/>
        <w:ind w:left="851"/>
        <w:rPr>
          <w:rFonts w:ascii="Cambria" w:eastAsia="MS Mincho" w:hAnsi="Cambria"/>
          <w:kern w:val="0"/>
          <w:sz w:val="20"/>
          <w:szCs w:val="20"/>
          <w:lang w:eastAsia="en-US"/>
        </w:rPr>
      </w:pPr>
    </w:p>
    <w:p w14:paraId="046E7F0C" w14:textId="77777777" w:rsidR="00DE56D3" w:rsidRPr="0048521D" w:rsidRDefault="00DE56D3" w:rsidP="00B76918">
      <w:pPr>
        <w:pStyle w:val="Paragraphedeliste"/>
        <w:widowControl/>
        <w:tabs>
          <w:tab w:val="left" w:pos="851"/>
        </w:tabs>
        <w:spacing w:line="240" w:lineRule="exact"/>
        <w:ind w:left="851"/>
        <w:rPr>
          <w:rFonts w:ascii="Cambria" w:eastAsia="MS Mincho" w:hAnsi="Cambria"/>
          <w:kern w:val="0"/>
          <w:sz w:val="20"/>
          <w:szCs w:val="20"/>
          <w:lang w:eastAsia="en-US"/>
        </w:rPr>
      </w:pPr>
    </w:p>
    <w:p w14:paraId="11737A38" w14:textId="651AA58F" w:rsidR="00A23FA2" w:rsidRPr="0048521D" w:rsidRDefault="00DE56D3" w:rsidP="00DE56D3">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3.</w:t>
      </w:r>
      <w:r w:rsidRPr="0048521D">
        <w:rPr>
          <w:rFonts w:ascii="Cambria" w:hAnsi="Cambria"/>
          <w:b/>
          <w:bCs/>
          <w:sz w:val="20"/>
          <w:szCs w:val="20"/>
        </w:rPr>
        <w:tab/>
        <w:t>Portée des opérations</w:t>
      </w:r>
    </w:p>
    <w:p w14:paraId="3A3DDD02" w14:textId="77777777" w:rsidR="00DE56D3" w:rsidRPr="0048521D" w:rsidRDefault="00DE56D3" w:rsidP="00DE56D3">
      <w:pPr>
        <w:widowControl/>
        <w:tabs>
          <w:tab w:val="left" w:pos="426"/>
        </w:tabs>
        <w:spacing w:line="220" w:lineRule="exact"/>
        <w:jc w:val="left"/>
        <w:rPr>
          <w:rFonts w:ascii="Cambria" w:eastAsia="MS Mincho" w:hAnsi="Cambria"/>
          <w:b/>
          <w:bCs/>
          <w:kern w:val="0"/>
          <w:sz w:val="20"/>
          <w:szCs w:val="20"/>
          <w:lang w:eastAsia="en-US"/>
        </w:rPr>
      </w:pPr>
    </w:p>
    <w:tbl>
      <w:tblPr>
        <w:tblStyle w:val="TableGrid1"/>
        <w:tblW w:w="0" w:type="auto"/>
        <w:jc w:val="center"/>
        <w:tblLook w:val="04A0" w:firstRow="1" w:lastRow="0" w:firstColumn="1" w:lastColumn="0" w:noHBand="0" w:noVBand="1"/>
      </w:tblPr>
      <w:tblGrid>
        <w:gridCol w:w="2268"/>
        <w:gridCol w:w="6236"/>
      </w:tblGrid>
      <w:tr w:rsidR="00873027" w:rsidRPr="0048521D" w14:paraId="45BAE25C" w14:textId="77777777" w:rsidTr="00873027">
        <w:trPr>
          <w:jc w:val="center"/>
        </w:trPr>
        <w:tc>
          <w:tcPr>
            <w:tcW w:w="2268" w:type="dxa"/>
          </w:tcPr>
          <w:p w14:paraId="77289058" w14:textId="77777777" w:rsidR="00873027" w:rsidRPr="0048521D" w:rsidRDefault="00873027" w:rsidP="00873027">
            <w:pPr>
              <w:widowControl/>
              <w:jc w:val="center"/>
              <w:rPr>
                <w:rFonts w:ascii="Cambria" w:eastAsia="MS Mincho" w:hAnsi="Cambria"/>
                <w:bCs/>
                <w:i/>
                <w:iCs/>
                <w:sz w:val="20"/>
                <w:szCs w:val="20"/>
              </w:rPr>
            </w:pPr>
            <w:r w:rsidRPr="0048521D">
              <w:rPr>
                <w:rFonts w:ascii="Cambria" w:hAnsi="Cambria"/>
                <w:bCs/>
                <w:i/>
                <w:iCs/>
                <w:sz w:val="20"/>
                <w:szCs w:val="20"/>
              </w:rPr>
              <w:t>Élément opérationnel</w:t>
            </w:r>
          </w:p>
        </w:tc>
        <w:tc>
          <w:tcPr>
            <w:tcW w:w="6236" w:type="dxa"/>
          </w:tcPr>
          <w:p w14:paraId="6A3671DC" w14:textId="4AD83403" w:rsidR="00873027" w:rsidRPr="0048521D" w:rsidRDefault="00685E3B" w:rsidP="00873027">
            <w:pPr>
              <w:widowControl/>
              <w:jc w:val="center"/>
              <w:rPr>
                <w:rFonts w:ascii="Cambria" w:eastAsia="MS Mincho" w:hAnsi="Cambria"/>
                <w:bCs/>
                <w:i/>
                <w:iCs/>
                <w:sz w:val="20"/>
                <w:szCs w:val="20"/>
              </w:rPr>
            </w:pPr>
            <w:r w:rsidRPr="0048521D">
              <w:rPr>
                <w:rFonts w:ascii="Cambria" w:eastAsia="MS Mincho" w:hAnsi="Cambria"/>
                <w:bCs/>
                <w:i/>
                <w:iCs/>
                <w:sz w:val="20"/>
                <w:szCs w:val="20"/>
              </w:rPr>
              <w:t>Description/texte indicatif provisoire</w:t>
            </w:r>
          </w:p>
        </w:tc>
      </w:tr>
      <w:tr w:rsidR="00873027" w:rsidRPr="0048521D" w14:paraId="0DE3F725" w14:textId="77777777" w:rsidTr="005833E8">
        <w:trPr>
          <w:jc w:val="center"/>
        </w:trPr>
        <w:tc>
          <w:tcPr>
            <w:tcW w:w="2268" w:type="dxa"/>
          </w:tcPr>
          <w:p w14:paraId="2D8AAA4E"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Zone</w:t>
            </w:r>
          </w:p>
        </w:tc>
        <w:tc>
          <w:tcPr>
            <w:tcW w:w="6236" w:type="dxa"/>
          </w:tcPr>
          <w:p w14:paraId="3BB445BB"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 xml:space="preserve">Côte norvégienne. Zone ICES 2.a et/ou </w:t>
            </w:r>
            <w:proofErr w:type="gramStart"/>
            <w:r w:rsidRPr="0048521D">
              <w:rPr>
                <w:rFonts w:ascii="Cambria" w:hAnsi="Cambria"/>
                <w:sz w:val="20"/>
                <w:szCs w:val="20"/>
              </w:rPr>
              <w:t>4.a.</w:t>
            </w:r>
            <w:proofErr w:type="gramEnd"/>
          </w:p>
        </w:tc>
      </w:tr>
      <w:tr w:rsidR="00873027" w:rsidRPr="0048521D" w14:paraId="034440DB" w14:textId="77777777" w:rsidTr="005833E8">
        <w:trPr>
          <w:jc w:val="center"/>
        </w:trPr>
        <w:tc>
          <w:tcPr>
            <w:tcW w:w="2268" w:type="dxa"/>
          </w:tcPr>
          <w:p w14:paraId="7D8D029B"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Calendrier</w:t>
            </w:r>
          </w:p>
        </w:tc>
        <w:tc>
          <w:tcPr>
            <w:tcW w:w="6236" w:type="dxa"/>
          </w:tcPr>
          <w:p w14:paraId="25A9EF0B"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 xml:space="preserve">Deux semaines en septembre et/ou octobre. </w:t>
            </w:r>
          </w:p>
        </w:tc>
      </w:tr>
      <w:tr w:rsidR="00873027" w:rsidRPr="0048521D" w14:paraId="7E10F01E" w14:textId="77777777" w:rsidTr="005833E8">
        <w:trPr>
          <w:jc w:val="center"/>
        </w:trPr>
        <w:tc>
          <w:tcPr>
            <w:tcW w:w="2268" w:type="dxa"/>
          </w:tcPr>
          <w:p w14:paraId="6C78CC73"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Opérations de pêche</w:t>
            </w:r>
          </w:p>
        </w:tc>
        <w:tc>
          <w:tcPr>
            <w:tcW w:w="6236" w:type="dxa"/>
          </w:tcPr>
          <w:p w14:paraId="71484F23"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Recherche et calée de la senne, contrôle de la capture, transfert vers la cage de transport, opérations de remorquage et/ou de stockage de courte durée, comme autorisé dans le cadre du projet pilote.</w:t>
            </w:r>
          </w:p>
        </w:tc>
      </w:tr>
      <w:tr w:rsidR="00873027" w:rsidRPr="0048521D" w14:paraId="1154522A" w14:textId="77777777" w:rsidTr="005833E8">
        <w:trPr>
          <w:jc w:val="center"/>
        </w:trPr>
        <w:tc>
          <w:tcPr>
            <w:tcW w:w="2268" w:type="dxa"/>
          </w:tcPr>
          <w:p w14:paraId="6AD89938"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Manipulation des captures</w:t>
            </w:r>
          </w:p>
        </w:tc>
        <w:tc>
          <w:tcPr>
            <w:tcW w:w="6236" w:type="dxa"/>
          </w:tcPr>
          <w:p w14:paraId="127AEFF5"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 xml:space="preserve">Les thons rouges vivants pourront être transférés depuis la senne vers une cage de transport et éventuellement vers une cage de stockage fixe. </w:t>
            </w:r>
          </w:p>
        </w:tc>
      </w:tr>
      <w:tr w:rsidR="00873027" w:rsidRPr="0048521D" w14:paraId="7B81FF0A" w14:textId="77777777" w:rsidTr="005833E8">
        <w:trPr>
          <w:jc w:val="center"/>
        </w:trPr>
        <w:tc>
          <w:tcPr>
            <w:tcW w:w="2268" w:type="dxa"/>
          </w:tcPr>
          <w:p w14:paraId="6AE0C5A9"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Captures non-ciblées et remises à l’eau</w:t>
            </w:r>
          </w:p>
        </w:tc>
        <w:tc>
          <w:tcPr>
            <w:tcW w:w="6236" w:type="dxa"/>
          </w:tcPr>
          <w:p w14:paraId="4C0BCB45" w14:textId="1DEEC03D"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Les prises accessoires sont peu probables mais le système devrait identifier toute prise accessoire.</w:t>
            </w:r>
          </w:p>
        </w:tc>
      </w:tr>
    </w:tbl>
    <w:p w14:paraId="28ED6605" w14:textId="77777777" w:rsidR="00DE56D3" w:rsidRPr="0048521D" w:rsidRDefault="00DE56D3" w:rsidP="00DE56D3">
      <w:pPr>
        <w:widowControl/>
        <w:tabs>
          <w:tab w:val="left" w:pos="426"/>
        </w:tabs>
        <w:spacing w:line="220" w:lineRule="exact"/>
        <w:jc w:val="left"/>
        <w:rPr>
          <w:rFonts w:ascii="Cambria" w:eastAsia="MS Mincho" w:hAnsi="Cambria"/>
          <w:b/>
          <w:bCs/>
          <w:kern w:val="0"/>
          <w:sz w:val="20"/>
          <w:szCs w:val="20"/>
          <w:lang w:eastAsia="en-US"/>
        </w:rPr>
      </w:pPr>
    </w:p>
    <w:p w14:paraId="31C87FA7" w14:textId="77777777" w:rsidR="00873027" w:rsidRPr="0048521D" w:rsidRDefault="00873027" w:rsidP="00DE56D3">
      <w:pPr>
        <w:widowControl/>
        <w:tabs>
          <w:tab w:val="left" w:pos="426"/>
        </w:tabs>
        <w:spacing w:line="220" w:lineRule="exact"/>
        <w:jc w:val="left"/>
        <w:rPr>
          <w:rFonts w:ascii="Cambria" w:eastAsia="MS Mincho" w:hAnsi="Cambria"/>
          <w:b/>
          <w:bCs/>
          <w:kern w:val="0"/>
          <w:sz w:val="20"/>
          <w:szCs w:val="20"/>
          <w:lang w:eastAsia="en-US"/>
        </w:rPr>
      </w:pPr>
    </w:p>
    <w:p w14:paraId="4B5C0FE6" w14:textId="6674E22E" w:rsidR="008D1AF5" w:rsidRPr="0048521D" w:rsidRDefault="008D1AF5" w:rsidP="008D1AF5">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4.</w:t>
      </w:r>
      <w:r w:rsidRPr="0048521D">
        <w:rPr>
          <w:rFonts w:ascii="Cambria" w:hAnsi="Cambria"/>
          <w:b/>
          <w:bCs/>
          <w:sz w:val="20"/>
          <w:szCs w:val="20"/>
        </w:rPr>
        <w:tab/>
        <w:t>Plan de surveillance des navires (</w:t>
      </w:r>
      <w:proofErr w:type="spellStart"/>
      <w:r w:rsidRPr="0048521D">
        <w:rPr>
          <w:rFonts w:ascii="Cambria" w:hAnsi="Cambria"/>
          <w:b/>
          <w:bCs/>
          <w:sz w:val="20"/>
          <w:szCs w:val="20"/>
        </w:rPr>
        <w:t>VMP</w:t>
      </w:r>
      <w:proofErr w:type="spellEnd"/>
      <w:r w:rsidRPr="0048521D">
        <w:rPr>
          <w:rFonts w:ascii="Cambria" w:hAnsi="Cambria"/>
          <w:b/>
          <w:bCs/>
          <w:sz w:val="20"/>
          <w:szCs w:val="20"/>
        </w:rPr>
        <w:t>)</w:t>
      </w:r>
    </w:p>
    <w:p w14:paraId="3A974598" w14:textId="77777777" w:rsidR="008D1AF5" w:rsidRPr="0048521D" w:rsidRDefault="008D1AF5" w:rsidP="008D1AF5">
      <w:pPr>
        <w:widowControl/>
        <w:tabs>
          <w:tab w:val="left" w:pos="426"/>
        </w:tabs>
        <w:spacing w:line="220" w:lineRule="exact"/>
        <w:jc w:val="left"/>
        <w:rPr>
          <w:rFonts w:ascii="Cambria" w:eastAsia="MS Mincho" w:hAnsi="Cambria"/>
          <w:b/>
          <w:bCs/>
          <w:kern w:val="0"/>
          <w:sz w:val="20"/>
          <w:szCs w:val="20"/>
          <w:lang w:eastAsia="en-US"/>
        </w:rPr>
      </w:pPr>
    </w:p>
    <w:p w14:paraId="25DAC18C" w14:textId="77777777" w:rsidR="008D1AF5" w:rsidRPr="0048521D" w:rsidRDefault="008D1AF5" w:rsidP="003106F8">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Un </w:t>
      </w:r>
      <w:proofErr w:type="spellStart"/>
      <w:r w:rsidRPr="0048521D">
        <w:rPr>
          <w:rFonts w:ascii="Cambria" w:hAnsi="Cambria"/>
          <w:sz w:val="20"/>
          <w:szCs w:val="20"/>
        </w:rPr>
        <w:t>VMP</w:t>
      </w:r>
      <w:proofErr w:type="spellEnd"/>
      <w:r w:rsidRPr="0048521D">
        <w:rPr>
          <w:rFonts w:ascii="Cambria" w:hAnsi="Cambria"/>
          <w:sz w:val="20"/>
          <w:szCs w:val="20"/>
        </w:rPr>
        <w:t xml:space="preserve"> spécifique au navire sera transmis au Secrétariat avant que le navire ne débute la période de pêche pilote. </w:t>
      </w:r>
    </w:p>
    <w:p w14:paraId="543FED47" w14:textId="77777777" w:rsidR="008D1AF5" w:rsidRPr="0048521D" w:rsidRDefault="008D1AF5" w:rsidP="008D1AF5">
      <w:pPr>
        <w:widowControl/>
        <w:tabs>
          <w:tab w:val="left" w:pos="426"/>
        </w:tabs>
        <w:spacing w:line="220" w:lineRule="exact"/>
        <w:jc w:val="left"/>
        <w:rPr>
          <w:rFonts w:ascii="Cambria" w:eastAsia="MS Mincho" w:hAnsi="Cambria"/>
          <w:kern w:val="0"/>
          <w:sz w:val="20"/>
          <w:szCs w:val="20"/>
          <w:lang w:eastAsia="en-US"/>
        </w:rPr>
      </w:pPr>
    </w:p>
    <w:p w14:paraId="337E9955" w14:textId="77777777" w:rsidR="008D1AF5" w:rsidRPr="0048521D" w:rsidRDefault="008D1AF5" w:rsidP="008D1AF5">
      <w:pPr>
        <w:widowControl/>
        <w:tabs>
          <w:tab w:val="left" w:pos="426"/>
        </w:tabs>
        <w:spacing w:line="220" w:lineRule="exact"/>
        <w:jc w:val="left"/>
        <w:rPr>
          <w:rFonts w:ascii="Cambria" w:eastAsia="MS Mincho" w:hAnsi="Cambria"/>
          <w:kern w:val="0"/>
          <w:sz w:val="20"/>
          <w:szCs w:val="20"/>
        </w:rPr>
      </w:pPr>
      <w:r w:rsidRPr="0048521D">
        <w:rPr>
          <w:rFonts w:ascii="Cambria" w:hAnsi="Cambria"/>
          <w:sz w:val="20"/>
          <w:szCs w:val="20"/>
        </w:rPr>
        <w:t xml:space="preserve">Le </w:t>
      </w:r>
      <w:proofErr w:type="spellStart"/>
      <w:r w:rsidRPr="0048521D">
        <w:rPr>
          <w:rFonts w:ascii="Cambria" w:hAnsi="Cambria"/>
          <w:sz w:val="20"/>
          <w:szCs w:val="20"/>
        </w:rPr>
        <w:t>VMP</w:t>
      </w:r>
      <w:proofErr w:type="spellEnd"/>
      <w:r w:rsidRPr="0048521D">
        <w:rPr>
          <w:rFonts w:ascii="Cambria" w:hAnsi="Cambria"/>
          <w:sz w:val="20"/>
          <w:szCs w:val="20"/>
        </w:rPr>
        <w:t xml:space="preserve"> inclura :</w:t>
      </w:r>
    </w:p>
    <w:p w14:paraId="683876AA" w14:textId="77777777" w:rsidR="008D1AF5" w:rsidRPr="0048521D" w:rsidRDefault="008D1AF5" w:rsidP="008D1AF5">
      <w:pPr>
        <w:widowControl/>
        <w:tabs>
          <w:tab w:val="left" w:pos="426"/>
        </w:tabs>
        <w:spacing w:line="220" w:lineRule="exact"/>
        <w:jc w:val="left"/>
        <w:rPr>
          <w:rFonts w:ascii="Cambria" w:eastAsia="MS Mincho" w:hAnsi="Cambria"/>
          <w:kern w:val="0"/>
          <w:sz w:val="20"/>
          <w:szCs w:val="20"/>
          <w:lang w:eastAsia="en-US"/>
        </w:rPr>
      </w:pPr>
    </w:p>
    <w:p w14:paraId="1ACD11DF" w14:textId="1A09332F" w:rsidR="008D1AF5" w:rsidRPr="0048521D" w:rsidRDefault="008D1AF5" w:rsidP="008D1AF5">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L’identité du navire, l’aménagement du pont et le flux de travail de pêche/transfert des captures.</w:t>
      </w:r>
    </w:p>
    <w:p w14:paraId="48335022" w14:textId="1E1EF2F8" w:rsidR="008D1AF5" w:rsidRPr="0048521D" w:rsidRDefault="008D1AF5" w:rsidP="008D1AF5">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Une carte des caméras montrant tous les emplacements des caméras, le champ de vision, les angles morts, les fréquences d’images et déterminant si la vue est suffisante pour la capture et le transfert des thons rouges, les remises à l'eau et toute manipulation sur le pont.</w:t>
      </w:r>
    </w:p>
    <w:p w14:paraId="73960410" w14:textId="0C6BA9F5" w:rsidR="008D1AF5" w:rsidRPr="0048521D" w:rsidRDefault="008D1AF5" w:rsidP="004E22FE">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Une carte des capteurs montrant les capteurs des treuils ou les capteurs d’activité basés sur les caméras.</w:t>
      </w:r>
    </w:p>
    <w:p w14:paraId="5D26C03D" w14:textId="2AD5F220" w:rsidR="008D1AF5" w:rsidRPr="0048521D" w:rsidRDefault="008D1AF5" w:rsidP="004E22FE">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Le flux de données depuis l’enregistrement jusqu’au stockage, l’extraction, la transmission, l’analyse, la déclaration et la conservation.</w:t>
      </w:r>
    </w:p>
    <w:p w14:paraId="32A9C9B0" w14:textId="026F3A2F" w:rsidR="008D1AF5" w:rsidRPr="0048521D" w:rsidRDefault="008D1AF5" w:rsidP="004E22FE">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 xml:space="preserve">Des événements déterminés faisant l’objet de surveillance : calée, </w:t>
      </w:r>
      <w:proofErr w:type="spellStart"/>
      <w:r w:rsidRPr="0048521D">
        <w:rPr>
          <w:rFonts w:ascii="Cambria" w:hAnsi="Cambria"/>
          <w:sz w:val="20"/>
          <w:szCs w:val="20"/>
        </w:rPr>
        <w:t>boursage</w:t>
      </w:r>
      <w:proofErr w:type="spellEnd"/>
      <w:r w:rsidRPr="0048521D">
        <w:rPr>
          <w:rFonts w:ascii="Cambria" w:hAnsi="Cambria"/>
          <w:sz w:val="20"/>
          <w:szCs w:val="20"/>
        </w:rPr>
        <w:t xml:space="preserve"> du filet, transfert, transfert interrompu, remise à l'eau, mortalité, interaction avec des prises accessoires, dysfonctionnement et alerte de falsification.</w:t>
      </w:r>
    </w:p>
    <w:p w14:paraId="36AB437F" w14:textId="54B6727D" w:rsidR="008D1AF5" w:rsidRPr="0048521D" w:rsidRDefault="008D1AF5" w:rsidP="004E22FE">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Les accords d’accès des observateurs et du personnel, notamment la façon dont les données du système REM seront mises à la disposition de la Direction et de l’</w:t>
      </w:r>
      <w:proofErr w:type="spellStart"/>
      <w:r w:rsidRPr="0048521D">
        <w:rPr>
          <w:rFonts w:ascii="Cambria" w:hAnsi="Cambria"/>
          <w:sz w:val="20"/>
          <w:szCs w:val="20"/>
        </w:rPr>
        <w:t>IMR</w:t>
      </w:r>
      <w:proofErr w:type="spellEnd"/>
      <w:r w:rsidRPr="0048521D">
        <w:rPr>
          <w:rFonts w:ascii="Cambria" w:hAnsi="Cambria"/>
          <w:sz w:val="20"/>
          <w:szCs w:val="20"/>
        </w:rPr>
        <w:t>.</w:t>
      </w:r>
    </w:p>
    <w:p w14:paraId="73ECC86C" w14:textId="52022AB6" w:rsidR="00873027" w:rsidRPr="0048521D" w:rsidRDefault="008D1AF5" w:rsidP="004E22FE">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Un plan d’urgence en cas de défaillance partielle ou totale du système REM.</w:t>
      </w:r>
    </w:p>
    <w:p w14:paraId="00B3E63C" w14:textId="77777777" w:rsidR="00315D1A" w:rsidRPr="0048521D" w:rsidRDefault="00315D1A" w:rsidP="00315D1A">
      <w:pPr>
        <w:pStyle w:val="Paragraphedeliste"/>
        <w:widowControl/>
        <w:tabs>
          <w:tab w:val="left" w:pos="851"/>
        </w:tabs>
        <w:spacing w:line="240" w:lineRule="exact"/>
        <w:ind w:left="851"/>
        <w:rPr>
          <w:rFonts w:ascii="Cambria" w:eastAsia="MS Mincho" w:hAnsi="Cambria"/>
          <w:kern w:val="0"/>
          <w:sz w:val="20"/>
          <w:szCs w:val="20"/>
          <w:lang w:eastAsia="en-US"/>
        </w:rPr>
      </w:pPr>
    </w:p>
    <w:p w14:paraId="1F86320C" w14:textId="77777777" w:rsidR="00315D1A" w:rsidRPr="0048521D" w:rsidRDefault="00315D1A" w:rsidP="00315D1A">
      <w:pPr>
        <w:pStyle w:val="Paragraphedeliste"/>
        <w:widowControl/>
        <w:tabs>
          <w:tab w:val="left" w:pos="851"/>
        </w:tabs>
        <w:spacing w:line="240" w:lineRule="exact"/>
        <w:ind w:left="851"/>
        <w:rPr>
          <w:rFonts w:ascii="Cambria" w:eastAsia="MS Mincho" w:hAnsi="Cambria"/>
          <w:kern w:val="0"/>
          <w:sz w:val="20"/>
          <w:szCs w:val="20"/>
          <w:lang w:eastAsia="en-US"/>
        </w:rPr>
      </w:pPr>
    </w:p>
    <w:p w14:paraId="3BC5E202" w14:textId="0343D650" w:rsidR="00315D1A" w:rsidRPr="0048521D" w:rsidRDefault="00315D1A" w:rsidP="003C05AD">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5. </w:t>
      </w:r>
      <w:r w:rsidRPr="0048521D">
        <w:rPr>
          <w:rFonts w:ascii="Cambria" w:hAnsi="Cambria"/>
          <w:b/>
          <w:bCs/>
          <w:sz w:val="20"/>
          <w:szCs w:val="20"/>
        </w:rPr>
        <w:tab/>
        <w:t>Système REM existant installé pour respecter les exigences écossaises en matière de REM pour la pêche pélagique</w:t>
      </w:r>
    </w:p>
    <w:p w14:paraId="6A3E6F8A" w14:textId="77777777" w:rsidR="0075254C" w:rsidRPr="0048521D" w:rsidRDefault="0075254C" w:rsidP="003C05AD">
      <w:pPr>
        <w:widowControl/>
        <w:tabs>
          <w:tab w:val="left" w:pos="426"/>
        </w:tabs>
        <w:spacing w:line="220" w:lineRule="exact"/>
        <w:jc w:val="left"/>
        <w:rPr>
          <w:rFonts w:ascii="Cambria" w:eastAsia="MS Mincho" w:hAnsi="Cambria"/>
          <w:b/>
          <w:bCs/>
          <w:kern w:val="0"/>
          <w:sz w:val="20"/>
          <w:szCs w:val="20"/>
          <w:lang w:eastAsia="en-US"/>
        </w:rPr>
      </w:pPr>
    </w:p>
    <w:p w14:paraId="317C455D" w14:textId="77777777" w:rsidR="00315D1A" w:rsidRPr="0048521D" w:rsidRDefault="00315D1A" w:rsidP="0075254C">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Le navire participant dispose déjà d’un équipement de REM à bord car le REM est requis pour les navires pélagiques concernés opérant dans les eaux écossaises. Les spécifications techniques écossaises les plus récentes pour les navires pélagiques exigent un boîtier de commande ou de stockage ; la vidéo des caméras numériques ; des capteurs des treuils ou des capteurs d’activité basés sur des caméras ; un dispositif de système de positionnement du navire ; une visualisation en temps réel à bord ; une capacité d’extraction des données pour les agents des pêches maritimes britanniques ; une capacité d’accès à distance ; une transmission automatique sécurisée et un accès par les ministres écossais. </w:t>
      </w:r>
    </w:p>
    <w:p w14:paraId="4D6929A8" w14:textId="77777777" w:rsidR="0075254C" w:rsidRPr="0048521D" w:rsidRDefault="0075254C" w:rsidP="0075254C">
      <w:pPr>
        <w:widowControl/>
        <w:tabs>
          <w:tab w:val="left" w:pos="426"/>
        </w:tabs>
        <w:spacing w:line="220" w:lineRule="exact"/>
        <w:rPr>
          <w:rFonts w:ascii="Cambria" w:eastAsia="MS Mincho" w:hAnsi="Cambria"/>
          <w:kern w:val="0"/>
          <w:sz w:val="20"/>
          <w:szCs w:val="20"/>
          <w:lang w:eastAsia="en-US"/>
        </w:rPr>
      </w:pPr>
    </w:p>
    <w:p w14:paraId="3C4B0208" w14:textId="077DC413" w:rsidR="00315D1A" w:rsidRPr="0048521D" w:rsidRDefault="00315D1A" w:rsidP="0075254C">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lastRenderedPageBreak/>
        <w:t>Pour ce projet pilote norvégien, les exigences écossaises en matière de REM doivent être considérées comme le matériel/logiciel de référence actuel, et non comme un programme complet de système EMS pour le stockage de thons rouges vivants de l’ICCAT. Le système écossais requis est résumé ci-dessous.</w:t>
      </w:r>
    </w:p>
    <w:p w14:paraId="20E93EB0" w14:textId="77777777" w:rsidR="003C05AD" w:rsidRPr="0048521D" w:rsidRDefault="003C05AD" w:rsidP="00315D1A">
      <w:pPr>
        <w:pStyle w:val="Paragraphedeliste"/>
        <w:widowControl/>
        <w:tabs>
          <w:tab w:val="left" w:pos="851"/>
        </w:tabs>
        <w:spacing w:line="240" w:lineRule="exact"/>
        <w:ind w:left="851"/>
        <w:rPr>
          <w:rFonts w:ascii="Cambria" w:eastAsia="MS Mincho" w:hAnsi="Cambria"/>
          <w:kern w:val="0"/>
          <w:sz w:val="20"/>
          <w:szCs w:val="20"/>
          <w:lang w:eastAsia="en-US"/>
        </w:rPr>
      </w:pPr>
    </w:p>
    <w:tbl>
      <w:tblPr>
        <w:tblStyle w:val="TableGrid2"/>
        <w:tblW w:w="0" w:type="auto"/>
        <w:jc w:val="center"/>
        <w:tblLook w:val="04A0" w:firstRow="1" w:lastRow="0" w:firstColumn="1" w:lastColumn="0" w:noHBand="0" w:noVBand="1"/>
      </w:tblPr>
      <w:tblGrid>
        <w:gridCol w:w="2381"/>
        <w:gridCol w:w="6123"/>
      </w:tblGrid>
      <w:tr w:rsidR="003C05AD" w:rsidRPr="0048521D" w14:paraId="1D00DAF6" w14:textId="77777777" w:rsidTr="00004039">
        <w:trPr>
          <w:jc w:val="center"/>
        </w:trPr>
        <w:tc>
          <w:tcPr>
            <w:tcW w:w="2381" w:type="dxa"/>
          </w:tcPr>
          <w:p w14:paraId="7FC63F03" w14:textId="77777777" w:rsidR="003C05AD" w:rsidRPr="0048521D" w:rsidRDefault="003C05AD" w:rsidP="00004039">
            <w:pPr>
              <w:widowControl/>
              <w:jc w:val="center"/>
              <w:rPr>
                <w:rFonts w:ascii="Cambria" w:eastAsia="MS Mincho" w:hAnsi="Cambria"/>
                <w:bCs/>
                <w:i/>
                <w:iCs/>
                <w:sz w:val="20"/>
                <w:szCs w:val="20"/>
              </w:rPr>
            </w:pPr>
            <w:r w:rsidRPr="0048521D">
              <w:rPr>
                <w:rFonts w:ascii="Cambria" w:hAnsi="Cambria"/>
                <w:bCs/>
                <w:i/>
                <w:iCs/>
                <w:sz w:val="20"/>
                <w:szCs w:val="20"/>
              </w:rPr>
              <w:t>Élément du REM écossais</w:t>
            </w:r>
          </w:p>
        </w:tc>
        <w:tc>
          <w:tcPr>
            <w:tcW w:w="6123" w:type="dxa"/>
          </w:tcPr>
          <w:p w14:paraId="736C4E32" w14:textId="77777777" w:rsidR="003C05AD" w:rsidRPr="0048521D" w:rsidRDefault="003C05AD" w:rsidP="00004039">
            <w:pPr>
              <w:widowControl/>
              <w:jc w:val="center"/>
              <w:rPr>
                <w:rFonts w:ascii="Cambria" w:eastAsia="MS Mincho" w:hAnsi="Cambria"/>
                <w:bCs/>
                <w:i/>
                <w:iCs/>
                <w:sz w:val="20"/>
                <w:szCs w:val="20"/>
              </w:rPr>
            </w:pPr>
            <w:r w:rsidRPr="0048521D">
              <w:rPr>
                <w:rFonts w:ascii="Cambria" w:hAnsi="Cambria"/>
                <w:bCs/>
                <w:i/>
                <w:iCs/>
                <w:sz w:val="20"/>
                <w:szCs w:val="20"/>
              </w:rPr>
              <w:t xml:space="preserve">Exigence à refléter dans le </w:t>
            </w:r>
            <w:proofErr w:type="spellStart"/>
            <w:r w:rsidRPr="0048521D">
              <w:rPr>
                <w:rFonts w:ascii="Cambria" w:hAnsi="Cambria"/>
                <w:bCs/>
                <w:i/>
                <w:iCs/>
                <w:sz w:val="20"/>
                <w:szCs w:val="20"/>
              </w:rPr>
              <w:t>VMP</w:t>
            </w:r>
            <w:proofErr w:type="spellEnd"/>
            <w:r w:rsidRPr="0048521D">
              <w:rPr>
                <w:rFonts w:ascii="Cambria" w:hAnsi="Cambria"/>
                <w:bCs/>
                <w:i/>
                <w:iCs/>
                <w:sz w:val="20"/>
                <w:szCs w:val="20"/>
              </w:rPr>
              <w:t xml:space="preserve"> du projet pilote</w:t>
            </w:r>
          </w:p>
        </w:tc>
      </w:tr>
      <w:tr w:rsidR="003C05AD" w:rsidRPr="0048521D" w14:paraId="0F16CD2C" w14:textId="77777777" w:rsidTr="005833E8">
        <w:trPr>
          <w:jc w:val="center"/>
        </w:trPr>
        <w:tc>
          <w:tcPr>
            <w:tcW w:w="2381" w:type="dxa"/>
          </w:tcPr>
          <w:p w14:paraId="44DCE084"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Boîtier de commande/stockage</w:t>
            </w:r>
          </w:p>
        </w:tc>
        <w:tc>
          <w:tcPr>
            <w:tcW w:w="6123" w:type="dxa"/>
          </w:tcPr>
          <w:p w14:paraId="689DF6ED"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Doit abriter et stocker le logiciel et les données, y compris les données des vidéos des caméras, des capteurs des treuils ou des capteurs d’activité basés sur des caméras ainsi que les données du dispositif de système de positionnement du navire.</w:t>
            </w:r>
          </w:p>
        </w:tc>
      </w:tr>
      <w:tr w:rsidR="003C05AD" w:rsidRPr="0048521D" w14:paraId="01D27601" w14:textId="77777777" w:rsidTr="005833E8">
        <w:trPr>
          <w:jc w:val="center"/>
        </w:trPr>
        <w:tc>
          <w:tcPr>
            <w:tcW w:w="2381" w:type="dxa"/>
          </w:tcPr>
          <w:p w14:paraId="78C9DA1C"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Caméras - norme générale</w:t>
            </w:r>
          </w:p>
        </w:tc>
        <w:tc>
          <w:tcPr>
            <w:tcW w:w="6123" w:type="dxa"/>
          </w:tcPr>
          <w:p w14:paraId="72C16F29" w14:textId="3B743E7E" w:rsidR="00103DC1" w:rsidRPr="0048521D" w:rsidRDefault="003C05AD" w:rsidP="00FC1354">
            <w:pPr>
              <w:widowControl/>
              <w:spacing w:line="220" w:lineRule="exact"/>
              <w:rPr>
                <w:rFonts w:ascii="Cambria" w:eastAsia="MS Mincho" w:hAnsi="Cambria"/>
                <w:sz w:val="20"/>
                <w:szCs w:val="20"/>
              </w:rPr>
            </w:pPr>
            <w:r w:rsidRPr="0048521D">
              <w:rPr>
                <w:rFonts w:ascii="Cambria" w:hAnsi="Cambria"/>
                <w:sz w:val="20"/>
                <w:szCs w:val="20"/>
              </w:rPr>
              <w:t xml:space="preserve">Un nombre suffisant de caméras numériques ; l’enregistrement automatique démarre à la première activation ou au premier mouvement des treuils/sur détection par l’IA par le biais d’un capteur d’activité basé sur les caméras ; les caméras doivent avoir une capacité de fréquence d'images de 30 </w:t>
            </w:r>
            <w:proofErr w:type="spellStart"/>
            <w:r w:rsidRPr="0048521D">
              <w:rPr>
                <w:rFonts w:ascii="Cambria" w:hAnsi="Cambria"/>
                <w:sz w:val="20"/>
                <w:szCs w:val="20"/>
              </w:rPr>
              <w:t>FPS</w:t>
            </w:r>
            <w:proofErr w:type="spellEnd"/>
            <w:r w:rsidRPr="0048521D">
              <w:rPr>
                <w:rFonts w:ascii="Cambria" w:hAnsi="Cambria"/>
                <w:sz w:val="20"/>
                <w:szCs w:val="20"/>
              </w:rPr>
              <w:t>, avec un minimum de 2 mégapixels par image, une résolution minimale de 1920 x 1080, une capacité infrarouge automatique pour l'enregistrement en faible luminosité et un indice IP66 minimum.</w:t>
            </w:r>
          </w:p>
        </w:tc>
      </w:tr>
      <w:tr w:rsidR="003C05AD" w:rsidRPr="0048521D" w14:paraId="07A5D74E" w14:textId="77777777" w:rsidTr="005833E8">
        <w:trPr>
          <w:jc w:val="center"/>
        </w:trPr>
        <w:tc>
          <w:tcPr>
            <w:tcW w:w="2381" w:type="dxa"/>
          </w:tcPr>
          <w:p w14:paraId="0205AC74"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Capteurs d’activité</w:t>
            </w:r>
          </w:p>
        </w:tc>
        <w:tc>
          <w:tcPr>
            <w:tcW w:w="6123" w:type="dxa"/>
          </w:tcPr>
          <w:p w14:paraId="2EB59870"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Capteurs de treuils reliés aux treuils de déploiement de l’engin et activés lorsque les treuils fonctionnent, ou capteurs d’activité basés sur les caméras utilisant la détection de mouvements ou la détection par l’IA lorsque les treuils fonctionnent ou lorsque les filets sont déployés/récupérés.</w:t>
            </w:r>
          </w:p>
        </w:tc>
      </w:tr>
      <w:tr w:rsidR="003C05AD" w:rsidRPr="0048521D" w14:paraId="75B586A6" w14:textId="77777777" w:rsidTr="005833E8">
        <w:trPr>
          <w:jc w:val="center"/>
        </w:trPr>
        <w:tc>
          <w:tcPr>
            <w:tcW w:w="2381" w:type="dxa"/>
          </w:tcPr>
          <w:p w14:paraId="00417646"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Système de positionnement des navires</w:t>
            </w:r>
          </w:p>
        </w:tc>
        <w:tc>
          <w:tcPr>
            <w:tcW w:w="6123" w:type="dxa"/>
          </w:tcPr>
          <w:p w14:paraId="6A6311FA"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 xml:space="preserve">Doit enregistrer l’identifiant unique du navire, la position WGS84 en latitude/longitude avec une erreur de position de moins de 10 m, l’heure </w:t>
            </w:r>
            <w:proofErr w:type="spellStart"/>
            <w:r w:rsidRPr="0048521D">
              <w:rPr>
                <w:rFonts w:ascii="Cambria" w:hAnsi="Cambria"/>
                <w:sz w:val="20"/>
                <w:szCs w:val="20"/>
              </w:rPr>
              <w:t>UTC</w:t>
            </w:r>
            <w:proofErr w:type="spellEnd"/>
            <w:r w:rsidRPr="0048521D">
              <w:rPr>
                <w:rFonts w:ascii="Cambria" w:hAnsi="Cambria"/>
                <w:sz w:val="20"/>
                <w:szCs w:val="20"/>
              </w:rPr>
              <w:t>, la vitesse, le cap et la précision estimée à intervalles de toutes les 10 secondes au moins.</w:t>
            </w:r>
          </w:p>
        </w:tc>
      </w:tr>
      <w:tr w:rsidR="003C05AD" w:rsidRPr="0048521D" w14:paraId="2BCA7AFC" w14:textId="77777777" w:rsidTr="005833E8">
        <w:trPr>
          <w:jc w:val="center"/>
        </w:trPr>
        <w:tc>
          <w:tcPr>
            <w:tcW w:w="2381" w:type="dxa"/>
          </w:tcPr>
          <w:p w14:paraId="4FFB8CEF"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Visualisation à bord</w:t>
            </w:r>
          </w:p>
        </w:tc>
        <w:tc>
          <w:tcPr>
            <w:tcW w:w="6123" w:type="dxa"/>
          </w:tcPr>
          <w:p w14:paraId="005A85C5"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 capitaine doit être en mesure de visualiser la vidéo et les données enregistrées en temps réel à bord, par exemple sur un écran d’affichage dans la timonerie.</w:t>
            </w:r>
          </w:p>
        </w:tc>
      </w:tr>
      <w:tr w:rsidR="003C05AD" w:rsidRPr="0048521D" w14:paraId="2348743B" w14:textId="77777777" w:rsidTr="005833E8">
        <w:trPr>
          <w:jc w:val="center"/>
        </w:trPr>
        <w:tc>
          <w:tcPr>
            <w:tcW w:w="2381" w:type="dxa"/>
          </w:tcPr>
          <w:p w14:paraId="11DCD3AB"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Extraction des données par les agents</w:t>
            </w:r>
          </w:p>
        </w:tc>
        <w:tc>
          <w:tcPr>
            <w:tcW w:w="6123" w:type="dxa"/>
          </w:tcPr>
          <w:p w14:paraId="5FB0F8DF"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 système doit permettre à un agent des pêches maritimes britannique, depuis l’intérieur de la timonerie, d’extraire les données conservées dans le boîtier de commande ou de stockage.</w:t>
            </w:r>
          </w:p>
        </w:tc>
      </w:tr>
      <w:tr w:rsidR="003C05AD" w:rsidRPr="0048521D" w14:paraId="53D11B1F" w14:textId="77777777" w:rsidTr="005833E8">
        <w:trPr>
          <w:jc w:val="center"/>
        </w:trPr>
        <w:tc>
          <w:tcPr>
            <w:tcW w:w="2381" w:type="dxa"/>
          </w:tcPr>
          <w:p w14:paraId="2D9FC085"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Accès à distance</w:t>
            </w:r>
          </w:p>
        </w:tc>
        <w:tc>
          <w:tcPr>
            <w:tcW w:w="6123" w:type="dxa"/>
          </w:tcPr>
          <w:p w14:paraId="64A973EC" w14:textId="28734119"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 système doit pouvoir permettre d’accéder à distance au système REM.</w:t>
            </w:r>
          </w:p>
        </w:tc>
      </w:tr>
      <w:tr w:rsidR="003C05AD" w:rsidRPr="0048521D" w14:paraId="5FE169B9" w14:textId="77777777" w:rsidTr="005833E8">
        <w:trPr>
          <w:jc w:val="center"/>
        </w:trPr>
        <w:tc>
          <w:tcPr>
            <w:tcW w:w="2381" w:type="dxa"/>
          </w:tcPr>
          <w:p w14:paraId="180A4DCE"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Transmission automatique</w:t>
            </w:r>
          </w:p>
        </w:tc>
        <w:tc>
          <w:tcPr>
            <w:tcW w:w="6123" w:type="dxa"/>
          </w:tcPr>
          <w:p w14:paraId="5E578DA2" w14:textId="3CB5EDC4"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Les données enregistrées et les données de positionnement du navire doivent être automatiquement transmises à un système de stockage de données externe au navire toutes les 24 heures au moins, de façon sécurisée et de manière à empêcher toute modification après enregistrement.</w:t>
            </w:r>
          </w:p>
        </w:tc>
      </w:tr>
      <w:tr w:rsidR="003C05AD" w:rsidRPr="0048521D" w14:paraId="3E544F73" w14:textId="77777777" w:rsidTr="005833E8">
        <w:trPr>
          <w:jc w:val="center"/>
        </w:trPr>
        <w:tc>
          <w:tcPr>
            <w:tcW w:w="2381" w:type="dxa"/>
          </w:tcPr>
          <w:p w14:paraId="65A1D14B"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Transmission de la vidéo</w:t>
            </w:r>
          </w:p>
        </w:tc>
        <w:tc>
          <w:tcPr>
            <w:tcW w:w="6123" w:type="dxa"/>
          </w:tcPr>
          <w:p w14:paraId="0BE72A74"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Si la vidéo est stockée de façon externe au navire, elle doit être automatiquement transmise dans les délais fixés. Si elle est stockée à bord, elle doit être automatiquement transmise à la demande du gouvernement écossais dans un délai de 5 jours ouvrables, de manière sécurisée et inviolable.</w:t>
            </w:r>
          </w:p>
        </w:tc>
      </w:tr>
      <w:tr w:rsidR="003C05AD" w:rsidRPr="0048521D" w14:paraId="2A023B96" w14:textId="77777777" w:rsidTr="005833E8">
        <w:trPr>
          <w:jc w:val="center"/>
        </w:trPr>
        <w:tc>
          <w:tcPr>
            <w:tcW w:w="2381" w:type="dxa"/>
          </w:tcPr>
          <w:p w14:paraId="4378C82B"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Accès par les ministres écossais</w:t>
            </w:r>
          </w:p>
        </w:tc>
        <w:tc>
          <w:tcPr>
            <w:tcW w:w="6123" w:type="dxa"/>
          </w:tcPr>
          <w:p w14:paraId="0BA3E7DA"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Les ministres écossais doivent être en mesure d’accéder à la vidéo et aux données enregistrées, de les extraire et de les examiner à l’aide du logiciel compagnon du système REM à tout moment et sans frais pour les ministres écossais.</w:t>
            </w:r>
          </w:p>
        </w:tc>
      </w:tr>
      <w:tr w:rsidR="003C05AD" w:rsidRPr="0048521D" w14:paraId="4E8025D7" w14:textId="77777777" w:rsidTr="005833E8">
        <w:trPr>
          <w:jc w:val="center"/>
        </w:trPr>
        <w:tc>
          <w:tcPr>
            <w:tcW w:w="2381" w:type="dxa"/>
          </w:tcPr>
          <w:p w14:paraId="32B4B578"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Logiciel compagnon</w:t>
            </w:r>
          </w:p>
        </w:tc>
        <w:tc>
          <w:tcPr>
            <w:tcW w:w="6123" w:type="dxa"/>
          </w:tcPr>
          <w:p w14:paraId="59A29D7A"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 logiciel devrait synchroniser les données de sortie des capteurs, de positionnement et de la vidéo sur une même ligne de temps et afficher les données dans une interface intégrée, incluant des graphiques, des cartes et des vidéos.</w:t>
            </w:r>
          </w:p>
        </w:tc>
      </w:tr>
    </w:tbl>
    <w:p w14:paraId="131091C6" w14:textId="77777777" w:rsidR="003C05AD" w:rsidRPr="0048521D" w:rsidRDefault="003C05AD" w:rsidP="00315D1A">
      <w:pPr>
        <w:pStyle w:val="Paragraphedeliste"/>
        <w:widowControl/>
        <w:tabs>
          <w:tab w:val="left" w:pos="851"/>
        </w:tabs>
        <w:spacing w:line="240" w:lineRule="exact"/>
        <w:ind w:left="851"/>
        <w:rPr>
          <w:rFonts w:ascii="Cambria" w:eastAsia="MS Mincho" w:hAnsi="Cambria"/>
          <w:kern w:val="0"/>
          <w:sz w:val="20"/>
          <w:szCs w:val="20"/>
          <w:lang w:eastAsia="en-US"/>
        </w:rPr>
      </w:pPr>
    </w:p>
    <w:p w14:paraId="0ACC5CFA" w14:textId="77777777" w:rsidR="00636AC6" w:rsidRPr="0048521D" w:rsidRDefault="00636AC6" w:rsidP="00315D1A">
      <w:pPr>
        <w:pStyle w:val="Paragraphedeliste"/>
        <w:widowControl/>
        <w:tabs>
          <w:tab w:val="left" w:pos="851"/>
        </w:tabs>
        <w:spacing w:line="240" w:lineRule="exact"/>
        <w:ind w:left="851"/>
        <w:rPr>
          <w:rFonts w:ascii="Cambria" w:eastAsia="MS Mincho" w:hAnsi="Cambria"/>
          <w:b/>
          <w:bCs/>
          <w:kern w:val="0"/>
          <w:sz w:val="20"/>
          <w:szCs w:val="20"/>
          <w:lang w:eastAsia="en-US"/>
        </w:rPr>
      </w:pPr>
    </w:p>
    <w:p w14:paraId="25A8CD5B" w14:textId="35B6B18E" w:rsidR="00585F95" w:rsidRPr="0048521D" w:rsidRDefault="00585F95" w:rsidP="00636AC6">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6. </w:t>
      </w:r>
      <w:r w:rsidRPr="0048521D">
        <w:rPr>
          <w:rFonts w:ascii="Cambria" w:hAnsi="Cambria"/>
          <w:b/>
          <w:bCs/>
          <w:sz w:val="20"/>
          <w:szCs w:val="20"/>
        </w:rPr>
        <w:tab/>
        <w:t>Exigences écossaises relatives à l’emplacement des caméras en rapport avec le navire</w:t>
      </w:r>
    </w:p>
    <w:p w14:paraId="6C219C76" w14:textId="77777777" w:rsidR="00636AC6" w:rsidRPr="0048521D" w:rsidRDefault="00636AC6" w:rsidP="00585F95">
      <w:pPr>
        <w:pStyle w:val="Paragraphedeliste"/>
        <w:widowControl/>
        <w:tabs>
          <w:tab w:val="left" w:pos="851"/>
        </w:tabs>
        <w:spacing w:line="240" w:lineRule="exact"/>
        <w:ind w:left="851"/>
        <w:rPr>
          <w:rFonts w:ascii="Cambria" w:eastAsia="MS Mincho" w:hAnsi="Cambria"/>
          <w:kern w:val="0"/>
          <w:sz w:val="20"/>
          <w:szCs w:val="20"/>
          <w:lang w:eastAsia="en-US"/>
        </w:rPr>
      </w:pPr>
    </w:p>
    <w:p w14:paraId="4A66729C" w14:textId="57DAD394" w:rsidR="00C755F2" w:rsidRPr="0048521D" w:rsidRDefault="00585F95" w:rsidP="00636AC6">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Le </w:t>
      </w:r>
      <w:proofErr w:type="spellStart"/>
      <w:r w:rsidRPr="0048521D">
        <w:rPr>
          <w:rFonts w:ascii="Cambria" w:hAnsi="Cambria"/>
          <w:sz w:val="20"/>
          <w:szCs w:val="20"/>
        </w:rPr>
        <w:t>VMP</w:t>
      </w:r>
      <w:proofErr w:type="spellEnd"/>
      <w:r w:rsidRPr="0048521D">
        <w:rPr>
          <w:rFonts w:ascii="Cambria" w:hAnsi="Cambria"/>
          <w:sz w:val="20"/>
          <w:szCs w:val="20"/>
        </w:rPr>
        <w:t xml:space="preserve"> pour ce projet pilote devrait inclure une carte des caméras spécifiques au navire et évaluer ensuite si chaque vue requise par l'Écosse est adéquate pour les opérations liées au thon rouge. Si elle n’est pas adéquate, le </w:t>
      </w:r>
      <w:proofErr w:type="spellStart"/>
      <w:r w:rsidRPr="0048521D">
        <w:rPr>
          <w:rFonts w:ascii="Cambria" w:hAnsi="Cambria"/>
          <w:sz w:val="20"/>
          <w:szCs w:val="20"/>
        </w:rPr>
        <w:t>VMP</w:t>
      </w:r>
      <w:proofErr w:type="spellEnd"/>
      <w:r w:rsidRPr="0048521D">
        <w:rPr>
          <w:rFonts w:ascii="Cambria" w:hAnsi="Cambria"/>
          <w:sz w:val="20"/>
          <w:szCs w:val="20"/>
        </w:rPr>
        <w:t xml:space="preserve"> devrait définir des caméras temporaires supplémentaires ou une observation complémentaire par le personnel du ROP, de la Direction et de l’</w:t>
      </w:r>
      <w:proofErr w:type="spellStart"/>
      <w:r w:rsidRPr="0048521D">
        <w:rPr>
          <w:rFonts w:ascii="Cambria" w:hAnsi="Cambria"/>
          <w:sz w:val="20"/>
          <w:szCs w:val="20"/>
        </w:rPr>
        <w:t>IMR</w:t>
      </w:r>
      <w:proofErr w:type="spellEnd"/>
      <w:r w:rsidRPr="0048521D">
        <w:rPr>
          <w:rFonts w:ascii="Cambria" w:hAnsi="Cambria"/>
          <w:sz w:val="20"/>
          <w:szCs w:val="20"/>
        </w:rPr>
        <w:t>.</w:t>
      </w:r>
    </w:p>
    <w:p w14:paraId="58DCBB89" w14:textId="77777777" w:rsidR="000E72AB" w:rsidRPr="0048521D" w:rsidRDefault="000E72AB" w:rsidP="00585F95">
      <w:pPr>
        <w:pStyle w:val="Paragraphedeliste"/>
        <w:widowControl/>
        <w:tabs>
          <w:tab w:val="left" w:pos="851"/>
        </w:tabs>
        <w:spacing w:line="240" w:lineRule="exact"/>
        <w:ind w:left="851"/>
        <w:rPr>
          <w:rFonts w:ascii="Cambria" w:eastAsia="MS Mincho" w:hAnsi="Cambria"/>
          <w:kern w:val="0"/>
          <w:sz w:val="20"/>
          <w:szCs w:val="20"/>
          <w:lang w:eastAsia="en-US"/>
        </w:rPr>
      </w:pPr>
    </w:p>
    <w:tbl>
      <w:tblPr>
        <w:tblStyle w:val="TableGrid3"/>
        <w:tblW w:w="0" w:type="auto"/>
        <w:jc w:val="center"/>
        <w:tblLook w:val="04A0" w:firstRow="1" w:lastRow="0" w:firstColumn="1" w:lastColumn="0" w:noHBand="0" w:noVBand="1"/>
      </w:tblPr>
      <w:tblGrid>
        <w:gridCol w:w="2634"/>
        <w:gridCol w:w="6123"/>
      </w:tblGrid>
      <w:tr w:rsidR="000E72AB" w:rsidRPr="0048521D" w14:paraId="03D2894F" w14:textId="77777777" w:rsidTr="00B50C5F">
        <w:trPr>
          <w:jc w:val="center"/>
        </w:trPr>
        <w:tc>
          <w:tcPr>
            <w:tcW w:w="2381" w:type="dxa"/>
          </w:tcPr>
          <w:p w14:paraId="0FFAD545" w14:textId="77777777" w:rsidR="000E72AB" w:rsidRPr="0048521D" w:rsidRDefault="000E72AB" w:rsidP="00B50C5F">
            <w:pPr>
              <w:widowControl/>
              <w:jc w:val="center"/>
              <w:rPr>
                <w:rFonts w:ascii="Cambria" w:eastAsia="MS Mincho" w:hAnsi="Cambria"/>
                <w:bCs/>
                <w:i/>
                <w:iCs/>
                <w:sz w:val="20"/>
                <w:szCs w:val="20"/>
              </w:rPr>
            </w:pPr>
            <w:r w:rsidRPr="0048521D">
              <w:rPr>
                <w:rFonts w:ascii="Cambria" w:hAnsi="Cambria"/>
                <w:bCs/>
                <w:i/>
                <w:iCs/>
                <w:sz w:val="20"/>
                <w:szCs w:val="20"/>
              </w:rPr>
              <w:lastRenderedPageBreak/>
              <w:t>Zone des caméras</w:t>
            </w:r>
          </w:p>
        </w:tc>
        <w:tc>
          <w:tcPr>
            <w:tcW w:w="6123" w:type="dxa"/>
          </w:tcPr>
          <w:p w14:paraId="24D46925" w14:textId="77777777" w:rsidR="000E72AB" w:rsidRPr="0048521D" w:rsidRDefault="000E72AB" w:rsidP="00B50C5F">
            <w:pPr>
              <w:widowControl/>
              <w:jc w:val="center"/>
              <w:rPr>
                <w:rFonts w:ascii="Cambria" w:eastAsia="MS Mincho" w:hAnsi="Cambria"/>
                <w:bCs/>
                <w:i/>
                <w:iCs/>
                <w:sz w:val="20"/>
                <w:szCs w:val="20"/>
              </w:rPr>
            </w:pPr>
            <w:r w:rsidRPr="0048521D">
              <w:rPr>
                <w:rFonts w:ascii="Cambria" w:hAnsi="Cambria"/>
                <w:bCs/>
                <w:i/>
                <w:iCs/>
                <w:sz w:val="20"/>
                <w:szCs w:val="20"/>
              </w:rPr>
              <w:t>Exigence de l'Écosse et pertinence du projet pilote</w:t>
            </w:r>
          </w:p>
        </w:tc>
      </w:tr>
      <w:tr w:rsidR="000E72AB" w:rsidRPr="0048521D" w14:paraId="13CA1C60" w14:textId="77777777" w:rsidTr="005833E8">
        <w:trPr>
          <w:jc w:val="center"/>
        </w:trPr>
        <w:tc>
          <w:tcPr>
            <w:tcW w:w="2381" w:type="dxa"/>
          </w:tcPr>
          <w:p w14:paraId="3EEA5F82"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Bâbord, tribord et poupe</w:t>
            </w:r>
          </w:p>
        </w:tc>
        <w:tc>
          <w:tcPr>
            <w:tcW w:w="6123" w:type="dxa"/>
          </w:tcPr>
          <w:p w14:paraId="405EE6D4"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Le champ de vision combiné doit enregistrer toute l’activité de pêche, y compris le déploiement/la récupération des filets et toute utilisation de la pompe ; au moins une caméra à bâbord, à tribord et au niveau de la poupe.</w:t>
            </w:r>
          </w:p>
        </w:tc>
      </w:tr>
      <w:tr w:rsidR="000E72AB" w:rsidRPr="0048521D" w14:paraId="13174746" w14:textId="77777777" w:rsidTr="005833E8">
        <w:trPr>
          <w:jc w:val="center"/>
        </w:trPr>
        <w:tc>
          <w:tcPr>
            <w:tcW w:w="2381" w:type="dxa"/>
          </w:tcPr>
          <w:p w14:paraId="4BAF3BAF"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Grille de séparation</w:t>
            </w:r>
          </w:p>
        </w:tc>
        <w:tc>
          <w:tcPr>
            <w:tcW w:w="6123" w:type="dxa"/>
          </w:tcPr>
          <w:p w14:paraId="1C9173E1"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La ou les caméras doivent enregistrer le passage des poissons au-dessus de la grille de séparation ; au moins une caméra.</w:t>
            </w:r>
          </w:p>
        </w:tc>
      </w:tr>
      <w:tr w:rsidR="000E72AB" w:rsidRPr="0048521D" w14:paraId="6AF537CD" w14:textId="77777777" w:rsidTr="005833E8">
        <w:trPr>
          <w:jc w:val="center"/>
        </w:trPr>
        <w:tc>
          <w:tcPr>
            <w:tcW w:w="2381" w:type="dxa"/>
          </w:tcPr>
          <w:p w14:paraId="7F15F54F"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Congélation/transformation</w:t>
            </w:r>
          </w:p>
        </w:tc>
        <w:tc>
          <w:tcPr>
            <w:tcW w:w="6123" w:type="dxa"/>
          </w:tcPr>
          <w:p w14:paraId="0870D056"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En cas de congélation ou d’autre transformation à bord, la ou les caméras doivent enregistrer le parcours de la capture depuis les cuves de stockage jusqu’au tri et à l’activité de congélation ; au moins une caméra.</w:t>
            </w:r>
          </w:p>
        </w:tc>
      </w:tr>
      <w:tr w:rsidR="000E72AB" w:rsidRPr="0048521D" w14:paraId="6CDBEB2A" w14:textId="77777777" w:rsidTr="005833E8">
        <w:trPr>
          <w:jc w:val="center"/>
        </w:trPr>
        <w:tc>
          <w:tcPr>
            <w:tcW w:w="2381" w:type="dxa"/>
          </w:tcPr>
          <w:p w14:paraId="5C6A9507"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Salle de contrôle de la pompe</w:t>
            </w:r>
          </w:p>
        </w:tc>
        <w:tc>
          <w:tcPr>
            <w:tcW w:w="6123" w:type="dxa"/>
          </w:tcPr>
          <w:p w14:paraId="7FE41A8F" w14:textId="72C715F5"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 xml:space="preserve">Le flux </w:t>
            </w:r>
            <w:r w:rsidR="000E5235" w:rsidRPr="0048521D">
              <w:rPr>
                <w:rFonts w:ascii="Cambria" w:hAnsi="Cambria"/>
                <w:sz w:val="20"/>
                <w:szCs w:val="20"/>
              </w:rPr>
              <w:t xml:space="preserve">vidéo </w:t>
            </w:r>
            <w:r w:rsidRPr="0048521D">
              <w:rPr>
                <w:rFonts w:ascii="Cambria" w:hAnsi="Cambria"/>
                <w:sz w:val="20"/>
                <w:szCs w:val="20"/>
              </w:rPr>
              <w:t xml:space="preserve">de la caméra ou le flux de données direct doit enregistrer la capacité des cuves et l’écran d’affichage pour les systèmes </w:t>
            </w:r>
            <w:proofErr w:type="spellStart"/>
            <w:r w:rsidRPr="0048521D">
              <w:rPr>
                <w:rFonts w:ascii="Cambria" w:hAnsi="Cambria"/>
                <w:sz w:val="20"/>
                <w:szCs w:val="20"/>
              </w:rPr>
              <w:t>CSW</w:t>
            </w:r>
            <w:proofErr w:type="spellEnd"/>
            <w:r w:rsidRPr="0048521D">
              <w:rPr>
                <w:rFonts w:ascii="Cambria" w:hAnsi="Cambria"/>
                <w:sz w:val="20"/>
                <w:szCs w:val="20"/>
              </w:rPr>
              <w:t>/</w:t>
            </w:r>
            <w:proofErr w:type="spellStart"/>
            <w:r w:rsidRPr="0048521D">
              <w:rPr>
                <w:rFonts w:ascii="Cambria" w:hAnsi="Cambria"/>
                <w:sz w:val="20"/>
                <w:szCs w:val="20"/>
              </w:rPr>
              <w:t>RSW</w:t>
            </w:r>
            <w:proofErr w:type="spellEnd"/>
            <w:r w:rsidRPr="0048521D">
              <w:rPr>
                <w:rFonts w:ascii="Cambria" w:hAnsi="Cambria"/>
                <w:sz w:val="20"/>
                <w:szCs w:val="20"/>
              </w:rPr>
              <w:t> ; au moins une caméra sauf s’il y a un flux d’affichage en miroir ou une intégration directe des capteurs.</w:t>
            </w:r>
          </w:p>
        </w:tc>
      </w:tr>
      <w:tr w:rsidR="000E72AB" w:rsidRPr="0048521D" w14:paraId="131DD5D3" w14:textId="77777777" w:rsidTr="005833E8">
        <w:trPr>
          <w:jc w:val="center"/>
        </w:trPr>
        <w:tc>
          <w:tcPr>
            <w:tcW w:w="2381" w:type="dxa"/>
          </w:tcPr>
          <w:p w14:paraId="4BD996FA"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Zone de rejets désignée</w:t>
            </w:r>
          </w:p>
        </w:tc>
        <w:tc>
          <w:tcPr>
            <w:tcW w:w="6123" w:type="dxa"/>
          </w:tcPr>
          <w:p w14:paraId="7581E43C"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La ou les caméras doivent enregistrer toute l’activité dans la zone désignée ayant trait aux rejets d’animaux marins ; au moins une caméra.</w:t>
            </w:r>
          </w:p>
        </w:tc>
      </w:tr>
      <w:tr w:rsidR="000E72AB" w:rsidRPr="0048521D" w14:paraId="1C9323E0" w14:textId="77777777" w:rsidTr="005833E8">
        <w:trPr>
          <w:jc w:val="center"/>
        </w:trPr>
        <w:tc>
          <w:tcPr>
            <w:tcW w:w="2381" w:type="dxa"/>
          </w:tcPr>
          <w:p w14:paraId="7AA0B539"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Poche / remises à l’eau</w:t>
            </w:r>
          </w:p>
        </w:tc>
        <w:tc>
          <w:tcPr>
            <w:tcW w:w="6123" w:type="dxa"/>
          </w:tcPr>
          <w:p w14:paraId="0255470B"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Lorsque la capture est pompée à bord à partir d’un filet, la ou les caméra(s) doivent enregistrer la poche de sorte que les remises à l’eau d’animaux marins, vivants ou morts, soient visibles dès le début du pompage jusqu’à ce que le filet soit vide ; au moins une caméra.</w:t>
            </w:r>
          </w:p>
        </w:tc>
      </w:tr>
      <w:tr w:rsidR="000E72AB" w:rsidRPr="0048521D" w14:paraId="7E5670A3" w14:textId="77777777" w:rsidTr="005833E8">
        <w:trPr>
          <w:jc w:val="center"/>
        </w:trPr>
        <w:tc>
          <w:tcPr>
            <w:tcW w:w="2381" w:type="dxa"/>
          </w:tcPr>
          <w:p w14:paraId="53D408AA"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Caméras supplémentaires</w:t>
            </w:r>
          </w:p>
        </w:tc>
        <w:tc>
          <w:tcPr>
            <w:tcW w:w="6123" w:type="dxa"/>
          </w:tcPr>
          <w:p w14:paraId="085D4CC2"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Le système doit pouvoir implanter des caméras supplémentaires dans des zones qui ne sont actuellement pas couvertes dans les spécifications techniques.</w:t>
            </w:r>
          </w:p>
        </w:tc>
      </w:tr>
    </w:tbl>
    <w:p w14:paraId="2D60EFBE" w14:textId="77777777" w:rsidR="00801359" w:rsidRPr="0048521D" w:rsidRDefault="00801359" w:rsidP="00585F95">
      <w:pPr>
        <w:pStyle w:val="Paragraphedeliste"/>
        <w:widowControl/>
        <w:tabs>
          <w:tab w:val="left" w:pos="851"/>
        </w:tabs>
        <w:spacing w:line="240" w:lineRule="exact"/>
        <w:ind w:left="851"/>
        <w:rPr>
          <w:rFonts w:ascii="Cambria" w:eastAsia="MS Mincho" w:hAnsi="Cambria"/>
          <w:kern w:val="0"/>
          <w:sz w:val="20"/>
          <w:szCs w:val="20"/>
          <w:lang w:eastAsia="en-US"/>
        </w:rPr>
      </w:pPr>
    </w:p>
    <w:p w14:paraId="143E3617" w14:textId="77777777" w:rsidR="003106F8" w:rsidRPr="0048521D" w:rsidRDefault="003106F8" w:rsidP="00585F95">
      <w:pPr>
        <w:pStyle w:val="Paragraphedeliste"/>
        <w:widowControl/>
        <w:tabs>
          <w:tab w:val="left" w:pos="851"/>
        </w:tabs>
        <w:spacing w:line="240" w:lineRule="exact"/>
        <w:ind w:left="851"/>
        <w:rPr>
          <w:rFonts w:ascii="Cambria" w:eastAsia="MS Mincho" w:hAnsi="Cambria"/>
          <w:kern w:val="0"/>
          <w:sz w:val="20"/>
          <w:szCs w:val="20"/>
          <w:lang w:eastAsia="en-US"/>
        </w:rPr>
      </w:pPr>
    </w:p>
    <w:p w14:paraId="1C01440E" w14:textId="29DBCA97" w:rsidR="007F11AE" w:rsidRPr="0048521D" w:rsidRDefault="007F11AE" w:rsidP="00801359">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7. </w:t>
      </w:r>
      <w:r w:rsidRPr="0048521D">
        <w:rPr>
          <w:rFonts w:ascii="Cambria" w:hAnsi="Cambria"/>
          <w:b/>
          <w:bCs/>
          <w:sz w:val="20"/>
          <w:szCs w:val="20"/>
        </w:rPr>
        <w:tab/>
        <w:t>Exigences relatives à la collecte des données pour le projet pilote norvégien</w:t>
      </w:r>
    </w:p>
    <w:p w14:paraId="45804150" w14:textId="77777777" w:rsidR="00801359" w:rsidRPr="0048521D" w:rsidRDefault="00801359" w:rsidP="00801359">
      <w:pPr>
        <w:widowControl/>
        <w:tabs>
          <w:tab w:val="left" w:pos="426"/>
        </w:tabs>
        <w:spacing w:line="220" w:lineRule="exact"/>
        <w:jc w:val="left"/>
        <w:rPr>
          <w:rFonts w:ascii="Cambria" w:eastAsia="MS Mincho" w:hAnsi="Cambria"/>
          <w:kern w:val="0"/>
          <w:sz w:val="20"/>
          <w:szCs w:val="20"/>
          <w:lang w:eastAsia="en-US"/>
        </w:rPr>
      </w:pPr>
    </w:p>
    <w:p w14:paraId="1F450288" w14:textId="779C9816" w:rsidR="007F11AE" w:rsidRPr="0048521D" w:rsidRDefault="007F11AE" w:rsidP="00801359">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Le modèle de données devrait combiner les données du système REM, les observations du ROP, le carnet de pêche du navire/l’eBCD/les documents de transfert, les observations de contrôle de la Direction et les observations scientifiques de l’</w:t>
      </w:r>
      <w:proofErr w:type="spellStart"/>
      <w:r w:rsidRPr="0048521D">
        <w:rPr>
          <w:rFonts w:ascii="Cambria" w:hAnsi="Cambria"/>
          <w:sz w:val="20"/>
          <w:szCs w:val="20"/>
        </w:rPr>
        <w:t>IMR</w:t>
      </w:r>
      <w:proofErr w:type="spellEnd"/>
      <w:r w:rsidRPr="0048521D">
        <w:rPr>
          <w:rFonts w:ascii="Cambria" w:hAnsi="Cambria"/>
          <w:sz w:val="20"/>
          <w:szCs w:val="20"/>
        </w:rPr>
        <w:t>. À ce stade, le système EMS en lui-même ne sera pas considéré comme remplaçant l’observateur régional ou l’échantillonnage scientifique.</w:t>
      </w:r>
    </w:p>
    <w:p w14:paraId="658ECEA8" w14:textId="77777777" w:rsidR="00E727B9" w:rsidRPr="0048521D" w:rsidRDefault="00E727B9" w:rsidP="007F11AE">
      <w:pPr>
        <w:pStyle w:val="Paragraphedeliste"/>
        <w:widowControl/>
        <w:tabs>
          <w:tab w:val="left" w:pos="851"/>
        </w:tabs>
        <w:spacing w:line="240" w:lineRule="exact"/>
        <w:ind w:left="851"/>
        <w:rPr>
          <w:rFonts w:ascii="Cambria" w:eastAsia="MS Mincho" w:hAnsi="Cambria"/>
          <w:kern w:val="0"/>
          <w:sz w:val="20"/>
          <w:szCs w:val="20"/>
          <w:lang w:eastAsia="en-US"/>
        </w:rPr>
      </w:pPr>
    </w:p>
    <w:tbl>
      <w:tblPr>
        <w:tblStyle w:val="TableGrid4"/>
        <w:tblW w:w="0" w:type="auto"/>
        <w:jc w:val="center"/>
        <w:tblLook w:val="04A0" w:firstRow="1" w:lastRow="0" w:firstColumn="1" w:lastColumn="0" w:noHBand="0" w:noVBand="1"/>
      </w:tblPr>
      <w:tblGrid>
        <w:gridCol w:w="2268"/>
        <w:gridCol w:w="6236"/>
      </w:tblGrid>
      <w:tr w:rsidR="00E727B9" w:rsidRPr="0048521D" w14:paraId="362D5FFC" w14:textId="77777777" w:rsidTr="00801359">
        <w:trPr>
          <w:jc w:val="center"/>
        </w:trPr>
        <w:tc>
          <w:tcPr>
            <w:tcW w:w="2268" w:type="dxa"/>
          </w:tcPr>
          <w:p w14:paraId="03D4D395" w14:textId="77777777" w:rsidR="00E727B9" w:rsidRPr="0048521D" w:rsidRDefault="00E727B9" w:rsidP="00801359">
            <w:pPr>
              <w:widowControl/>
              <w:jc w:val="center"/>
              <w:rPr>
                <w:rFonts w:ascii="Cambria" w:eastAsia="MS Mincho" w:hAnsi="Cambria"/>
                <w:bCs/>
                <w:i/>
                <w:iCs/>
                <w:sz w:val="20"/>
                <w:szCs w:val="20"/>
              </w:rPr>
            </w:pPr>
            <w:r w:rsidRPr="0048521D">
              <w:rPr>
                <w:rFonts w:ascii="Cambria" w:hAnsi="Cambria"/>
                <w:bCs/>
                <w:i/>
                <w:iCs/>
                <w:sz w:val="20"/>
                <w:szCs w:val="20"/>
              </w:rPr>
              <w:t>Catégorie de données</w:t>
            </w:r>
          </w:p>
        </w:tc>
        <w:tc>
          <w:tcPr>
            <w:tcW w:w="6236" w:type="dxa"/>
          </w:tcPr>
          <w:p w14:paraId="16C59D39" w14:textId="77777777" w:rsidR="00E727B9" w:rsidRPr="0048521D" w:rsidRDefault="00E727B9" w:rsidP="00801359">
            <w:pPr>
              <w:widowControl/>
              <w:jc w:val="center"/>
              <w:rPr>
                <w:rFonts w:ascii="Cambria" w:eastAsia="MS Mincho" w:hAnsi="Cambria"/>
                <w:bCs/>
                <w:i/>
                <w:iCs/>
                <w:sz w:val="20"/>
                <w:szCs w:val="20"/>
              </w:rPr>
            </w:pPr>
            <w:r w:rsidRPr="0048521D">
              <w:rPr>
                <w:rFonts w:ascii="Cambria" w:hAnsi="Cambria"/>
                <w:bCs/>
                <w:i/>
                <w:iCs/>
                <w:sz w:val="20"/>
                <w:szCs w:val="20"/>
              </w:rPr>
              <w:t>Exigence provisoire</w:t>
            </w:r>
          </w:p>
        </w:tc>
      </w:tr>
      <w:tr w:rsidR="00E727B9" w:rsidRPr="0048521D" w14:paraId="68150AA2" w14:textId="77777777" w:rsidTr="005833E8">
        <w:trPr>
          <w:jc w:val="center"/>
        </w:trPr>
        <w:tc>
          <w:tcPr>
            <w:tcW w:w="2268" w:type="dxa"/>
          </w:tcPr>
          <w:p w14:paraId="05C81CF1"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Sortie de pêche et effort</w:t>
            </w:r>
          </w:p>
        </w:tc>
        <w:tc>
          <w:tcPr>
            <w:tcW w:w="6236" w:type="dxa"/>
          </w:tcPr>
          <w:p w14:paraId="690B0D95"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 xml:space="preserve">Départ/arrivée, jours de pêche, effort de recherche, début/fin de la calée, </w:t>
            </w:r>
            <w:proofErr w:type="spellStart"/>
            <w:r w:rsidRPr="0048521D">
              <w:rPr>
                <w:rFonts w:ascii="Cambria" w:hAnsi="Cambria"/>
                <w:sz w:val="20"/>
                <w:szCs w:val="20"/>
              </w:rPr>
              <w:t>boursage</w:t>
            </w:r>
            <w:proofErr w:type="spellEnd"/>
            <w:r w:rsidRPr="0048521D">
              <w:rPr>
                <w:rFonts w:ascii="Cambria" w:hAnsi="Cambria"/>
                <w:sz w:val="20"/>
                <w:szCs w:val="20"/>
              </w:rPr>
              <w:t xml:space="preserve"> du filet, pompage, durée de transfert et de stockage. Source : carnet de pêche, séries temporelles du système REM, registre de l’observateur, registres de la Direction/de l’</w:t>
            </w:r>
            <w:proofErr w:type="spellStart"/>
            <w:r w:rsidRPr="0048521D">
              <w:rPr>
                <w:rFonts w:ascii="Cambria" w:hAnsi="Cambria"/>
                <w:sz w:val="20"/>
                <w:szCs w:val="20"/>
              </w:rPr>
              <w:t>IMR</w:t>
            </w:r>
            <w:proofErr w:type="spellEnd"/>
            <w:r w:rsidRPr="0048521D">
              <w:rPr>
                <w:rFonts w:ascii="Cambria" w:hAnsi="Cambria"/>
                <w:sz w:val="20"/>
                <w:szCs w:val="20"/>
              </w:rPr>
              <w:t>.</w:t>
            </w:r>
          </w:p>
        </w:tc>
      </w:tr>
      <w:tr w:rsidR="00E727B9" w:rsidRPr="0048521D" w14:paraId="53549EF6" w14:textId="77777777" w:rsidTr="005833E8">
        <w:trPr>
          <w:jc w:val="center"/>
        </w:trPr>
        <w:tc>
          <w:tcPr>
            <w:tcW w:w="2268" w:type="dxa"/>
          </w:tcPr>
          <w:p w14:paraId="0A45CC36"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Données de position</w:t>
            </w:r>
          </w:p>
        </w:tc>
        <w:tc>
          <w:tcPr>
            <w:tcW w:w="6236" w:type="dxa"/>
          </w:tcPr>
          <w:p w14:paraId="32B7E18D"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Position du navire toutes les 10 secondes du VMS/de l’ERS ; positions de la calée et du transfert ; itinéraire du remorquage le cas échéant. Source : VMS/AIS/ERS.</w:t>
            </w:r>
          </w:p>
        </w:tc>
      </w:tr>
      <w:tr w:rsidR="00E727B9" w:rsidRPr="0048521D" w14:paraId="4AF46023" w14:textId="77777777" w:rsidTr="005833E8">
        <w:trPr>
          <w:jc w:val="center"/>
        </w:trPr>
        <w:tc>
          <w:tcPr>
            <w:tcW w:w="2268" w:type="dxa"/>
          </w:tcPr>
          <w:p w14:paraId="70631ACE"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Estimation des captures</w:t>
            </w:r>
          </w:p>
        </w:tc>
        <w:tc>
          <w:tcPr>
            <w:tcW w:w="6236" w:type="dxa"/>
          </w:tcPr>
          <w:p w14:paraId="25085011"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Estimation du ROP, estimation du navire, estimations acoustiques/optiques, documents de transfert et toute vérification post-opérations.</w:t>
            </w:r>
          </w:p>
        </w:tc>
      </w:tr>
      <w:tr w:rsidR="00E727B9" w:rsidRPr="0048521D" w14:paraId="7B672E78" w14:textId="77777777" w:rsidTr="005833E8">
        <w:trPr>
          <w:jc w:val="center"/>
        </w:trPr>
        <w:tc>
          <w:tcPr>
            <w:tcW w:w="2268" w:type="dxa"/>
          </w:tcPr>
          <w:p w14:paraId="1C18EEE4"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Espèces et prises accessoires</w:t>
            </w:r>
          </w:p>
        </w:tc>
        <w:tc>
          <w:tcPr>
            <w:tcW w:w="6236" w:type="dxa"/>
          </w:tcPr>
          <w:p w14:paraId="039161F2"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 xml:space="preserve">Identification de thons rouges, espèces de prises accessoires, remises à l’eau et mortalité. </w:t>
            </w:r>
          </w:p>
        </w:tc>
      </w:tr>
      <w:tr w:rsidR="00E727B9" w:rsidRPr="0048521D" w14:paraId="3A018168" w14:textId="77777777" w:rsidTr="005833E8">
        <w:trPr>
          <w:jc w:val="center"/>
        </w:trPr>
        <w:tc>
          <w:tcPr>
            <w:tcW w:w="2268" w:type="dxa"/>
          </w:tcPr>
          <w:p w14:paraId="406E9C38"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Taille/poids des poissons</w:t>
            </w:r>
          </w:p>
        </w:tc>
        <w:tc>
          <w:tcPr>
            <w:tcW w:w="6236" w:type="dxa"/>
          </w:tcPr>
          <w:p w14:paraId="6E6BD619"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Nombre, taille et poids estimés des thons rouges. Estimation à partir de la caméra conventionnelle, de la caméra stéréoscopique et du système acoustique.</w:t>
            </w:r>
          </w:p>
        </w:tc>
      </w:tr>
      <w:tr w:rsidR="00E727B9" w:rsidRPr="0048521D" w14:paraId="6332C4F5" w14:textId="77777777" w:rsidTr="005833E8">
        <w:trPr>
          <w:jc w:val="center"/>
        </w:trPr>
        <w:tc>
          <w:tcPr>
            <w:tcW w:w="2268" w:type="dxa"/>
          </w:tcPr>
          <w:p w14:paraId="66CE443A"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Performance du système</w:t>
            </w:r>
          </w:p>
        </w:tc>
        <w:tc>
          <w:tcPr>
            <w:tcW w:w="6236" w:type="dxa"/>
          </w:tcPr>
          <w:p w14:paraId="121C4FEC"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Temps de fonctionnement du REM, obstruction de la caméra, panne de courant, défaillance des capteurs, perte de données, erreurs de synchronisation temporelle et mesures rectificatives.</w:t>
            </w:r>
          </w:p>
        </w:tc>
      </w:tr>
    </w:tbl>
    <w:p w14:paraId="7D7C41A0" w14:textId="77777777" w:rsidR="00E727B9" w:rsidRPr="0048521D" w:rsidRDefault="00E727B9" w:rsidP="007F11AE">
      <w:pPr>
        <w:pStyle w:val="Paragraphedeliste"/>
        <w:widowControl/>
        <w:tabs>
          <w:tab w:val="left" w:pos="851"/>
        </w:tabs>
        <w:spacing w:line="240" w:lineRule="exact"/>
        <w:ind w:left="851"/>
        <w:rPr>
          <w:rFonts w:ascii="Cambria" w:eastAsia="MS Mincho" w:hAnsi="Cambria"/>
          <w:kern w:val="0"/>
          <w:sz w:val="20"/>
          <w:szCs w:val="20"/>
          <w:lang w:eastAsia="en-US"/>
        </w:rPr>
      </w:pPr>
    </w:p>
    <w:p w14:paraId="32D79541" w14:textId="77777777" w:rsidR="00636AC6" w:rsidRPr="0048521D" w:rsidRDefault="00636AC6" w:rsidP="007F11AE">
      <w:pPr>
        <w:pStyle w:val="Paragraphedeliste"/>
        <w:widowControl/>
        <w:tabs>
          <w:tab w:val="left" w:pos="851"/>
        </w:tabs>
        <w:spacing w:line="240" w:lineRule="exact"/>
        <w:ind w:left="851"/>
        <w:rPr>
          <w:rFonts w:ascii="Cambria" w:eastAsia="MS Mincho" w:hAnsi="Cambria"/>
          <w:b/>
          <w:bCs/>
          <w:kern w:val="0"/>
          <w:sz w:val="20"/>
          <w:szCs w:val="20"/>
          <w:lang w:eastAsia="en-US"/>
        </w:rPr>
      </w:pPr>
    </w:p>
    <w:p w14:paraId="1718F943" w14:textId="7642B6BC" w:rsidR="00636AC6" w:rsidRPr="0048521D" w:rsidRDefault="00636AC6" w:rsidP="00D949C5">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8. </w:t>
      </w:r>
      <w:r w:rsidRPr="0048521D">
        <w:rPr>
          <w:rFonts w:ascii="Cambria" w:hAnsi="Cambria"/>
          <w:b/>
          <w:bCs/>
          <w:sz w:val="20"/>
          <w:szCs w:val="20"/>
        </w:rPr>
        <w:tab/>
        <w:t>Protocole d’examen et analyse</w:t>
      </w:r>
    </w:p>
    <w:p w14:paraId="7A02C62D" w14:textId="77777777" w:rsidR="00D949C5" w:rsidRPr="0048521D" w:rsidRDefault="00D949C5" w:rsidP="00D949C5">
      <w:pPr>
        <w:widowControl/>
        <w:tabs>
          <w:tab w:val="left" w:pos="426"/>
        </w:tabs>
        <w:spacing w:line="220" w:lineRule="exact"/>
        <w:jc w:val="left"/>
        <w:rPr>
          <w:rFonts w:ascii="Cambria" w:eastAsia="MS Mincho" w:hAnsi="Cambria"/>
          <w:kern w:val="0"/>
          <w:sz w:val="20"/>
          <w:szCs w:val="20"/>
          <w:lang w:eastAsia="en-US"/>
        </w:rPr>
      </w:pPr>
    </w:p>
    <w:p w14:paraId="341F47A6" w14:textId="332E2045" w:rsidR="00636AC6" w:rsidRPr="0048521D" w:rsidRDefault="00636AC6" w:rsidP="00D949C5">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Étant donné que les opérations de pêche avec un seul navire seront en nombre limité, l’approche prévue consiste en un examen de l’intégralité des événements déterminés liés à la pêche, au transfert, à la remise à l'eau, à la mortalité et aux défaillances du système, plutôt qu’en un taux d’examen aléatoire faible. L’enregistrement continu des caméras pourrait produire plus d’images que nécessaire pour un examen </w:t>
      </w:r>
      <w:r w:rsidRPr="0048521D">
        <w:rPr>
          <w:rFonts w:ascii="Cambria" w:hAnsi="Cambria"/>
          <w:sz w:val="20"/>
          <w:szCs w:val="20"/>
        </w:rPr>
        <w:lastRenderedPageBreak/>
        <w:t>manuel complet ; par conséquent, le protocole d’examen devrait, dans l’idéal, définir des évènements déclencheurs, des périodes d’examen et des vérifications croisées.</w:t>
      </w:r>
    </w:p>
    <w:p w14:paraId="3517F8ED" w14:textId="77777777" w:rsidR="00D949C5" w:rsidRPr="0048521D" w:rsidRDefault="00D949C5" w:rsidP="00D949C5">
      <w:pPr>
        <w:widowControl/>
        <w:tabs>
          <w:tab w:val="left" w:pos="426"/>
        </w:tabs>
        <w:spacing w:line="220" w:lineRule="exact"/>
        <w:rPr>
          <w:rFonts w:ascii="Cambria" w:eastAsia="MS Mincho" w:hAnsi="Cambria"/>
          <w:kern w:val="0"/>
          <w:sz w:val="20"/>
          <w:szCs w:val="20"/>
          <w:lang w:eastAsia="en-US"/>
        </w:rPr>
      </w:pPr>
    </w:p>
    <w:p w14:paraId="2F0C69A5" w14:textId="77777777" w:rsidR="00636AC6" w:rsidRPr="0048521D" w:rsidRDefault="00636AC6" w:rsidP="00D949C5">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Protocole d’examen :</w:t>
      </w:r>
    </w:p>
    <w:p w14:paraId="7E430097" w14:textId="77777777" w:rsidR="007652A3" w:rsidRPr="0048521D" w:rsidRDefault="007652A3" w:rsidP="00D949C5">
      <w:pPr>
        <w:widowControl/>
        <w:tabs>
          <w:tab w:val="left" w:pos="426"/>
        </w:tabs>
        <w:spacing w:line="220" w:lineRule="exact"/>
        <w:rPr>
          <w:rFonts w:ascii="Cambria" w:eastAsia="MS Mincho" w:hAnsi="Cambria"/>
          <w:kern w:val="0"/>
          <w:sz w:val="20"/>
          <w:szCs w:val="20"/>
          <w:lang w:eastAsia="en-US"/>
        </w:rPr>
      </w:pPr>
    </w:p>
    <w:p w14:paraId="0A3DBD94" w14:textId="1319A0B1" w:rsidR="00636AC6" w:rsidRPr="0048521D" w:rsidRDefault="00636AC6" w:rsidP="007652A3">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Examiner l’intégralité des images de chaque calée à la senne au moins 30 minutes avant le mouillage du filet et jusqu’à ce que l’opération soit achevée ou abandonnée.</w:t>
      </w:r>
    </w:p>
    <w:p w14:paraId="7D9E9A0C" w14:textId="7F9DCD8E" w:rsidR="00636AC6" w:rsidRPr="0048521D" w:rsidRDefault="00636AC6" w:rsidP="007652A3">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Examiner l'intégralité des évènements de transfert, de remise à l'eau, de mortalité, de prises accessoires et d’interventions en matière de bien-être des poissons.</w:t>
      </w:r>
    </w:p>
    <w:p w14:paraId="4888C2E8" w14:textId="500F08DA" w:rsidR="00636AC6" w:rsidRPr="0048521D" w:rsidRDefault="00636AC6" w:rsidP="007652A3">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Contre-vérifier les événements du système REM avec les notes du ROP, les entrées des carnets de pêche, les documents de transfert, les entrées de l’eBCD, les observations de l’</w:t>
      </w:r>
      <w:proofErr w:type="spellStart"/>
      <w:r w:rsidRPr="0048521D">
        <w:rPr>
          <w:rFonts w:ascii="Cambria" w:hAnsi="Cambria"/>
          <w:sz w:val="20"/>
          <w:szCs w:val="20"/>
        </w:rPr>
        <w:t>IMR</w:t>
      </w:r>
      <w:proofErr w:type="spellEnd"/>
      <w:r w:rsidRPr="0048521D">
        <w:rPr>
          <w:rFonts w:ascii="Cambria" w:hAnsi="Cambria"/>
          <w:sz w:val="20"/>
          <w:szCs w:val="20"/>
        </w:rPr>
        <w:t xml:space="preserve"> et les notes d’inspection de la Direction.</w:t>
      </w:r>
    </w:p>
    <w:p w14:paraId="41AA248F" w14:textId="7396860C" w:rsidR="00636AC6" w:rsidRPr="0048521D" w:rsidRDefault="00636AC6" w:rsidP="007652A3">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Produire un journal d’événements avec des ID uniques des événements, un horodatage, des coordonnées géographiques, des séquences vidéo pertinentes, les conclusions des analystes et le résultat de la vérification croisée.</w:t>
      </w:r>
    </w:p>
    <w:p w14:paraId="0CD6D940" w14:textId="1BBEB026" w:rsidR="00636AC6" w:rsidRPr="0048521D" w:rsidRDefault="00636AC6" w:rsidP="007652A3">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Classer les conclusions en tant qu’observation scientifique, problème opérationnel, problème de bien-être des poissons, problème de qualité des données ou problème d’application potentiel.</w:t>
      </w:r>
    </w:p>
    <w:p w14:paraId="2537BFEA" w14:textId="77777777" w:rsidR="00AF1D90" w:rsidRPr="0048521D" w:rsidRDefault="00AF1D90" w:rsidP="00AF1D90">
      <w:pPr>
        <w:pStyle w:val="Paragraphedeliste"/>
        <w:widowControl/>
        <w:tabs>
          <w:tab w:val="left" w:pos="851"/>
        </w:tabs>
        <w:spacing w:line="240" w:lineRule="exact"/>
        <w:ind w:left="851"/>
        <w:rPr>
          <w:rFonts w:ascii="Cambria" w:eastAsia="MS Mincho" w:hAnsi="Cambria"/>
          <w:kern w:val="0"/>
          <w:sz w:val="20"/>
          <w:szCs w:val="20"/>
          <w:lang w:eastAsia="en-US"/>
        </w:rPr>
      </w:pPr>
    </w:p>
    <w:p w14:paraId="72FC4B83" w14:textId="77777777" w:rsidR="003106F8" w:rsidRPr="0048521D" w:rsidRDefault="003106F8" w:rsidP="00AF1D90">
      <w:pPr>
        <w:pStyle w:val="Paragraphedeliste"/>
        <w:widowControl/>
        <w:tabs>
          <w:tab w:val="left" w:pos="851"/>
        </w:tabs>
        <w:spacing w:line="240" w:lineRule="exact"/>
        <w:ind w:left="851"/>
        <w:rPr>
          <w:rFonts w:ascii="Cambria" w:eastAsia="MS Mincho" w:hAnsi="Cambria"/>
          <w:kern w:val="0"/>
          <w:sz w:val="20"/>
          <w:szCs w:val="20"/>
          <w:lang w:eastAsia="en-US"/>
        </w:rPr>
      </w:pPr>
    </w:p>
    <w:p w14:paraId="115472FD" w14:textId="2912E428" w:rsidR="00E340B8" w:rsidRPr="0048521D" w:rsidRDefault="00E340B8" w:rsidP="009F7C8D">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9. </w:t>
      </w:r>
      <w:r w:rsidRPr="0048521D">
        <w:rPr>
          <w:rFonts w:ascii="Cambria" w:hAnsi="Cambria"/>
          <w:b/>
          <w:bCs/>
          <w:sz w:val="20"/>
          <w:szCs w:val="20"/>
        </w:rPr>
        <w:tab/>
        <w:t>Dysfonctionnement, falsification et procédures d’urgence</w:t>
      </w:r>
    </w:p>
    <w:p w14:paraId="07B73205" w14:textId="77777777" w:rsidR="009F7C8D" w:rsidRPr="0048521D" w:rsidRDefault="009F7C8D" w:rsidP="009F7C8D">
      <w:pPr>
        <w:widowControl/>
        <w:tabs>
          <w:tab w:val="left" w:pos="426"/>
        </w:tabs>
        <w:spacing w:line="220" w:lineRule="exact"/>
        <w:jc w:val="left"/>
        <w:rPr>
          <w:rFonts w:ascii="Cambria" w:eastAsia="MS Mincho" w:hAnsi="Cambria"/>
          <w:b/>
          <w:bCs/>
          <w:kern w:val="0"/>
          <w:sz w:val="20"/>
          <w:szCs w:val="20"/>
          <w:lang w:eastAsia="en-US"/>
        </w:rPr>
      </w:pPr>
    </w:p>
    <w:p w14:paraId="76BAF64C" w14:textId="6FCC0E80" w:rsidR="00AF1D90" w:rsidRPr="0048521D" w:rsidRDefault="00E340B8" w:rsidP="009F7C8D">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La Recommandation 23-18 exige une déclaration claire des dysfonctionnements et des dispositions d’urgence. Les orientations écossaises sur le système REM comportent également des procédures relatives aux données et aux défaillances. Pour ce projet pilote, la Norvège devrait définir des procédures plus strictes que les procédures minimales car l’opération est brève et ne pas être facilement répétée.</w:t>
      </w:r>
    </w:p>
    <w:p w14:paraId="3CE1E067" w14:textId="77777777" w:rsidR="00296F20" w:rsidRPr="0048521D" w:rsidRDefault="00296F20" w:rsidP="00E340B8">
      <w:pPr>
        <w:pStyle w:val="Paragraphedeliste"/>
        <w:widowControl/>
        <w:tabs>
          <w:tab w:val="left" w:pos="851"/>
        </w:tabs>
        <w:spacing w:line="240" w:lineRule="exact"/>
        <w:ind w:left="851"/>
        <w:rPr>
          <w:rFonts w:ascii="Cambria" w:eastAsia="MS Mincho" w:hAnsi="Cambria"/>
          <w:kern w:val="0"/>
          <w:sz w:val="20"/>
          <w:szCs w:val="20"/>
          <w:lang w:eastAsia="en-US"/>
        </w:rPr>
      </w:pPr>
    </w:p>
    <w:tbl>
      <w:tblPr>
        <w:tblStyle w:val="TableGrid5"/>
        <w:tblW w:w="0" w:type="auto"/>
        <w:jc w:val="center"/>
        <w:tblLook w:val="04A0" w:firstRow="1" w:lastRow="0" w:firstColumn="1" w:lastColumn="0" w:noHBand="0" w:noVBand="1"/>
      </w:tblPr>
      <w:tblGrid>
        <w:gridCol w:w="2268"/>
        <w:gridCol w:w="6236"/>
      </w:tblGrid>
      <w:tr w:rsidR="00296F20" w:rsidRPr="0048521D" w14:paraId="39B2477E" w14:textId="77777777" w:rsidTr="009F7C8D">
        <w:trPr>
          <w:jc w:val="center"/>
        </w:trPr>
        <w:tc>
          <w:tcPr>
            <w:tcW w:w="2268" w:type="dxa"/>
          </w:tcPr>
          <w:p w14:paraId="766348DA" w14:textId="77777777" w:rsidR="00296F20" w:rsidRPr="0048521D" w:rsidRDefault="00296F20" w:rsidP="009F7C8D">
            <w:pPr>
              <w:widowControl/>
              <w:jc w:val="center"/>
              <w:rPr>
                <w:rFonts w:ascii="Cambria" w:eastAsia="MS Mincho" w:hAnsi="Cambria"/>
                <w:bCs/>
                <w:i/>
                <w:iCs/>
                <w:sz w:val="20"/>
                <w:szCs w:val="20"/>
              </w:rPr>
            </w:pPr>
            <w:r w:rsidRPr="0048521D">
              <w:rPr>
                <w:rFonts w:ascii="Cambria" w:hAnsi="Cambria"/>
                <w:bCs/>
                <w:i/>
                <w:iCs/>
                <w:sz w:val="20"/>
                <w:szCs w:val="20"/>
              </w:rPr>
              <w:t>Procédure</w:t>
            </w:r>
          </w:p>
        </w:tc>
        <w:tc>
          <w:tcPr>
            <w:tcW w:w="6236" w:type="dxa"/>
          </w:tcPr>
          <w:p w14:paraId="59EED019" w14:textId="77777777" w:rsidR="00296F20" w:rsidRPr="0048521D" w:rsidRDefault="00296F20" w:rsidP="009F7C8D">
            <w:pPr>
              <w:widowControl/>
              <w:jc w:val="center"/>
              <w:rPr>
                <w:rFonts w:ascii="Cambria" w:eastAsia="MS Mincho" w:hAnsi="Cambria"/>
                <w:bCs/>
                <w:i/>
                <w:iCs/>
                <w:sz w:val="20"/>
                <w:szCs w:val="20"/>
              </w:rPr>
            </w:pPr>
            <w:r w:rsidRPr="0048521D">
              <w:rPr>
                <w:rFonts w:ascii="Cambria" w:hAnsi="Cambria"/>
                <w:bCs/>
                <w:i/>
                <w:iCs/>
                <w:sz w:val="20"/>
                <w:szCs w:val="20"/>
              </w:rPr>
              <w:t>Exigence provisoire</w:t>
            </w:r>
          </w:p>
        </w:tc>
      </w:tr>
      <w:tr w:rsidR="00296F20" w:rsidRPr="0048521D" w14:paraId="32C43AF0" w14:textId="77777777" w:rsidTr="005833E8">
        <w:trPr>
          <w:jc w:val="center"/>
        </w:trPr>
        <w:tc>
          <w:tcPr>
            <w:tcW w:w="2268" w:type="dxa"/>
          </w:tcPr>
          <w:p w14:paraId="076D82A5"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Test préalable au départ</w:t>
            </w:r>
          </w:p>
        </w:tc>
        <w:tc>
          <w:tcPr>
            <w:tcW w:w="6236" w:type="dxa"/>
          </w:tcPr>
          <w:p w14:paraId="0F39AD91"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Procéder à un test complet du système avant le départ.</w:t>
            </w:r>
          </w:p>
        </w:tc>
      </w:tr>
      <w:tr w:rsidR="00296F20" w:rsidRPr="0048521D" w14:paraId="0B270651" w14:textId="77777777" w:rsidTr="005833E8">
        <w:trPr>
          <w:jc w:val="center"/>
        </w:trPr>
        <w:tc>
          <w:tcPr>
            <w:tcW w:w="2268" w:type="dxa"/>
          </w:tcPr>
          <w:p w14:paraId="2D15E9EC"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Vérifications quotidiennes</w:t>
            </w:r>
          </w:p>
        </w:tc>
        <w:tc>
          <w:tcPr>
            <w:tcW w:w="6236" w:type="dxa"/>
          </w:tcPr>
          <w:p w14:paraId="3CBBC951"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Le capitaine ou un membre d’équipage désigné vérifie quotidiennement l’état du système.</w:t>
            </w:r>
          </w:p>
        </w:tc>
      </w:tr>
      <w:tr w:rsidR="00296F20" w:rsidRPr="0048521D" w14:paraId="47DA51F4" w14:textId="77777777" w:rsidTr="005833E8">
        <w:trPr>
          <w:jc w:val="center"/>
        </w:trPr>
        <w:tc>
          <w:tcPr>
            <w:tcW w:w="2268" w:type="dxa"/>
          </w:tcPr>
          <w:p w14:paraId="7329F563"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Notification des défaillances</w:t>
            </w:r>
          </w:p>
        </w:tc>
        <w:tc>
          <w:tcPr>
            <w:tcW w:w="6236" w:type="dxa"/>
          </w:tcPr>
          <w:p w14:paraId="2BB7DE5D"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Tout cas de dysfonctionnement, de panne de courant, d’obstruction des caméras, de défaillance des capteurs ou de perte de données doit être immédiatement enregistré dans le journal d’événements et notifié au point de contact de la Direction.</w:t>
            </w:r>
          </w:p>
        </w:tc>
      </w:tr>
      <w:tr w:rsidR="00296F20" w:rsidRPr="0048521D" w14:paraId="4B7A596E" w14:textId="77777777" w:rsidTr="005833E8">
        <w:trPr>
          <w:jc w:val="center"/>
        </w:trPr>
        <w:tc>
          <w:tcPr>
            <w:tcW w:w="2268" w:type="dxa"/>
          </w:tcPr>
          <w:p w14:paraId="1D86D203"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Protection contre les manipulations</w:t>
            </w:r>
          </w:p>
        </w:tc>
        <w:tc>
          <w:tcPr>
            <w:tcW w:w="6236" w:type="dxa"/>
          </w:tcPr>
          <w:p w14:paraId="583384CC"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Toute preuve d’obstruction délibérée, de désactivation, de manipulation, de suppression ou d’accès non-autorisé doit être communiquée au point de contact d’application de la Direction.</w:t>
            </w:r>
          </w:p>
        </w:tc>
      </w:tr>
      <w:tr w:rsidR="00296F20" w:rsidRPr="0048521D" w14:paraId="44E0B1B5" w14:textId="77777777" w:rsidTr="005833E8">
        <w:trPr>
          <w:jc w:val="center"/>
        </w:trPr>
        <w:tc>
          <w:tcPr>
            <w:tcW w:w="2268" w:type="dxa"/>
          </w:tcPr>
          <w:p w14:paraId="2FC5AA34"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Recoupement des données après la sortie en mer</w:t>
            </w:r>
          </w:p>
        </w:tc>
        <w:tc>
          <w:tcPr>
            <w:tcW w:w="6236" w:type="dxa"/>
          </w:tcPr>
          <w:p w14:paraId="4D1F4D2E"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Toutes les pannes du système et tous les angles morts doivent être documentés dans le rapport de mise en œuvre avec les mesures rectificatives.</w:t>
            </w:r>
          </w:p>
        </w:tc>
      </w:tr>
    </w:tbl>
    <w:p w14:paraId="53B8DF81" w14:textId="77777777" w:rsidR="00296F20" w:rsidRPr="0048521D" w:rsidRDefault="00296F20" w:rsidP="00E340B8">
      <w:pPr>
        <w:pStyle w:val="Paragraphedeliste"/>
        <w:widowControl/>
        <w:tabs>
          <w:tab w:val="left" w:pos="851"/>
        </w:tabs>
        <w:spacing w:line="240" w:lineRule="exact"/>
        <w:ind w:left="851"/>
        <w:rPr>
          <w:rFonts w:ascii="Cambria" w:eastAsia="MS Mincho" w:hAnsi="Cambria"/>
          <w:kern w:val="0"/>
          <w:sz w:val="20"/>
          <w:szCs w:val="20"/>
          <w:lang w:eastAsia="en-US"/>
        </w:rPr>
      </w:pPr>
    </w:p>
    <w:p w14:paraId="48241B21" w14:textId="77777777" w:rsidR="007E16B8" w:rsidRPr="0048521D" w:rsidRDefault="007E16B8" w:rsidP="00E340B8">
      <w:pPr>
        <w:pStyle w:val="Paragraphedeliste"/>
        <w:widowControl/>
        <w:tabs>
          <w:tab w:val="left" w:pos="851"/>
        </w:tabs>
        <w:spacing w:line="240" w:lineRule="exact"/>
        <w:ind w:left="851"/>
        <w:rPr>
          <w:rFonts w:ascii="Cambria" w:eastAsia="MS Mincho" w:hAnsi="Cambria"/>
          <w:kern w:val="0"/>
          <w:sz w:val="20"/>
          <w:szCs w:val="20"/>
          <w:lang w:eastAsia="en-US"/>
        </w:rPr>
      </w:pPr>
    </w:p>
    <w:p w14:paraId="3D14DBEC" w14:textId="2401E198" w:rsidR="00991B72" w:rsidRPr="0048521D" w:rsidRDefault="00991B72" w:rsidP="007E16B8">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10. </w:t>
      </w:r>
      <w:r w:rsidRPr="0048521D">
        <w:rPr>
          <w:rFonts w:ascii="Cambria" w:hAnsi="Cambria"/>
          <w:b/>
          <w:bCs/>
          <w:sz w:val="20"/>
          <w:szCs w:val="20"/>
        </w:rPr>
        <w:tab/>
        <w:t>Gestion, confidentialité et conservation des données</w:t>
      </w:r>
    </w:p>
    <w:p w14:paraId="07E4F37B" w14:textId="77777777" w:rsidR="007E16B8" w:rsidRPr="0048521D" w:rsidRDefault="007E16B8" w:rsidP="007E16B8">
      <w:pPr>
        <w:widowControl/>
        <w:tabs>
          <w:tab w:val="left" w:pos="426"/>
        </w:tabs>
        <w:spacing w:line="220" w:lineRule="exact"/>
        <w:jc w:val="left"/>
        <w:rPr>
          <w:rFonts w:ascii="Cambria" w:eastAsia="MS Mincho" w:hAnsi="Cambria"/>
          <w:kern w:val="0"/>
          <w:sz w:val="20"/>
          <w:szCs w:val="20"/>
          <w:lang w:eastAsia="en-US"/>
        </w:rPr>
      </w:pPr>
    </w:p>
    <w:p w14:paraId="6445C838" w14:textId="076A79C7" w:rsidR="00991B72" w:rsidRPr="0048521D" w:rsidRDefault="00991B72" w:rsidP="007E16B8">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Le modèle écossais du système REM impose une transmission automatique sécurisée des données des capteurs/de positionnement toutes les 24 heures au moins, un transfert sécurisé de la vidéo dans les délais impartis ou sur demande et la conservation des données pendant un an dans le cadre du régime écossais. La </w:t>
      </w:r>
      <w:hyperlink r:id="rId14" w:history="1">
        <w:r w:rsidRPr="0048521D">
          <w:rPr>
            <w:rStyle w:val="Lienhypertexte"/>
            <w:rFonts w:ascii="Cambria" w:hAnsi="Cambria"/>
            <w:sz w:val="20"/>
            <w:szCs w:val="20"/>
            <w:u w:val="none"/>
          </w:rPr>
          <w:t>Rec.</w:t>
        </w:r>
      </w:hyperlink>
      <w:hyperlink r:id="rId15" w:history="1">
        <w:r w:rsidRPr="0048521D">
          <w:rPr>
            <w:rStyle w:val="Lienhypertexte"/>
            <w:rFonts w:ascii="Cambria" w:hAnsi="Cambria"/>
            <w:sz w:val="20"/>
            <w:szCs w:val="20"/>
            <w:u w:val="none"/>
          </w:rPr>
          <w:t xml:space="preserve"> 23-18 </w:t>
        </w:r>
      </w:hyperlink>
      <w:r w:rsidRPr="0048521D">
        <w:rPr>
          <w:rFonts w:ascii="Cambria" w:hAnsi="Cambria"/>
          <w:sz w:val="20"/>
          <w:szCs w:val="20"/>
        </w:rPr>
        <w:t>de l’ICCAT prévoit une solide chaîne de traçabilité, une confidentialité absolue, la gestion sécurisée des données et la conservation de la vidéo examinée pendant trois ans au moins sauf si la réglementation nationale en dispose autrement. Ce projet pilote appliquera les normes de l’ICCAT les plus strictes en matière de gestion des données :</w:t>
      </w:r>
    </w:p>
    <w:p w14:paraId="71A15C12" w14:textId="77777777" w:rsidR="007E16B8" w:rsidRPr="0048521D" w:rsidRDefault="007E16B8" w:rsidP="007E16B8">
      <w:pPr>
        <w:widowControl/>
        <w:tabs>
          <w:tab w:val="left" w:pos="426"/>
        </w:tabs>
        <w:spacing w:line="220" w:lineRule="exact"/>
        <w:rPr>
          <w:rFonts w:ascii="Cambria" w:eastAsia="MS Mincho" w:hAnsi="Cambria"/>
          <w:kern w:val="0"/>
          <w:sz w:val="20"/>
          <w:szCs w:val="20"/>
          <w:lang w:eastAsia="en-US"/>
        </w:rPr>
      </w:pPr>
    </w:p>
    <w:p w14:paraId="641F043A" w14:textId="0BC5A08A" w:rsidR="00991B72" w:rsidRPr="0048521D" w:rsidRDefault="00991B72" w:rsidP="007E16B8">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Les données brutes des vidéos, des capteurs et de positionnement du système REM devraient être conservées intactes depuis l'enregistrement jusqu’à l’examen, avec une somme de contrôle ou des contrôles d’intégrité équivalents dans la mesure du possible.</w:t>
      </w:r>
    </w:p>
    <w:p w14:paraId="14F216E4" w14:textId="15407296" w:rsidR="00991B72" w:rsidRPr="0048521D" w:rsidRDefault="00991B72" w:rsidP="007E16B8">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Une copie de toutes les données du système REM en rapport avec le projet pilote devrait être mise à la disposition de la Direction et, si nécessaire, de l’</w:t>
      </w:r>
      <w:proofErr w:type="spellStart"/>
      <w:r w:rsidRPr="0048521D">
        <w:rPr>
          <w:rFonts w:ascii="Cambria" w:hAnsi="Cambria"/>
          <w:sz w:val="20"/>
          <w:szCs w:val="20"/>
        </w:rPr>
        <w:t>IMR</w:t>
      </w:r>
      <w:proofErr w:type="spellEnd"/>
      <w:r w:rsidRPr="0048521D">
        <w:rPr>
          <w:rFonts w:ascii="Cambria" w:hAnsi="Cambria"/>
          <w:sz w:val="20"/>
          <w:szCs w:val="20"/>
        </w:rPr>
        <w:t xml:space="preserve"> à des fins d’analyse scientifique dans le cadre des conditions de confidentialité convenues.</w:t>
      </w:r>
    </w:p>
    <w:p w14:paraId="2664D8EF" w14:textId="2FF73F3D" w:rsidR="00991B72" w:rsidRPr="0048521D" w:rsidRDefault="00991B72" w:rsidP="007E16B8">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lastRenderedPageBreak/>
        <w:t>Les images des événements examinées et les journaux d’événements devraient être conservés pendant trois ans au moins après examen, ou pendant plus longtemps si nécessaire à des fins de procédures d’application, de reproductibilité scientifique ou de déclaration à l’ICCAT.</w:t>
      </w:r>
    </w:p>
    <w:p w14:paraId="05E313D5" w14:textId="367BBEDD" w:rsidR="00991B72" w:rsidRPr="0048521D" w:rsidRDefault="00991B72" w:rsidP="007E16B8">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 xml:space="preserve">L’accès à la vidéo brute devrait être basé sur des rôles et être enregistré. </w:t>
      </w:r>
    </w:p>
    <w:p w14:paraId="4F1E7E3E" w14:textId="77777777" w:rsidR="007E16B8" w:rsidRPr="0048521D" w:rsidRDefault="007E16B8" w:rsidP="007E16B8">
      <w:pPr>
        <w:widowControl/>
        <w:tabs>
          <w:tab w:val="left" w:pos="851"/>
        </w:tabs>
        <w:spacing w:line="240" w:lineRule="exact"/>
        <w:rPr>
          <w:rFonts w:ascii="Cambria" w:eastAsia="MS Mincho" w:hAnsi="Cambria"/>
          <w:kern w:val="0"/>
          <w:sz w:val="20"/>
          <w:szCs w:val="20"/>
          <w:lang w:eastAsia="en-US"/>
        </w:rPr>
      </w:pPr>
    </w:p>
    <w:p w14:paraId="27D85EFD" w14:textId="77777777" w:rsidR="007E16B8" w:rsidRPr="0048521D" w:rsidRDefault="007E16B8" w:rsidP="007E16B8">
      <w:pPr>
        <w:widowControl/>
        <w:tabs>
          <w:tab w:val="left" w:pos="851"/>
        </w:tabs>
        <w:spacing w:line="240" w:lineRule="exact"/>
        <w:rPr>
          <w:rFonts w:ascii="Cambria" w:eastAsia="MS Mincho" w:hAnsi="Cambria"/>
          <w:kern w:val="0"/>
          <w:sz w:val="20"/>
          <w:szCs w:val="20"/>
          <w:lang w:eastAsia="en-US"/>
        </w:rPr>
      </w:pPr>
    </w:p>
    <w:p w14:paraId="737C7F09" w14:textId="73942B8C" w:rsidR="00991B72" w:rsidRPr="0048521D" w:rsidRDefault="00991B72" w:rsidP="007E16B8">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11. </w:t>
      </w:r>
      <w:r w:rsidRPr="0048521D">
        <w:rPr>
          <w:rFonts w:ascii="Cambria" w:hAnsi="Cambria"/>
          <w:b/>
          <w:bCs/>
          <w:sz w:val="20"/>
          <w:szCs w:val="20"/>
        </w:rPr>
        <w:tab/>
        <w:t>Déclaration</w:t>
      </w:r>
    </w:p>
    <w:p w14:paraId="2AA10148" w14:textId="77777777" w:rsidR="007E16B8" w:rsidRPr="0048521D" w:rsidRDefault="007E16B8" w:rsidP="00991B72">
      <w:pPr>
        <w:pStyle w:val="Paragraphedeliste"/>
        <w:widowControl/>
        <w:tabs>
          <w:tab w:val="left" w:pos="851"/>
        </w:tabs>
        <w:spacing w:line="240" w:lineRule="exact"/>
        <w:ind w:left="851"/>
        <w:rPr>
          <w:rFonts w:ascii="Cambria" w:eastAsia="MS Mincho" w:hAnsi="Cambria"/>
          <w:kern w:val="0"/>
          <w:sz w:val="20"/>
          <w:szCs w:val="20"/>
          <w:lang w:eastAsia="en-US"/>
        </w:rPr>
      </w:pPr>
    </w:p>
    <w:p w14:paraId="448F40CE" w14:textId="6035F33F" w:rsidR="00296F20" w:rsidRPr="0048521D" w:rsidRDefault="00991B72" w:rsidP="007E16B8">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Le programme devrait générer tant un rapport de mise en œuvre opérationnelle qu’un rapport scientifique. Si la Norvège considère cela comme un élément du programme EMS national en vertu de la </w:t>
      </w:r>
      <w:hyperlink r:id="rId16" w:history="1">
        <w:r w:rsidRPr="0048521D">
          <w:rPr>
            <w:rStyle w:val="Lienhypertexte"/>
            <w:rFonts w:ascii="Cambria" w:hAnsi="Cambria"/>
            <w:sz w:val="20"/>
            <w:szCs w:val="20"/>
            <w:u w:val="none"/>
          </w:rPr>
          <w:t>Rec.</w:t>
        </w:r>
      </w:hyperlink>
      <w:hyperlink r:id="rId17" w:history="1">
        <w:r w:rsidRPr="0048521D">
          <w:rPr>
            <w:rStyle w:val="Lienhypertexte"/>
            <w:rFonts w:ascii="Cambria" w:hAnsi="Cambria"/>
            <w:sz w:val="20"/>
            <w:szCs w:val="20"/>
            <w:u w:val="none"/>
          </w:rPr>
          <w:t xml:space="preserve"> 23-18</w:t>
        </w:r>
      </w:hyperlink>
      <w:r w:rsidRPr="0048521D">
        <w:rPr>
          <w:rFonts w:ascii="Cambria" w:hAnsi="Cambria"/>
          <w:sz w:val="20"/>
          <w:szCs w:val="20"/>
        </w:rPr>
        <w:t xml:space="preserve"> de l’ICCAT, la description du programme et la déclaration annuelle devraient être alignées sur les formulaires et les dates limites du système EMS de l’ICCAT. Le projet pilote de stockage de spécimens vivants comporte aussi des obligations de déclaration dans le cadre du projet pilote de l’ICCAT pour le stockage de courte durée de spécimens vivants.</w:t>
      </w:r>
    </w:p>
    <w:p w14:paraId="4EAE8D04" w14:textId="77777777" w:rsidR="00B778DF" w:rsidRPr="0048521D" w:rsidRDefault="00B778DF" w:rsidP="00991B72">
      <w:pPr>
        <w:pStyle w:val="Paragraphedeliste"/>
        <w:widowControl/>
        <w:tabs>
          <w:tab w:val="left" w:pos="851"/>
        </w:tabs>
        <w:spacing w:line="240" w:lineRule="exact"/>
        <w:ind w:left="851"/>
        <w:rPr>
          <w:rFonts w:ascii="Cambria" w:eastAsia="MS Mincho" w:hAnsi="Cambria"/>
          <w:kern w:val="0"/>
          <w:sz w:val="20"/>
          <w:szCs w:val="20"/>
          <w:lang w:eastAsia="en-US"/>
        </w:rPr>
      </w:pPr>
    </w:p>
    <w:tbl>
      <w:tblPr>
        <w:tblStyle w:val="TableGrid6"/>
        <w:tblW w:w="0" w:type="auto"/>
        <w:jc w:val="center"/>
        <w:tblLook w:val="04A0" w:firstRow="1" w:lastRow="0" w:firstColumn="1" w:lastColumn="0" w:noHBand="0" w:noVBand="1"/>
      </w:tblPr>
      <w:tblGrid>
        <w:gridCol w:w="2268"/>
        <w:gridCol w:w="6236"/>
      </w:tblGrid>
      <w:tr w:rsidR="00B778DF" w:rsidRPr="0048521D" w14:paraId="407DCFED" w14:textId="77777777" w:rsidTr="00C23370">
        <w:trPr>
          <w:jc w:val="center"/>
        </w:trPr>
        <w:tc>
          <w:tcPr>
            <w:tcW w:w="2268" w:type="dxa"/>
          </w:tcPr>
          <w:p w14:paraId="4B22F193" w14:textId="77777777" w:rsidR="00B778DF" w:rsidRPr="0048521D" w:rsidRDefault="00B778DF" w:rsidP="00C23370">
            <w:pPr>
              <w:widowControl/>
              <w:jc w:val="center"/>
              <w:rPr>
                <w:rFonts w:ascii="Cambria" w:eastAsia="MS Mincho" w:hAnsi="Cambria"/>
                <w:bCs/>
                <w:i/>
                <w:iCs/>
                <w:sz w:val="20"/>
                <w:szCs w:val="20"/>
              </w:rPr>
            </w:pPr>
            <w:r w:rsidRPr="0048521D">
              <w:rPr>
                <w:rFonts w:ascii="Cambria" w:hAnsi="Cambria"/>
                <w:bCs/>
                <w:i/>
                <w:iCs/>
                <w:sz w:val="20"/>
                <w:szCs w:val="20"/>
              </w:rPr>
              <w:t>Calendrier</w:t>
            </w:r>
          </w:p>
        </w:tc>
        <w:tc>
          <w:tcPr>
            <w:tcW w:w="6236" w:type="dxa"/>
          </w:tcPr>
          <w:p w14:paraId="169A821A" w14:textId="77777777" w:rsidR="00B778DF" w:rsidRPr="0048521D" w:rsidRDefault="00B778DF" w:rsidP="00C23370">
            <w:pPr>
              <w:widowControl/>
              <w:jc w:val="center"/>
              <w:rPr>
                <w:rFonts w:ascii="Cambria" w:eastAsia="MS Mincho" w:hAnsi="Cambria"/>
                <w:bCs/>
                <w:i/>
                <w:iCs/>
                <w:sz w:val="20"/>
                <w:szCs w:val="20"/>
              </w:rPr>
            </w:pPr>
            <w:r w:rsidRPr="0048521D">
              <w:rPr>
                <w:rFonts w:ascii="Cambria" w:hAnsi="Cambria"/>
                <w:bCs/>
                <w:i/>
                <w:iCs/>
                <w:sz w:val="20"/>
                <w:szCs w:val="20"/>
              </w:rPr>
              <w:t>Résultats de la déclaration</w:t>
            </w:r>
          </w:p>
        </w:tc>
      </w:tr>
      <w:tr w:rsidR="00B778DF" w:rsidRPr="0048521D" w14:paraId="4A023219" w14:textId="77777777" w:rsidTr="005833E8">
        <w:trPr>
          <w:jc w:val="center"/>
        </w:trPr>
        <w:tc>
          <w:tcPr>
            <w:tcW w:w="2268" w:type="dxa"/>
          </w:tcPr>
          <w:p w14:paraId="359E7E95"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Avant la sortie de pêche</w:t>
            </w:r>
          </w:p>
        </w:tc>
        <w:tc>
          <w:tcPr>
            <w:tcW w:w="6236" w:type="dxa"/>
          </w:tcPr>
          <w:p w14:paraId="1C6AD88C" w14:textId="7330ECF6" w:rsidR="00B778DF" w:rsidRPr="0048521D" w:rsidRDefault="00B778DF" w:rsidP="00C23370">
            <w:pPr>
              <w:widowControl/>
              <w:spacing w:line="220" w:lineRule="exact"/>
              <w:rPr>
                <w:rFonts w:ascii="Cambria" w:eastAsia="MS Mincho" w:hAnsi="Cambria"/>
                <w:sz w:val="20"/>
                <w:szCs w:val="20"/>
              </w:rPr>
            </w:pPr>
            <w:proofErr w:type="spellStart"/>
            <w:r w:rsidRPr="0048521D">
              <w:rPr>
                <w:rFonts w:ascii="Cambria" w:hAnsi="Cambria"/>
                <w:sz w:val="20"/>
                <w:szCs w:val="20"/>
              </w:rPr>
              <w:t>VMP</w:t>
            </w:r>
            <w:proofErr w:type="spellEnd"/>
            <w:r w:rsidRPr="0048521D">
              <w:rPr>
                <w:rFonts w:ascii="Cambria" w:hAnsi="Cambria"/>
                <w:sz w:val="20"/>
                <w:szCs w:val="20"/>
              </w:rPr>
              <w:t xml:space="preserve"> approuvé ; annexe technique sur le navire et le REM ; liste du personnel ; confirmation du déploiement dans le cadre du ROP ; protocole scientifique ; protocole relatif au bien-être animal ; protocole d’accès aux données.</w:t>
            </w:r>
          </w:p>
        </w:tc>
      </w:tr>
      <w:tr w:rsidR="00B778DF" w:rsidRPr="0048521D" w14:paraId="1CDA5B1E" w14:textId="77777777" w:rsidTr="005833E8">
        <w:trPr>
          <w:jc w:val="center"/>
        </w:trPr>
        <w:tc>
          <w:tcPr>
            <w:tcW w:w="2268" w:type="dxa"/>
          </w:tcPr>
          <w:p w14:paraId="5148CE9C"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Pendant la sortie de pêche</w:t>
            </w:r>
          </w:p>
        </w:tc>
        <w:tc>
          <w:tcPr>
            <w:tcW w:w="6236" w:type="dxa"/>
          </w:tcPr>
          <w:p w14:paraId="712B153B"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Journal d’événements quotidiens ; notes/rapports quotidiens du ROP le cas échéant ; état du système REM ; notes d’observation de la Direction/de l’</w:t>
            </w:r>
            <w:proofErr w:type="spellStart"/>
            <w:r w:rsidRPr="0048521D">
              <w:rPr>
                <w:rFonts w:ascii="Cambria" w:hAnsi="Cambria"/>
                <w:sz w:val="20"/>
                <w:szCs w:val="20"/>
              </w:rPr>
              <w:t>IMR</w:t>
            </w:r>
            <w:proofErr w:type="spellEnd"/>
            <w:r w:rsidRPr="0048521D">
              <w:rPr>
                <w:rFonts w:ascii="Cambria" w:hAnsi="Cambria"/>
                <w:sz w:val="20"/>
                <w:szCs w:val="20"/>
              </w:rPr>
              <w:t> ; registre des pannes.</w:t>
            </w:r>
          </w:p>
        </w:tc>
      </w:tr>
      <w:tr w:rsidR="00B778DF" w:rsidRPr="0048521D" w14:paraId="01DCE8CA" w14:textId="77777777" w:rsidTr="005833E8">
        <w:trPr>
          <w:jc w:val="center"/>
        </w:trPr>
        <w:tc>
          <w:tcPr>
            <w:tcW w:w="2268" w:type="dxa"/>
          </w:tcPr>
          <w:p w14:paraId="7FE649EA"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Après la sortie en mer</w:t>
            </w:r>
          </w:p>
        </w:tc>
        <w:tc>
          <w:tcPr>
            <w:tcW w:w="6236" w:type="dxa"/>
          </w:tcPr>
          <w:p w14:paraId="40AE82CE"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Rapport de mise en œuvre du système EMS ; évaluation des lacunes ; documentation du ROP ; rapport scientifique de l’</w:t>
            </w:r>
            <w:proofErr w:type="spellStart"/>
            <w:r w:rsidRPr="0048521D">
              <w:rPr>
                <w:rFonts w:ascii="Cambria" w:hAnsi="Cambria"/>
                <w:sz w:val="20"/>
                <w:szCs w:val="20"/>
              </w:rPr>
              <w:t>IMR</w:t>
            </w:r>
            <w:proofErr w:type="spellEnd"/>
            <w:r w:rsidRPr="0048521D">
              <w:rPr>
                <w:rFonts w:ascii="Cambria" w:hAnsi="Cambria"/>
                <w:sz w:val="20"/>
                <w:szCs w:val="20"/>
              </w:rPr>
              <w:t> ; rapport sur la mortalité/le bien-être animal ; mesures rectificatives proposées avant tout futur projet pilote.</w:t>
            </w:r>
          </w:p>
        </w:tc>
      </w:tr>
      <w:tr w:rsidR="00B778DF" w:rsidRPr="0048521D" w14:paraId="6A52DD37" w14:textId="77777777" w:rsidTr="005833E8">
        <w:trPr>
          <w:jc w:val="center"/>
        </w:trPr>
        <w:tc>
          <w:tcPr>
            <w:tcW w:w="2268" w:type="dxa"/>
          </w:tcPr>
          <w:p w14:paraId="12DB3998"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Déclaration à l’ICCAT</w:t>
            </w:r>
          </w:p>
        </w:tc>
        <w:tc>
          <w:tcPr>
            <w:tcW w:w="6236" w:type="dxa"/>
          </w:tcPr>
          <w:p w14:paraId="7F3D3623" w14:textId="5E089BF1"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Soumettre ou référencer la description du programme et le rapport de mise en œuvre si nécessaire ; communiquer la mise en œuvre du projet pilote à ICCAT selon la voie de déclaration du projet pilote de stockage de spécimens vivants. [À COMPLÉTER : voie de soumission et date limite exacte].</w:t>
            </w:r>
          </w:p>
        </w:tc>
      </w:tr>
    </w:tbl>
    <w:p w14:paraId="4724000E" w14:textId="77777777" w:rsidR="00B778DF" w:rsidRPr="0048521D" w:rsidRDefault="00B778DF" w:rsidP="00991B72">
      <w:pPr>
        <w:pStyle w:val="Paragraphedeliste"/>
        <w:widowControl/>
        <w:tabs>
          <w:tab w:val="left" w:pos="851"/>
        </w:tabs>
        <w:spacing w:line="240" w:lineRule="exact"/>
        <w:ind w:left="851"/>
        <w:rPr>
          <w:rFonts w:ascii="Cambria" w:eastAsia="MS Mincho" w:hAnsi="Cambria"/>
          <w:kern w:val="0"/>
          <w:sz w:val="20"/>
          <w:szCs w:val="20"/>
          <w:lang w:eastAsia="en-US"/>
        </w:rPr>
      </w:pPr>
    </w:p>
    <w:p w14:paraId="4AE7877F" w14:textId="77777777" w:rsidR="009F7C8D" w:rsidRPr="0048521D" w:rsidRDefault="009F7C8D" w:rsidP="00991B72">
      <w:pPr>
        <w:pStyle w:val="Paragraphedeliste"/>
        <w:widowControl/>
        <w:tabs>
          <w:tab w:val="left" w:pos="851"/>
        </w:tabs>
        <w:spacing w:line="240" w:lineRule="exact"/>
        <w:ind w:left="851"/>
        <w:rPr>
          <w:rFonts w:ascii="Cambria" w:eastAsia="MS Mincho" w:hAnsi="Cambria"/>
          <w:b/>
          <w:bCs/>
          <w:kern w:val="0"/>
          <w:sz w:val="20"/>
          <w:szCs w:val="20"/>
          <w:lang w:eastAsia="en-US"/>
        </w:rPr>
      </w:pPr>
    </w:p>
    <w:p w14:paraId="651CC916" w14:textId="0D82D4FB" w:rsidR="009F7C8D" w:rsidRPr="0048521D" w:rsidRDefault="009F7C8D" w:rsidP="00F756CC">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12. </w:t>
      </w:r>
      <w:r w:rsidRPr="0048521D">
        <w:rPr>
          <w:rFonts w:ascii="Cambria" w:hAnsi="Cambria"/>
          <w:b/>
          <w:bCs/>
          <w:sz w:val="20"/>
          <w:szCs w:val="20"/>
        </w:rPr>
        <w:tab/>
        <w:t>Mesures minimales supplémentaires proposées pour le projet pilote norvégien</w:t>
      </w:r>
    </w:p>
    <w:p w14:paraId="52084EE3" w14:textId="77777777" w:rsidR="00F756CC" w:rsidRPr="0048521D" w:rsidRDefault="00F756CC" w:rsidP="00F756CC">
      <w:pPr>
        <w:widowControl/>
        <w:tabs>
          <w:tab w:val="left" w:pos="426"/>
        </w:tabs>
        <w:spacing w:line="220" w:lineRule="exact"/>
        <w:jc w:val="left"/>
        <w:rPr>
          <w:rFonts w:ascii="Cambria" w:eastAsia="MS Mincho" w:hAnsi="Cambria"/>
          <w:b/>
          <w:bCs/>
          <w:kern w:val="0"/>
          <w:sz w:val="20"/>
          <w:szCs w:val="20"/>
          <w:lang w:eastAsia="en-US"/>
        </w:rPr>
      </w:pPr>
    </w:p>
    <w:p w14:paraId="1C5B36AD" w14:textId="77777777" w:rsidR="009F7C8D" w:rsidRPr="0048521D" w:rsidRDefault="009F7C8D" w:rsidP="00F756CC">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Afin de combler les lacunes susmentionnées, la Norvège devrait ajouter les mesures minimales suivantes avant le projet pilote de septembre :</w:t>
      </w:r>
    </w:p>
    <w:p w14:paraId="1FDC15E3" w14:textId="77777777" w:rsidR="00F756CC" w:rsidRPr="0048521D" w:rsidRDefault="00F756CC" w:rsidP="00F756CC">
      <w:pPr>
        <w:widowControl/>
        <w:tabs>
          <w:tab w:val="left" w:pos="426"/>
        </w:tabs>
        <w:spacing w:line="220" w:lineRule="exact"/>
        <w:rPr>
          <w:rFonts w:ascii="Cambria" w:eastAsia="MS Mincho" w:hAnsi="Cambria"/>
          <w:kern w:val="0"/>
          <w:sz w:val="20"/>
          <w:szCs w:val="20"/>
          <w:lang w:eastAsia="en-US"/>
        </w:rPr>
      </w:pPr>
    </w:p>
    <w:p w14:paraId="724D419E" w14:textId="365A4903" w:rsidR="009F7C8D" w:rsidRPr="0048521D" w:rsidRDefault="009F7C8D" w:rsidP="00F756CC">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 xml:space="preserve">Approuver un </w:t>
      </w:r>
      <w:proofErr w:type="spellStart"/>
      <w:r w:rsidRPr="0048521D">
        <w:rPr>
          <w:rFonts w:ascii="Cambria" w:hAnsi="Cambria"/>
          <w:sz w:val="20"/>
          <w:szCs w:val="20"/>
        </w:rPr>
        <w:t>VMP</w:t>
      </w:r>
      <w:proofErr w:type="spellEnd"/>
      <w:r w:rsidRPr="0048521D">
        <w:rPr>
          <w:rFonts w:ascii="Cambria" w:hAnsi="Cambria"/>
          <w:sz w:val="20"/>
          <w:szCs w:val="20"/>
        </w:rPr>
        <w:t xml:space="preserve"> pour le thon rouge spécifique au navire en tant qu’annexe à l’autorisation du navire.</w:t>
      </w:r>
    </w:p>
    <w:p w14:paraId="18DB4223" w14:textId="26044A26" w:rsidR="009F7C8D" w:rsidRPr="0048521D" w:rsidRDefault="009F7C8D" w:rsidP="00F756CC">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Réaliser une enquête de validation des caméras et des capteurs avant la sortie de pêche avec le navire en configuration de pêche, y compris avec le filet, l’interface de cage de transport et toutes les zones désignées de remise à l'eau/manipulation des spécimens morts.</w:t>
      </w:r>
    </w:p>
    <w:p w14:paraId="2E84F662" w14:textId="33E2C80A" w:rsidR="009F7C8D" w:rsidRPr="0048521D" w:rsidRDefault="009F7C8D" w:rsidP="00F756CC">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Si l’enquête de validation préalable à la sortie de pêche identifie des angles morts dans les opérations de transfert, de mise en cage, de stockage, de remise à l'eau ou de manipulation de spécimens morts, la Norvège définira des mesures de surveillance supplémentaires proportionnelles aux besoins en matière de données et à la faisabilité opérationnelle. Cela pourrait inclure des caméras temporaires, des vidéos sous-marines, des observations par le biais de ROV, des systèmes acoustiques/optiques ou une documentation directe du personnel du ROP, de la Direction et/ou de l’</w:t>
      </w:r>
      <w:proofErr w:type="spellStart"/>
      <w:r w:rsidRPr="0048521D">
        <w:rPr>
          <w:rFonts w:ascii="Cambria" w:hAnsi="Cambria"/>
          <w:sz w:val="20"/>
          <w:szCs w:val="20"/>
        </w:rPr>
        <w:t>IMR</w:t>
      </w:r>
      <w:proofErr w:type="spellEnd"/>
      <w:r w:rsidRPr="0048521D">
        <w:rPr>
          <w:rFonts w:ascii="Cambria" w:hAnsi="Cambria"/>
          <w:sz w:val="20"/>
          <w:szCs w:val="20"/>
        </w:rPr>
        <w:t>. Tout angle mort restant et ses implications seront documentés dans le rapport de mise en œuvre.</w:t>
      </w:r>
    </w:p>
    <w:p w14:paraId="3DECD3E2" w14:textId="14079937" w:rsidR="009F7C8D" w:rsidRPr="0048521D" w:rsidRDefault="009F7C8D" w:rsidP="00F756CC">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Désigner une unité d’examen du système EMS et exiger un examen de l’intégralité des événements liés à la pêche, au transfert, à la remise à l'eau, à la mortalité et aux défaillances.</w:t>
      </w:r>
    </w:p>
    <w:p w14:paraId="2AE2CA80" w14:textId="43E1DCE6" w:rsidR="009F7C8D" w:rsidRPr="0048521D" w:rsidRDefault="009F7C8D" w:rsidP="00F756CC">
      <w:pPr>
        <w:pStyle w:val="Paragraphedeliste"/>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Clarifier l’accès aux données avec le fournisseur du système REM de sorte que les autorités norvégiennes et l’</w:t>
      </w:r>
      <w:proofErr w:type="spellStart"/>
      <w:r w:rsidRPr="0048521D">
        <w:rPr>
          <w:rFonts w:ascii="Cambria" w:hAnsi="Cambria"/>
          <w:sz w:val="20"/>
          <w:szCs w:val="20"/>
        </w:rPr>
        <w:t>IMR</w:t>
      </w:r>
      <w:proofErr w:type="spellEnd"/>
      <w:r w:rsidRPr="0048521D">
        <w:rPr>
          <w:rFonts w:ascii="Cambria" w:hAnsi="Cambria"/>
          <w:sz w:val="20"/>
          <w:szCs w:val="20"/>
        </w:rPr>
        <w:t xml:space="preserve"> puissent accéder aux données pertinentes et au logiciel compagnon au terme de la sortie de pêche.</w:t>
      </w:r>
    </w:p>
    <w:sectPr w:rsidR="009F7C8D" w:rsidRPr="0048521D" w:rsidSect="00893C6B">
      <w:headerReference w:type="default" r:id="rId18"/>
      <w:footerReference w:type="default" r:id="rId19"/>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95F56" w14:textId="77777777" w:rsidR="000F3850" w:rsidRDefault="000F3850" w:rsidP="004D1CCD">
      <w:r>
        <w:separator/>
      </w:r>
    </w:p>
  </w:endnote>
  <w:endnote w:type="continuationSeparator" w:id="0">
    <w:p w14:paraId="3EE424AE" w14:textId="77777777" w:rsidR="000F3850" w:rsidRDefault="000F3850"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rPr>
    </w:pPr>
    <w:r w:rsidRPr="00B4102F">
      <w:rPr>
        <w:rFonts w:ascii="Cambria" w:eastAsia="Times New Roman" w:hAnsi="Cambria" w:cs="Calibri"/>
        <w:sz w:val="20"/>
        <w:szCs w:val="20"/>
      </w:rPr>
      <w:fldChar w:fldCharType="begin"/>
    </w:r>
    <w:r w:rsidRPr="00B4102F">
      <w:rPr>
        <w:rFonts w:ascii="Cambria" w:eastAsia="Times New Roman" w:hAnsi="Cambria" w:cs="Calibri"/>
        <w:sz w:val="20"/>
        <w:szCs w:val="20"/>
      </w:rPr>
      <w:instrText xml:space="preserve"> PAGE </w:instrText>
    </w:r>
    <w:r w:rsidRPr="00B4102F">
      <w:rPr>
        <w:rFonts w:ascii="Cambria" w:eastAsia="Times New Roman" w:hAnsi="Cambria" w:cs="Calibri"/>
        <w:sz w:val="20"/>
        <w:szCs w:val="20"/>
      </w:rPr>
      <w:fldChar w:fldCharType="separate"/>
    </w:r>
    <w:r w:rsidRPr="00B4102F">
      <w:rPr>
        <w:rFonts w:ascii="Cambria" w:eastAsia="Times New Roman" w:hAnsi="Cambria" w:cs="Calibri"/>
        <w:sz w:val="20"/>
        <w:szCs w:val="20"/>
      </w:rPr>
      <w:t>1</w:t>
    </w:r>
    <w:r w:rsidRPr="00B4102F">
      <w:rPr>
        <w:rFonts w:ascii="Cambria" w:eastAsia="Times New Roman" w:hAnsi="Cambria" w:cs="Calibri"/>
        <w:sz w:val="20"/>
        <w:szCs w:val="20"/>
      </w:rPr>
      <w:fldChar w:fldCharType="end"/>
    </w:r>
    <w:r>
      <w:rPr>
        <w:rFonts w:ascii="Cambria" w:hAnsi="Cambria"/>
        <w:sz w:val="20"/>
        <w:szCs w:val="20"/>
      </w:rPr>
      <w:t xml:space="preserve"> / </w:t>
    </w:r>
    <w:r w:rsidRPr="00B4102F">
      <w:rPr>
        <w:rFonts w:ascii="Cambria" w:eastAsia="Times New Roman" w:hAnsi="Cambria" w:cs="Calibri"/>
        <w:sz w:val="20"/>
        <w:szCs w:val="20"/>
      </w:rPr>
      <w:fldChar w:fldCharType="begin"/>
    </w:r>
    <w:r w:rsidRPr="00B4102F">
      <w:rPr>
        <w:rFonts w:ascii="Cambria" w:eastAsia="Times New Roman" w:hAnsi="Cambria" w:cs="Calibri"/>
        <w:sz w:val="20"/>
        <w:szCs w:val="20"/>
      </w:rPr>
      <w:instrText xml:space="preserve"> NUMPAGES  </w:instrText>
    </w:r>
    <w:r w:rsidRPr="00B4102F">
      <w:rPr>
        <w:rFonts w:ascii="Cambria" w:eastAsia="Times New Roman" w:hAnsi="Cambria" w:cs="Calibri"/>
        <w:sz w:val="20"/>
        <w:szCs w:val="20"/>
      </w:rPr>
      <w:fldChar w:fldCharType="separate"/>
    </w:r>
    <w:r w:rsidRPr="00B4102F">
      <w:rPr>
        <w:rFonts w:ascii="Cambria" w:eastAsia="Times New Roman" w:hAnsi="Cambria" w:cs="Calibri"/>
        <w:sz w:val="20"/>
        <w:szCs w:val="20"/>
      </w:rPr>
      <w:t>1</w:t>
    </w:r>
    <w:r w:rsidRPr="00B4102F">
      <w:rPr>
        <w:rFonts w:ascii="Cambria" w:eastAsia="Times New Roman"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A608E" w14:textId="77777777" w:rsidR="000F3850" w:rsidRDefault="000F3850" w:rsidP="004D1CCD">
      <w:r>
        <w:separator/>
      </w:r>
    </w:p>
  </w:footnote>
  <w:footnote w:type="continuationSeparator" w:id="0">
    <w:p w14:paraId="4DC75FF2" w14:textId="77777777" w:rsidR="000F3850" w:rsidRDefault="000F3850"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48A3BE48" w:rsidR="00E21329" w:rsidRPr="003346BA" w:rsidRDefault="000D1209" w:rsidP="00E21329">
    <w:pPr>
      <w:widowControl/>
      <w:shd w:val="clear" w:color="auto" w:fill="FFFFFF"/>
      <w:ind w:left="11" w:right="3" w:hanging="10"/>
      <w:jc w:val="right"/>
      <w:rPr>
        <w:rFonts w:ascii="Cambria" w:eastAsia="Calibri" w:hAnsi="Cambria" w:cs="Cambria"/>
        <w:b/>
        <w:bCs/>
        <w:kern w:val="0"/>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bCs/>
        <w:sz w:val="20"/>
        <w:szCs w:val="20"/>
      </w:rPr>
      <w:t>PWG_412</w:t>
    </w:r>
    <w:r>
      <w:rPr>
        <w:rFonts w:ascii="Cambria" w:hAnsi="Cambria"/>
        <w:b/>
        <w:bCs/>
        <w:color w:val="242424"/>
        <w:sz w:val="20"/>
        <w:szCs w:val="20"/>
      </w:rPr>
      <w:t>/2026</w:t>
    </w:r>
  </w:p>
  <w:bookmarkEnd w:id="0"/>
  <w:bookmarkEnd w:id="1"/>
  <w:bookmarkEnd w:id="2"/>
  <w:bookmarkEnd w:id="3"/>
  <w:bookmarkEnd w:id="4"/>
  <w:bookmarkEnd w:id="5"/>
  <w:p w14:paraId="292A5C5C" w14:textId="7E6158F9" w:rsidR="00E21329" w:rsidRPr="003346BA" w:rsidRDefault="00685E3B" w:rsidP="00E21329">
    <w:pPr>
      <w:tabs>
        <w:tab w:val="left" w:pos="7320"/>
      </w:tabs>
      <w:autoSpaceDE w:val="0"/>
      <w:autoSpaceDN w:val="0"/>
      <w:jc w:val="right"/>
      <w:rPr>
        <w:rFonts w:ascii="Aptos" w:eastAsia="Aptos" w:hAnsi="Aptos"/>
        <w:sz w:val="30"/>
        <w:szCs w:val="30"/>
        <w14:ligatures w14:val="standardContextual"/>
      </w:rPr>
    </w:pPr>
    <w:r>
      <w:rPr>
        <w:rFonts w:ascii="Cambria" w:eastAsia="Cambria" w:hAnsi="Cambria" w:cs="Cambria"/>
        <w:b/>
        <w:bCs/>
        <w:sz w:val="16"/>
        <w:szCs w:val="16"/>
      </w:rPr>
      <w:fldChar w:fldCharType="begin"/>
    </w:r>
    <w:r>
      <w:rPr>
        <w:rFonts w:ascii="Cambria" w:eastAsia="Cambria" w:hAnsi="Cambria" w:cs="Cambria"/>
        <w:b/>
        <w:bCs/>
        <w:sz w:val="16"/>
        <w:szCs w:val="16"/>
      </w:rPr>
      <w:instrText xml:space="preserve"> TIME  \@ "dd/MM/yyyy HH:mm" </w:instrText>
    </w:r>
    <w:r>
      <w:rPr>
        <w:rFonts w:ascii="Cambria" w:eastAsia="Cambria" w:hAnsi="Cambria" w:cs="Cambria"/>
        <w:b/>
        <w:bCs/>
        <w:sz w:val="16"/>
        <w:szCs w:val="16"/>
      </w:rPr>
      <w:fldChar w:fldCharType="separate"/>
    </w:r>
    <w:r w:rsidR="00AD015E">
      <w:rPr>
        <w:rFonts w:ascii="Cambria" w:eastAsia="Cambria" w:hAnsi="Cambria" w:cs="Cambria"/>
        <w:b/>
        <w:bCs/>
        <w:noProof/>
        <w:sz w:val="16"/>
        <w:szCs w:val="16"/>
      </w:rPr>
      <w:t>11/09/2026 10:35</w:t>
    </w:r>
    <w:r>
      <w:rPr>
        <w:rFonts w:ascii="Cambria" w:eastAsia="Cambria" w:hAnsi="Cambria" w:cs="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3C3E1B"/>
    <w:multiLevelType w:val="hybridMultilevel"/>
    <w:tmpl w:val="9E407E6E"/>
    <w:lvl w:ilvl="0" w:tplc="3898AD4C">
      <w:start w:val="5"/>
      <w:numFmt w:val="bullet"/>
      <w:lvlText w:val="-"/>
      <w:lvlJc w:val="left"/>
      <w:pPr>
        <w:ind w:left="1146" w:hanging="360"/>
      </w:pPr>
      <w:rPr>
        <w:rFonts w:ascii="Cambria" w:eastAsiaTheme="minorEastAsia" w:hAnsi="Cambria"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21D403BC"/>
    <w:multiLevelType w:val="hybridMultilevel"/>
    <w:tmpl w:val="204C4D34"/>
    <w:lvl w:ilvl="0" w:tplc="96C80174">
      <w:numFmt w:val="bullet"/>
      <w:lvlText w:val="•"/>
      <w:lvlJc w:val="left"/>
      <w:pPr>
        <w:ind w:left="846" w:hanging="420"/>
      </w:pPr>
      <w:rPr>
        <w:rFonts w:ascii="Cambria" w:eastAsia="MS Mincho" w:hAnsi="Cambria"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6"/>
  </w:num>
  <w:num w:numId="2" w16cid:durableId="508910294">
    <w:abstractNumId w:val="7"/>
  </w:num>
  <w:num w:numId="3" w16cid:durableId="242376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1"/>
  </w:num>
  <w:num w:numId="5" w16cid:durableId="269317114">
    <w:abstractNumId w:val="0"/>
  </w:num>
  <w:num w:numId="6" w16cid:durableId="487139445">
    <w:abstractNumId w:val="5"/>
  </w:num>
  <w:num w:numId="7" w16cid:durableId="1176919422">
    <w:abstractNumId w:val="2"/>
  </w:num>
  <w:num w:numId="8" w16cid:durableId="1492677152">
    <w:abstractNumId w:val="3"/>
  </w:num>
  <w:num w:numId="9" w16cid:durableId="19400190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04039"/>
    <w:rsid w:val="000135E4"/>
    <w:rsid w:val="00023C25"/>
    <w:rsid w:val="00024BCC"/>
    <w:rsid w:val="00057648"/>
    <w:rsid w:val="000813E7"/>
    <w:rsid w:val="000871F2"/>
    <w:rsid w:val="000D1209"/>
    <w:rsid w:val="000E22EC"/>
    <w:rsid w:val="000E5235"/>
    <w:rsid w:val="000E5678"/>
    <w:rsid w:val="000E57BA"/>
    <w:rsid w:val="000E72AB"/>
    <w:rsid w:val="000F3850"/>
    <w:rsid w:val="00100A70"/>
    <w:rsid w:val="00103DC1"/>
    <w:rsid w:val="00112210"/>
    <w:rsid w:val="0011681A"/>
    <w:rsid w:val="00152CF5"/>
    <w:rsid w:val="00182A4A"/>
    <w:rsid w:val="001A1C52"/>
    <w:rsid w:val="001B62F1"/>
    <w:rsid w:val="001F1B28"/>
    <w:rsid w:val="00210679"/>
    <w:rsid w:val="002207E4"/>
    <w:rsid w:val="0025138C"/>
    <w:rsid w:val="00254274"/>
    <w:rsid w:val="002645DB"/>
    <w:rsid w:val="002749D8"/>
    <w:rsid w:val="00283B83"/>
    <w:rsid w:val="00285752"/>
    <w:rsid w:val="00296F20"/>
    <w:rsid w:val="002A4ED0"/>
    <w:rsid w:val="002C1441"/>
    <w:rsid w:val="002C450E"/>
    <w:rsid w:val="002D7EE0"/>
    <w:rsid w:val="002E1067"/>
    <w:rsid w:val="002F2E07"/>
    <w:rsid w:val="00307AC6"/>
    <w:rsid w:val="003106F8"/>
    <w:rsid w:val="00312EC6"/>
    <w:rsid w:val="00315D1A"/>
    <w:rsid w:val="0031677A"/>
    <w:rsid w:val="0032090E"/>
    <w:rsid w:val="003304A1"/>
    <w:rsid w:val="003618EC"/>
    <w:rsid w:val="00380E4C"/>
    <w:rsid w:val="003820B9"/>
    <w:rsid w:val="003A3B5C"/>
    <w:rsid w:val="003A444F"/>
    <w:rsid w:val="003C05AD"/>
    <w:rsid w:val="003C3F59"/>
    <w:rsid w:val="003D0C8E"/>
    <w:rsid w:val="00407FB0"/>
    <w:rsid w:val="00412A65"/>
    <w:rsid w:val="00421DC4"/>
    <w:rsid w:val="00475A6C"/>
    <w:rsid w:val="0048521D"/>
    <w:rsid w:val="00497C66"/>
    <w:rsid w:val="004B4841"/>
    <w:rsid w:val="004B78FC"/>
    <w:rsid w:val="004C71F3"/>
    <w:rsid w:val="004D0DBC"/>
    <w:rsid w:val="004D111D"/>
    <w:rsid w:val="004D1CCD"/>
    <w:rsid w:val="004D596F"/>
    <w:rsid w:val="004E22FE"/>
    <w:rsid w:val="004E7C97"/>
    <w:rsid w:val="004F481A"/>
    <w:rsid w:val="004F5816"/>
    <w:rsid w:val="005052CB"/>
    <w:rsid w:val="005109AF"/>
    <w:rsid w:val="005270CA"/>
    <w:rsid w:val="00534305"/>
    <w:rsid w:val="00537D27"/>
    <w:rsid w:val="00541125"/>
    <w:rsid w:val="00541FD2"/>
    <w:rsid w:val="005506E2"/>
    <w:rsid w:val="00561E3B"/>
    <w:rsid w:val="00570211"/>
    <w:rsid w:val="0057094A"/>
    <w:rsid w:val="00585F95"/>
    <w:rsid w:val="005A2F98"/>
    <w:rsid w:val="005A7310"/>
    <w:rsid w:val="005D02FB"/>
    <w:rsid w:val="005D18D1"/>
    <w:rsid w:val="005D56B9"/>
    <w:rsid w:val="005E0718"/>
    <w:rsid w:val="005F00EB"/>
    <w:rsid w:val="005F28CF"/>
    <w:rsid w:val="00605CD1"/>
    <w:rsid w:val="0062707A"/>
    <w:rsid w:val="006347FA"/>
    <w:rsid w:val="00636AC6"/>
    <w:rsid w:val="00642761"/>
    <w:rsid w:val="00657270"/>
    <w:rsid w:val="00685E3B"/>
    <w:rsid w:val="00692EE0"/>
    <w:rsid w:val="006D5C55"/>
    <w:rsid w:val="006E5697"/>
    <w:rsid w:val="006F7670"/>
    <w:rsid w:val="00707222"/>
    <w:rsid w:val="00707A52"/>
    <w:rsid w:val="00727D9D"/>
    <w:rsid w:val="00734560"/>
    <w:rsid w:val="00736F1B"/>
    <w:rsid w:val="00736FFB"/>
    <w:rsid w:val="00743C01"/>
    <w:rsid w:val="0075254C"/>
    <w:rsid w:val="00753CC5"/>
    <w:rsid w:val="00755E20"/>
    <w:rsid w:val="007652A3"/>
    <w:rsid w:val="00766C00"/>
    <w:rsid w:val="00767815"/>
    <w:rsid w:val="00781701"/>
    <w:rsid w:val="007818D7"/>
    <w:rsid w:val="00786CAD"/>
    <w:rsid w:val="007A1082"/>
    <w:rsid w:val="007A477A"/>
    <w:rsid w:val="007D18AE"/>
    <w:rsid w:val="007E16B8"/>
    <w:rsid w:val="007F11AE"/>
    <w:rsid w:val="00801359"/>
    <w:rsid w:val="00811C47"/>
    <w:rsid w:val="008264A3"/>
    <w:rsid w:val="00841034"/>
    <w:rsid w:val="00842D3B"/>
    <w:rsid w:val="0086633A"/>
    <w:rsid w:val="00873027"/>
    <w:rsid w:val="00890E50"/>
    <w:rsid w:val="00893C6B"/>
    <w:rsid w:val="008A0865"/>
    <w:rsid w:val="008D1AF5"/>
    <w:rsid w:val="008F47A7"/>
    <w:rsid w:val="009024C7"/>
    <w:rsid w:val="00912B41"/>
    <w:rsid w:val="009168D2"/>
    <w:rsid w:val="00926623"/>
    <w:rsid w:val="009277B8"/>
    <w:rsid w:val="00930E58"/>
    <w:rsid w:val="0093573A"/>
    <w:rsid w:val="00945780"/>
    <w:rsid w:val="009457B3"/>
    <w:rsid w:val="0095486F"/>
    <w:rsid w:val="00966664"/>
    <w:rsid w:val="00991B72"/>
    <w:rsid w:val="009A41EF"/>
    <w:rsid w:val="009A4A9B"/>
    <w:rsid w:val="009C4A13"/>
    <w:rsid w:val="009C4C14"/>
    <w:rsid w:val="009C63CB"/>
    <w:rsid w:val="009E0980"/>
    <w:rsid w:val="009E7EEB"/>
    <w:rsid w:val="009F7C8D"/>
    <w:rsid w:val="00A02765"/>
    <w:rsid w:val="00A1716B"/>
    <w:rsid w:val="00A23748"/>
    <w:rsid w:val="00A23FA2"/>
    <w:rsid w:val="00A2507F"/>
    <w:rsid w:val="00A552D9"/>
    <w:rsid w:val="00A640D1"/>
    <w:rsid w:val="00A81EA3"/>
    <w:rsid w:val="00A96CE6"/>
    <w:rsid w:val="00A97593"/>
    <w:rsid w:val="00AC4BD0"/>
    <w:rsid w:val="00AD015E"/>
    <w:rsid w:val="00AF1D90"/>
    <w:rsid w:val="00B12EBB"/>
    <w:rsid w:val="00B34103"/>
    <w:rsid w:val="00B34CA3"/>
    <w:rsid w:val="00B4102F"/>
    <w:rsid w:val="00B42BA2"/>
    <w:rsid w:val="00B50C5F"/>
    <w:rsid w:val="00B7205C"/>
    <w:rsid w:val="00B7495B"/>
    <w:rsid w:val="00B76918"/>
    <w:rsid w:val="00B778DF"/>
    <w:rsid w:val="00B86591"/>
    <w:rsid w:val="00B97F73"/>
    <w:rsid w:val="00BA3978"/>
    <w:rsid w:val="00BB311A"/>
    <w:rsid w:val="00BC656C"/>
    <w:rsid w:val="00BE1972"/>
    <w:rsid w:val="00BE6B16"/>
    <w:rsid w:val="00BF6053"/>
    <w:rsid w:val="00C01D54"/>
    <w:rsid w:val="00C1366C"/>
    <w:rsid w:val="00C23370"/>
    <w:rsid w:val="00C2458D"/>
    <w:rsid w:val="00C25F8A"/>
    <w:rsid w:val="00C4686F"/>
    <w:rsid w:val="00C741E6"/>
    <w:rsid w:val="00C74C6F"/>
    <w:rsid w:val="00C755F2"/>
    <w:rsid w:val="00C97572"/>
    <w:rsid w:val="00CA348A"/>
    <w:rsid w:val="00CB24FD"/>
    <w:rsid w:val="00CC2609"/>
    <w:rsid w:val="00CE2AF0"/>
    <w:rsid w:val="00D203F5"/>
    <w:rsid w:val="00D30277"/>
    <w:rsid w:val="00D41799"/>
    <w:rsid w:val="00D4217E"/>
    <w:rsid w:val="00D42E3F"/>
    <w:rsid w:val="00D43272"/>
    <w:rsid w:val="00D45B83"/>
    <w:rsid w:val="00D61695"/>
    <w:rsid w:val="00D63E73"/>
    <w:rsid w:val="00D76AB0"/>
    <w:rsid w:val="00D81748"/>
    <w:rsid w:val="00D949C5"/>
    <w:rsid w:val="00DC5898"/>
    <w:rsid w:val="00DC75C7"/>
    <w:rsid w:val="00DD0F48"/>
    <w:rsid w:val="00DE56D3"/>
    <w:rsid w:val="00DF2D58"/>
    <w:rsid w:val="00E063FB"/>
    <w:rsid w:val="00E16AD0"/>
    <w:rsid w:val="00E21329"/>
    <w:rsid w:val="00E340B8"/>
    <w:rsid w:val="00E34F29"/>
    <w:rsid w:val="00E3536C"/>
    <w:rsid w:val="00E579B3"/>
    <w:rsid w:val="00E727B9"/>
    <w:rsid w:val="00E93FBB"/>
    <w:rsid w:val="00E974F4"/>
    <w:rsid w:val="00EA4F89"/>
    <w:rsid w:val="00EB07E9"/>
    <w:rsid w:val="00EB5A3E"/>
    <w:rsid w:val="00EC6855"/>
    <w:rsid w:val="00EE66E7"/>
    <w:rsid w:val="00EF41C0"/>
    <w:rsid w:val="00F13CEC"/>
    <w:rsid w:val="00F47E3B"/>
    <w:rsid w:val="00F61B97"/>
    <w:rsid w:val="00F756CC"/>
    <w:rsid w:val="00F9442C"/>
    <w:rsid w:val="00FA3310"/>
    <w:rsid w:val="00FA5443"/>
    <w:rsid w:val="00FA7783"/>
    <w:rsid w:val="00FB1D96"/>
    <w:rsid w:val="00FC1354"/>
    <w:rsid w:val="00FC7810"/>
    <w:rsid w:val="00FD704F"/>
    <w:rsid w:val="00FF1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0"/>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A7783"/>
    <w:pPr>
      <w:ind w:left="720"/>
      <w:contextualSpacing/>
    </w:pPr>
  </w:style>
  <w:style w:type="paragraph" w:styleId="En-tte">
    <w:name w:val="header"/>
    <w:basedOn w:val="Normal"/>
    <w:link w:val="En-tteCar"/>
    <w:uiPriority w:val="99"/>
    <w:unhideWhenUsed/>
    <w:rsid w:val="004D1CCD"/>
    <w:pPr>
      <w:tabs>
        <w:tab w:val="center" w:pos="4513"/>
        <w:tab w:val="right" w:pos="9026"/>
      </w:tabs>
    </w:pPr>
  </w:style>
  <w:style w:type="character" w:customStyle="1" w:styleId="En-tteCar">
    <w:name w:val="En-tête Car"/>
    <w:basedOn w:val="Policepardfaut"/>
    <w:link w:val="En-tte"/>
    <w:uiPriority w:val="99"/>
    <w:locked/>
    <w:rsid w:val="004D1CCD"/>
    <w:rPr>
      <w:rFonts w:cs="Times New Roman"/>
    </w:rPr>
  </w:style>
  <w:style w:type="paragraph" w:styleId="Pieddepage">
    <w:name w:val="footer"/>
    <w:basedOn w:val="Normal"/>
    <w:link w:val="PieddepageCar"/>
    <w:uiPriority w:val="99"/>
    <w:unhideWhenUsed/>
    <w:rsid w:val="004D1CCD"/>
    <w:pPr>
      <w:tabs>
        <w:tab w:val="center" w:pos="4513"/>
        <w:tab w:val="right" w:pos="9026"/>
      </w:tabs>
    </w:pPr>
  </w:style>
  <w:style w:type="character" w:customStyle="1" w:styleId="PieddepageCar">
    <w:name w:val="Pied de page Car"/>
    <w:basedOn w:val="Policepardfaut"/>
    <w:link w:val="Pieddepage"/>
    <w:uiPriority w:val="99"/>
    <w:locked/>
    <w:rsid w:val="004D1CCD"/>
    <w:rPr>
      <w:rFonts w:cs="Times New Roman"/>
    </w:rPr>
  </w:style>
  <w:style w:type="paragraph" w:styleId="Rvision">
    <w:name w:val="Revision"/>
    <w:hidden/>
    <w:uiPriority w:val="99"/>
    <w:semiHidden/>
    <w:rsid w:val="00BE1972"/>
    <w:rPr>
      <w:szCs w:val="22"/>
    </w:rPr>
  </w:style>
  <w:style w:type="character" w:styleId="Marquedecommentaire">
    <w:name w:val="annotation reference"/>
    <w:basedOn w:val="Policepardfaut"/>
    <w:uiPriority w:val="99"/>
    <w:semiHidden/>
    <w:unhideWhenUsed/>
    <w:rsid w:val="009A4A9B"/>
    <w:rPr>
      <w:sz w:val="16"/>
      <w:szCs w:val="16"/>
    </w:rPr>
  </w:style>
  <w:style w:type="paragraph" w:styleId="Commentaire">
    <w:name w:val="annotation text"/>
    <w:basedOn w:val="Normal"/>
    <w:link w:val="CommentaireCar"/>
    <w:uiPriority w:val="99"/>
    <w:unhideWhenUsed/>
    <w:rsid w:val="009A4A9B"/>
    <w:rPr>
      <w:sz w:val="20"/>
      <w:szCs w:val="20"/>
    </w:rPr>
  </w:style>
  <w:style w:type="character" w:customStyle="1" w:styleId="CommentaireCar">
    <w:name w:val="Commentaire Car"/>
    <w:basedOn w:val="Policepardfaut"/>
    <w:link w:val="Commentaire"/>
    <w:uiPriority w:val="99"/>
    <w:rsid w:val="009A4A9B"/>
    <w:rPr>
      <w:sz w:val="20"/>
      <w:szCs w:val="20"/>
    </w:rPr>
  </w:style>
  <w:style w:type="paragraph" w:styleId="Objetducommentaire">
    <w:name w:val="annotation subject"/>
    <w:basedOn w:val="Commentaire"/>
    <w:next w:val="Commentaire"/>
    <w:link w:val="ObjetducommentaireCar"/>
    <w:uiPriority w:val="99"/>
    <w:semiHidden/>
    <w:unhideWhenUsed/>
    <w:rsid w:val="009A4A9B"/>
    <w:rPr>
      <w:b/>
      <w:bCs/>
    </w:rPr>
  </w:style>
  <w:style w:type="character" w:customStyle="1" w:styleId="ObjetducommentaireCar">
    <w:name w:val="Objet du commentaire Car"/>
    <w:basedOn w:val="CommentaireCar"/>
    <w:link w:val="Objetducommentaire"/>
    <w:uiPriority w:val="99"/>
    <w:semiHidden/>
    <w:rsid w:val="009A4A9B"/>
    <w:rPr>
      <w:b/>
      <w:bCs/>
      <w:sz w:val="20"/>
      <w:szCs w:val="20"/>
    </w:rPr>
  </w:style>
  <w:style w:type="table" w:styleId="Grilledutableau">
    <w:name w:val="Table Grid"/>
    <w:basedOn w:val="TableauNormal"/>
    <w:uiPriority w:val="59"/>
    <w:rsid w:val="005052C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B07E9"/>
    <w:rPr>
      <w:color w:val="0000FF" w:themeColor="hyperlink"/>
      <w:u w:val="single"/>
    </w:rPr>
  </w:style>
  <w:style w:type="character" w:styleId="Mentionnonrsolue">
    <w:name w:val="Unresolved Mention"/>
    <w:basedOn w:val="Policepardfaut"/>
    <w:uiPriority w:val="99"/>
    <w:semiHidden/>
    <w:unhideWhenUsed/>
    <w:rsid w:val="00EB07E9"/>
    <w:rPr>
      <w:color w:val="605E5C"/>
      <w:shd w:val="clear" w:color="auto" w:fill="E1DFDD"/>
    </w:rPr>
  </w:style>
  <w:style w:type="table" w:customStyle="1" w:styleId="TableGrid1">
    <w:name w:val="Table Grid1"/>
    <w:basedOn w:val="TableauNormal"/>
    <w:next w:val="Grilledutableau"/>
    <w:uiPriority w:val="59"/>
    <w:rsid w:val="00873027"/>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3C05AD"/>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59"/>
    <w:rsid w:val="000E72A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59"/>
    <w:rsid w:val="00E727B9"/>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auNormal"/>
    <w:next w:val="Grilledutableau"/>
    <w:uiPriority w:val="59"/>
    <w:rsid w:val="00296F20"/>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auNormal"/>
    <w:next w:val="Grilledutableau"/>
    <w:uiPriority w:val="59"/>
    <w:rsid w:val="00B778DF"/>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cat.int/Documents/Recs/compendiopdf-f/2023-18-f.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ccat.int/Documents/Recs/compendiopdf-e/2024-05-f.pdf" TargetMode="External"/><Relationship Id="rId17" Type="http://schemas.openxmlformats.org/officeDocument/2006/relationships/hyperlink" Target="https://www.iccat.int/Documents/Recs/compendiopdf-f/2023-18-f.pdf" TargetMode="External"/><Relationship Id="rId2" Type="http://schemas.openxmlformats.org/officeDocument/2006/relationships/customXml" Target="../customXml/item2.xml"/><Relationship Id="rId16" Type="http://schemas.openxmlformats.org/officeDocument/2006/relationships/hyperlink" Target="https://www.iccat.int/Documents/Recs/compendiopdf-f/2023-18-f.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f/2025-03-f.pdf" TargetMode="External"/><Relationship Id="rId5" Type="http://schemas.openxmlformats.org/officeDocument/2006/relationships/numbering" Target="numbering.xml"/><Relationship Id="rId15" Type="http://schemas.openxmlformats.org/officeDocument/2006/relationships/hyperlink" Target="https://www.iccat.int/Documents/Recs/compendiopdf-f/2023-18-f.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at.int/Documents/Recs/compendiopdf-f/2023-18-f.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customXml/itemProps2.xml><?xml version="1.0" encoding="utf-8"?>
<ds:datastoreItem xmlns:ds="http://schemas.openxmlformats.org/officeDocument/2006/customXml" ds:itemID="{04244B13-54DC-4655-BD4A-30417817573A}">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89F3E265-426C-432B-AD12-C19C3857A76A}">
  <ds:schemaRefs>
    <ds:schemaRef ds:uri="http://schemas.microsoft.com/sharepoint/v3/contenttype/forms"/>
  </ds:schemaRefs>
</ds:datastoreItem>
</file>

<file path=customXml/itemProps4.xml><?xml version="1.0" encoding="utf-8"?>
<ds:datastoreItem xmlns:ds="http://schemas.openxmlformats.org/officeDocument/2006/customXml" ds:itemID="{9F125EE6-9493-468B-BD94-CC63D15A6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4032</Words>
  <Characters>22180</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農林水産省</Company>
  <LinksUpToDate>false</LinksUpToDate>
  <CharactersWithSpaces>26160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christel navarret</cp:lastModifiedBy>
  <cp:revision>88</cp:revision>
  <cp:lastPrinted>2025-04-16T09:12:00Z</cp:lastPrinted>
  <dcterms:created xsi:type="dcterms:W3CDTF">2026-03-20T12:50:00Z</dcterms:created>
  <dcterms:modified xsi:type="dcterms:W3CDTF">2026-09-11T08:36:00Z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