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E9CE" w14:textId="77777777" w:rsidR="00F37CF2" w:rsidRPr="00D73A87" w:rsidRDefault="00D73A87" w:rsidP="00D13F29">
      <w:pPr>
        <w:jc w:val="center"/>
        <w:rPr>
          <w:rFonts w:ascii="Arial" w:hAnsi="Arial" w:cs="Arial"/>
          <w:b/>
        </w:rPr>
      </w:pPr>
      <w:r w:rsidRPr="00D73A87">
        <w:rPr>
          <w:rFonts w:ascii="Arial" w:hAnsi="Arial" w:cs="Arial"/>
          <w:b/>
        </w:rPr>
        <w:t>Avancement mise en œuvre plan d</w:t>
      </w:r>
      <w:r w:rsidR="00D13F29">
        <w:rPr>
          <w:rFonts w:ascii="Arial" w:hAnsi="Arial" w:cs="Arial"/>
          <w:b/>
        </w:rPr>
        <w:t>’action du Sénégal au CoC </w:t>
      </w:r>
      <w:r w:rsidRPr="00D73A87">
        <w:rPr>
          <w:rFonts w:ascii="Arial" w:hAnsi="Arial" w:cs="Arial"/>
          <w:b/>
        </w:rPr>
        <w:t>2024-2025 </w:t>
      </w:r>
      <w:r>
        <w:rPr>
          <w:rFonts w:ascii="Arial" w:hAnsi="Arial" w:cs="Arial"/>
          <w:b/>
        </w:rPr>
        <w:t>(</w:t>
      </w:r>
      <w:r w:rsidR="004D6985">
        <w:rPr>
          <w:rFonts w:ascii="Arial" w:hAnsi="Arial" w:cs="Arial"/>
          <w:b/>
        </w:rPr>
        <w:t>11 septembre</w:t>
      </w:r>
      <w:r>
        <w:rPr>
          <w:rFonts w:ascii="Arial" w:hAnsi="Arial" w:cs="Arial"/>
          <w:b/>
        </w:rPr>
        <w:t xml:space="preserve"> 2025</w:t>
      </w:r>
      <w:r w:rsidR="00693A74">
        <w:rPr>
          <w:rFonts w:ascii="Arial" w:hAnsi="Arial" w:cs="Arial"/>
          <w:b/>
        </w:rPr>
        <w:t>)</w:t>
      </w:r>
    </w:p>
    <w:tbl>
      <w:tblPr>
        <w:tblpPr w:leftFromText="180" w:rightFromText="180" w:vertAnchor="text" w:horzAnchor="margin" w:tblpY="207"/>
        <w:tblW w:w="14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503"/>
        <w:gridCol w:w="3949"/>
        <w:gridCol w:w="3289"/>
        <w:gridCol w:w="4476"/>
      </w:tblGrid>
      <w:tr w:rsidR="00D73A87" w:rsidRPr="004D0BEE" w14:paraId="13AF96B0" w14:textId="77777777" w:rsidTr="00C973EC">
        <w:trPr>
          <w:trHeight w:val="498"/>
        </w:trPr>
        <w:tc>
          <w:tcPr>
            <w:tcW w:w="1413" w:type="dxa"/>
            <w:noWrap/>
            <w:vAlign w:val="center"/>
            <w:hideMark/>
          </w:tcPr>
          <w:p w14:paraId="459161B9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  <w:t>Domaine</w:t>
            </w:r>
          </w:p>
        </w:tc>
        <w:tc>
          <w:tcPr>
            <w:tcW w:w="1503" w:type="dxa"/>
            <w:noWrap/>
            <w:vAlign w:val="center"/>
            <w:hideMark/>
          </w:tcPr>
          <w:p w14:paraId="755EC088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  <w:t>Problèmes</w:t>
            </w:r>
          </w:p>
        </w:tc>
        <w:tc>
          <w:tcPr>
            <w:tcW w:w="3949" w:type="dxa"/>
            <w:noWrap/>
            <w:vAlign w:val="center"/>
            <w:hideMark/>
          </w:tcPr>
          <w:p w14:paraId="4F0D28CD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  <w:t>Actions</w:t>
            </w:r>
          </w:p>
        </w:tc>
        <w:tc>
          <w:tcPr>
            <w:tcW w:w="3289" w:type="dxa"/>
            <w:noWrap/>
            <w:vAlign w:val="center"/>
            <w:hideMark/>
          </w:tcPr>
          <w:p w14:paraId="46E32301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  <w:t>Activités</w:t>
            </w:r>
          </w:p>
        </w:tc>
        <w:tc>
          <w:tcPr>
            <w:tcW w:w="4476" w:type="dxa"/>
          </w:tcPr>
          <w:p w14:paraId="12C2B1BC" w14:textId="77777777" w:rsidR="00D73A87" w:rsidRPr="00BE508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</w:pPr>
          </w:p>
          <w:p w14:paraId="52294101" w14:textId="77777777" w:rsidR="00D73A87" w:rsidRPr="00BE508E" w:rsidRDefault="00D7114A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  <w:t>R</w:t>
            </w:r>
            <w:r w:rsidR="00D73A87" w:rsidRPr="00BE508E">
              <w:rPr>
                <w:rFonts w:ascii="Cambria" w:eastAsia="Times New Roman" w:hAnsi="Cambria" w:cs="Arial"/>
                <w:b/>
                <w:i/>
                <w:iCs/>
                <w:color w:val="000000"/>
                <w:sz w:val="18"/>
                <w:szCs w:val="18"/>
              </w:rPr>
              <w:t>éalisations</w:t>
            </w:r>
          </w:p>
        </w:tc>
      </w:tr>
      <w:tr w:rsidR="00D73A87" w:rsidRPr="004D0BEE" w14:paraId="14875A5E" w14:textId="77777777" w:rsidTr="00C973EC">
        <w:trPr>
          <w:trHeight w:val="901"/>
        </w:trPr>
        <w:tc>
          <w:tcPr>
            <w:tcW w:w="1413" w:type="dxa"/>
            <w:vMerge w:val="restart"/>
            <w:noWrap/>
            <w:hideMark/>
          </w:tcPr>
          <w:p w14:paraId="523490D0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  <w:t>Gestion des quotas</w:t>
            </w:r>
          </w:p>
        </w:tc>
        <w:tc>
          <w:tcPr>
            <w:tcW w:w="1503" w:type="dxa"/>
            <w:vMerge w:val="restart"/>
            <w:hideMark/>
          </w:tcPr>
          <w:p w14:paraId="45A46237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Surconsommation d'espadon et de germon de 2011 à 2021</w:t>
            </w:r>
          </w:p>
        </w:tc>
        <w:tc>
          <w:tcPr>
            <w:tcW w:w="3949" w:type="dxa"/>
            <w:hideMark/>
          </w:tcPr>
          <w:p w14:paraId="4E58ABF9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Enquêtes sur les quantités de ces espèces capturées, déclarées et exportées, vérifier les faits et les documenter et informer le COC en intersessions.</w:t>
            </w:r>
          </w:p>
        </w:tc>
        <w:tc>
          <w:tcPr>
            <w:tcW w:w="3289" w:type="dxa"/>
            <w:hideMark/>
          </w:tcPr>
          <w:p w14:paraId="3ACA610D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Mener des enquêtes auprès des services publics et armements sur ces allégations.</w:t>
            </w:r>
          </w:p>
        </w:tc>
        <w:tc>
          <w:tcPr>
            <w:tcW w:w="4476" w:type="dxa"/>
          </w:tcPr>
          <w:p w14:paraId="00F9F14A" w14:textId="77777777" w:rsidR="00D73A87" w:rsidRPr="001D29E9" w:rsidRDefault="001D29E9" w:rsidP="001D29E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Une </w:t>
            </w:r>
            <w:r w:rsidR="00D13F29"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requête de la liste des importateurs </w:t>
            </w:r>
            <w:r w:rsidR="002C6B8F"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des produits frauduleusement certifiés </w:t>
            </w:r>
            <w:r w:rsidR="00D13F29"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auprès de l’UE </w:t>
            </w:r>
            <w:r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afin d’identifier les importateurs dont les noms sont floutés dans les certificats transmis par l’UE. Mais l’UE </w:t>
            </w:r>
            <w:r w:rsidR="00D13F29"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n’a pas </w:t>
            </w:r>
            <w:r w:rsidR="002C6B8F"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répondu</w:t>
            </w:r>
            <w:r w:rsidR="00D13F29"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 favorable</w:t>
            </w:r>
            <w:r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ment à cette</w:t>
            </w:r>
            <w:r w:rsidR="002C6B8F"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 requête</w:t>
            </w:r>
            <w:r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 en justifiant cela par l’absence d’un fondement juridique à la requête.</w:t>
            </w:r>
          </w:p>
          <w:p w14:paraId="0FAA54E4" w14:textId="77777777" w:rsidR="001D29E9" w:rsidRPr="001D29E9" w:rsidRDefault="001D29E9" w:rsidP="001D29E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Les enquêtes sont toujours en cours.</w:t>
            </w:r>
          </w:p>
        </w:tc>
      </w:tr>
      <w:tr w:rsidR="00D73A87" w:rsidRPr="004D0BEE" w14:paraId="533E8C80" w14:textId="77777777" w:rsidTr="00C973EC">
        <w:trPr>
          <w:trHeight w:val="730"/>
        </w:trPr>
        <w:tc>
          <w:tcPr>
            <w:tcW w:w="1413" w:type="dxa"/>
            <w:vMerge/>
            <w:vAlign w:val="center"/>
            <w:hideMark/>
          </w:tcPr>
          <w:p w14:paraId="27A27538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  <w:hideMark/>
          </w:tcPr>
          <w:p w14:paraId="1E77B5DB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3949" w:type="dxa"/>
            <w:hideMark/>
          </w:tcPr>
          <w:p w14:paraId="71885FD8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Mise en place d'un registre des quotas et des limites de capture pour les espèces sous mandat de l'ICCAT.</w:t>
            </w:r>
          </w:p>
        </w:tc>
        <w:tc>
          <w:tcPr>
            <w:tcW w:w="3289" w:type="dxa"/>
            <w:noWrap/>
            <w:hideMark/>
          </w:tcPr>
          <w:p w14:paraId="17D1DC64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Finaliser le registre des quotas du journal de pêche électronique (JPE).</w:t>
            </w:r>
          </w:p>
        </w:tc>
        <w:tc>
          <w:tcPr>
            <w:tcW w:w="4476" w:type="dxa"/>
          </w:tcPr>
          <w:p w14:paraId="6900AE62" w14:textId="77777777" w:rsidR="00D73A87" w:rsidRPr="002C6B8F" w:rsidRDefault="00BE508E" w:rsidP="001D29E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6" w:hanging="141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7 </w:t>
            </w:r>
            <w:r w:rsidR="00D73A87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Senneurs </w:t>
            </w: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et un canneur </w:t>
            </w:r>
            <w:r w:rsidR="00D73A87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équipés de JPE </w:t>
            </w:r>
          </w:p>
          <w:p w14:paraId="5A2EDF6F" w14:textId="77777777" w:rsidR="00D73A87" w:rsidRPr="002C6B8F" w:rsidRDefault="00D73A87" w:rsidP="001D29E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6" w:hanging="141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Répartition de la limite de thon obèse</w:t>
            </w:r>
            <w:r w:rsidR="00BE508E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 de 2025</w:t>
            </w:r>
            <w:r w:rsidR="001D29E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.</w:t>
            </w:r>
          </w:p>
        </w:tc>
      </w:tr>
      <w:tr w:rsidR="00D73A87" w:rsidRPr="004D0BEE" w14:paraId="317F2ED7" w14:textId="77777777" w:rsidTr="00C973EC">
        <w:trPr>
          <w:trHeight w:val="746"/>
        </w:trPr>
        <w:tc>
          <w:tcPr>
            <w:tcW w:w="1413" w:type="dxa"/>
            <w:noWrap/>
            <w:hideMark/>
          </w:tcPr>
          <w:p w14:paraId="21A0E8E9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  <w:t xml:space="preserve">Certifications </w:t>
            </w:r>
          </w:p>
        </w:tc>
        <w:tc>
          <w:tcPr>
            <w:tcW w:w="1503" w:type="dxa"/>
            <w:hideMark/>
          </w:tcPr>
          <w:p w14:paraId="35140764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Exportations frauduleuses</w:t>
            </w:r>
          </w:p>
        </w:tc>
        <w:tc>
          <w:tcPr>
            <w:tcW w:w="3949" w:type="dxa"/>
            <w:hideMark/>
          </w:tcPr>
          <w:p w14:paraId="5C6C4B83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Mise en place d'une procédure de certification sécurisée en relation avec la gestion des quotas et limites.</w:t>
            </w:r>
          </w:p>
        </w:tc>
        <w:tc>
          <w:tcPr>
            <w:tcW w:w="3289" w:type="dxa"/>
            <w:hideMark/>
          </w:tcPr>
          <w:p w14:paraId="4199C5AB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Améliorer et sécuriser la procédure de certification des espèce</w:t>
            </w:r>
            <w:r w:rsidR="00D7114A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s relevant du mandat de l’ICCAT</w:t>
            </w:r>
          </w:p>
        </w:tc>
        <w:tc>
          <w:tcPr>
            <w:tcW w:w="4476" w:type="dxa"/>
          </w:tcPr>
          <w:p w14:paraId="43410C3C" w14:textId="77777777" w:rsidR="00632FDB" w:rsidRPr="002C6B8F" w:rsidRDefault="001D29E9" w:rsidP="001D29E9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6" w:hanging="141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Un</w:t>
            </w:r>
            <w:r w:rsidRPr="00693A74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Système d’information</w:t>
            </w:r>
            <w:r w:rsidRPr="00693A74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national est en cours de mise en place (+ le systéme de l’UE). Ces </w:t>
            </w:r>
            <w:r w:rsidRPr="00736309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systèmes permettront la Certification sécurisée des captures et produits.</w:t>
            </w:r>
          </w:p>
        </w:tc>
      </w:tr>
      <w:tr w:rsidR="00D73A87" w:rsidRPr="004D0BEE" w14:paraId="447395C8" w14:textId="77777777" w:rsidTr="00C973EC">
        <w:trPr>
          <w:trHeight w:val="563"/>
        </w:trPr>
        <w:tc>
          <w:tcPr>
            <w:tcW w:w="1413" w:type="dxa"/>
            <w:vMerge w:val="restart"/>
            <w:hideMark/>
          </w:tcPr>
          <w:p w14:paraId="7734CE29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  <w:t>Observateurs scientifiques</w:t>
            </w:r>
          </w:p>
        </w:tc>
        <w:tc>
          <w:tcPr>
            <w:tcW w:w="1503" w:type="dxa"/>
            <w:vMerge w:val="restart"/>
            <w:hideMark/>
          </w:tcPr>
          <w:p w14:paraId="3FD5F5DA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Absence d'un programme observateurs scientifiques</w:t>
            </w:r>
          </w:p>
        </w:tc>
        <w:tc>
          <w:tcPr>
            <w:tcW w:w="3949" w:type="dxa"/>
            <w:vMerge w:val="restart"/>
            <w:hideMark/>
          </w:tcPr>
          <w:p w14:paraId="0E4588E3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Création et mise en œuvre du programme d’observateurs scientifiques (formation, déploiement, digitalisation des rapports d’observateurs) et transmission des informations à l'ICCAT.</w:t>
            </w:r>
          </w:p>
        </w:tc>
        <w:tc>
          <w:tcPr>
            <w:tcW w:w="3289" w:type="dxa"/>
            <w:hideMark/>
          </w:tcPr>
          <w:p w14:paraId="1CA11408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Tenir des ateliers de formation des observateurs scientifiques.</w:t>
            </w:r>
          </w:p>
        </w:tc>
        <w:tc>
          <w:tcPr>
            <w:tcW w:w="4476" w:type="dxa"/>
          </w:tcPr>
          <w:p w14:paraId="6A8A26C8" w14:textId="77777777" w:rsidR="00D73A87" w:rsidRPr="002C6B8F" w:rsidRDefault="000331BC" w:rsidP="00693A74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1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Des </w:t>
            </w:r>
            <w:r w:rsidR="00D73A87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Formations </w:t>
            </w: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ont été </w:t>
            </w:r>
            <w:r w:rsidR="00D73A87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organisées pour 15 observateurs</w:t>
            </w:r>
            <w:r w:rsidR="00693A74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 scientifiques</w:t>
            </w:r>
          </w:p>
          <w:p w14:paraId="50FEC97B" w14:textId="77777777" w:rsidR="000331BC" w:rsidRPr="002C6B8F" w:rsidRDefault="000331BC" w:rsidP="00693A74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1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15 observateurs scientifiques sont en capacité d’embarquer à bord des navires et d’effectuer le travail d’observation scientifique.</w:t>
            </w:r>
          </w:p>
          <w:p w14:paraId="59845311" w14:textId="77777777" w:rsidR="00D73A87" w:rsidRPr="002C6B8F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</w:p>
        </w:tc>
      </w:tr>
      <w:tr w:rsidR="00D73A87" w:rsidRPr="004D0BEE" w14:paraId="1E8ADA5D" w14:textId="77777777" w:rsidTr="00C973EC">
        <w:trPr>
          <w:trHeight w:val="595"/>
        </w:trPr>
        <w:tc>
          <w:tcPr>
            <w:tcW w:w="1413" w:type="dxa"/>
            <w:vMerge/>
            <w:vAlign w:val="center"/>
            <w:hideMark/>
          </w:tcPr>
          <w:p w14:paraId="2145F4FF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  <w:hideMark/>
          </w:tcPr>
          <w:p w14:paraId="13D49E3A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3949" w:type="dxa"/>
            <w:vMerge/>
            <w:vAlign w:val="center"/>
            <w:hideMark/>
          </w:tcPr>
          <w:p w14:paraId="5EC6C466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3289" w:type="dxa"/>
            <w:hideMark/>
          </w:tcPr>
          <w:p w14:paraId="0A697924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Déploiement des observateurs suivant les taux de couverture minimaux de l'ICCAT.</w:t>
            </w:r>
          </w:p>
        </w:tc>
        <w:tc>
          <w:tcPr>
            <w:tcW w:w="4476" w:type="dxa"/>
          </w:tcPr>
          <w:p w14:paraId="0B5905C4" w14:textId="77777777" w:rsidR="00D13F29" w:rsidRPr="002C6B8F" w:rsidRDefault="000331BC" w:rsidP="001D29E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Le d</w:t>
            </w:r>
            <w:r w:rsidR="00D13F29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éploiement d’observateurs scientifique </w:t>
            </w: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a commencé </w:t>
            </w:r>
            <w:r w:rsidR="00D13F29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depuis 2024</w:t>
            </w: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. </w:t>
            </w:r>
          </w:p>
          <w:p w14:paraId="713EDFB4" w14:textId="77777777" w:rsidR="00D73A87" w:rsidRPr="002C6B8F" w:rsidRDefault="00D73A87" w:rsidP="001D29E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Utilisation de tablettes</w:t>
            </w:r>
          </w:p>
          <w:p w14:paraId="141902BD" w14:textId="77777777" w:rsidR="00D73A87" w:rsidRPr="002C6B8F" w:rsidRDefault="00D73A87" w:rsidP="001D29E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Etablissement d’une plateforme de traitement des données d’observateurs</w:t>
            </w:r>
          </w:p>
        </w:tc>
      </w:tr>
      <w:tr w:rsidR="00D73A87" w:rsidRPr="004D0BEE" w14:paraId="6009F1B9" w14:textId="77777777" w:rsidTr="00C973EC">
        <w:trPr>
          <w:trHeight w:val="579"/>
        </w:trPr>
        <w:tc>
          <w:tcPr>
            <w:tcW w:w="1413" w:type="dxa"/>
            <w:vMerge/>
            <w:vAlign w:val="center"/>
            <w:hideMark/>
          </w:tcPr>
          <w:p w14:paraId="4FE7E31F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  <w:hideMark/>
          </w:tcPr>
          <w:p w14:paraId="0E010517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3949" w:type="dxa"/>
            <w:vMerge/>
            <w:vAlign w:val="center"/>
            <w:hideMark/>
          </w:tcPr>
          <w:p w14:paraId="582CFB40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3289" w:type="dxa"/>
            <w:hideMark/>
          </w:tcPr>
          <w:p w14:paraId="50AFB36B" w14:textId="77777777" w:rsidR="00D73A87" w:rsidRPr="004D0BEE" w:rsidRDefault="00D73A87" w:rsidP="00D7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4D0BEE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Rendre opérationnelle la plateforme de déclaration des observateurs financée et régler l’accès.</w:t>
            </w:r>
          </w:p>
        </w:tc>
        <w:tc>
          <w:tcPr>
            <w:tcW w:w="4476" w:type="dxa"/>
          </w:tcPr>
          <w:p w14:paraId="7F8302A8" w14:textId="77777777" w:rsidR="00D73A87" w:rsidRPr="002C6B8F" w:rsidRDefault="000331BC" w:rsidP="001D29E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6" w:hanging="218"/>
              <w:jc w:val="both"/>
              <w:rPr>
                <w:rFonts w:ascii="Cambria" w:eastAsia="Times New Roman" w:hAnsi="Cambria" w:cs="Arial"/>
                <w:color w:val="000000"/>
                <w:sz w:val="18"/>
                <w:szCs w:val="18"/>
              </w:rPr>
            </w:pP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La </w:t>
            </w:r>
            <w:r w:rsidR="00D73A87"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 xml:space="preserve">Plateforme </w:t>
            </w:r>
            <w:r w:rsidRPr="002C6B8F">
              <w:rPr>
                <w:rFonts w:ascii="Cambria" w:eastAsia="Times New Roman" w:hAnsi="Cambria" w:cs="Arial"/>
                <w:color w:val="000000"/>
                <w:sz w:val="18"/>
                <w:szCs w:val="18"/>
              </w:rPr>
              <w:t>de déclaration est opérationnelle.</w:t>
            </w:r>
          </w:p>
        </w:tc>
      </w:tr>
    </w:tbl>
    <w:p w14:paraId="788B286F" w14:textId="77777777" w:rsidR="00D73A87" w:rsidRDefault="00D73A87"/>
    <w:p w14:paraId="0D9B2F8D" w14:textId="77777777" w:rsidR="00693A74" w:rsidRDefault="00693A74" w:rsidP="00693A74">
      <w:pPr>
        <w:rPr>
          <w:rFonts w:ascii="Cambria" w:eastAsia="Times New Roman" w:hAnsi="Cambria" w:cs="Arial"/>
          <w:color w:val="000000"/>
          <w:sz w:val="18"/>
          <w:szCs w:val="18"/>
        </w:rPr>
      </w:pPr>
      <w:r>
        <w:rPr>
          <w:rFonts w:ascii="Cambria" w:eastAsia="Times New Roman" w:hAnsi="Cambria" w:cs="Arial"/>
          <w:color w:val="000000"/>
          <w:sz w:val="18"/>
          <w:szCs w:val="18"/>
        </w:rPr>
        <w:t>NB : Le Sénégal a bénéficié du 19 au 21 mai 2025 d’une mission de renforcement des capacités du secrétariat de l’ICCAT : Formation par des experts du secrétariat sur diverses exigences de l’ICCAT : statist</w:t>
      </w:r>
      <w:r w:rsidR="000331BC">
        <w:rPr>
          <w:rFonts w:ascii="Cambria" w:eastAsia="Times New Roman" w:hAnsi="Cambria" w:cs="Arial"/>
          <w:color w:val="000000"/>
          <w:sz w:val="18"/>
          <w:szCs w:val="18"/>
        </w:rPr>
        <w:t>iques, gestion, formulaires,</w:t>
      </w:r>
      <w:r>
        <w:rPr>
          <w:rFonts w:ascii="Cambria" w:eastAsia="Times New Roman" w:hAnsi="Cambria" w:cs="Arial"/>
          <w:color w:val="000000"/>
          <w:sz w:val="18"/>
          <w:szCs w:val="18"/>
        </w:rPr>
        <w:t xml:space="preserve"> échéances de déclaration, rapports annuels, IOMS, observateurs.</w:t>
      </w:r>
    </w:p>
    <w:p w14:paraId="157BE634" w14:textId="77777777" w:rsidR="00D73A87" w:rsidRDefault="00693A74">
      <w:r>
        <w:rPr>
          <w:rFonts w:ascii="Cambria" w:eastAsia="Times New Roman" w:hAnsi="Cambria" w:cs="Arial"/>
          <w:color w:val="000000"/>
          <w:sz w:val="18"/>
          <w:szCs w:val="18"/>
        </w:rPr>
        <w:t xml:space="preserve">Une prochaine mission dans le domaine de </w:t>
      </w:r>
      <w:r w:rsidR="00632FDB">
        <w:rPr>
          <w:rFonts w:ascii="Cambria" w:eastAsia="Times New Roman" w:hAnsi="Cambria" w:cs="Arial"/>
          <w:color w:val="000000"/>
          <w:sz w:val="18"/>
          <w:szCs w:val="18"/>
        </w:rPr>
        <w:t>l’</w:t>
      </w:r>
      <w:r w:rsidR="000331BC">
        <w:rPr>
          <w:rFonts w:ascii="Cambria" w:eastAsia="Times New Roman" w:hAnsi="Cambria" w:cs="Arial"/>
          <w:color w:val="000000"/>
          <w:sz w:val="18"/>
          <w:szCs w:val="18"/>
        </w:rPr>
        <w:t>AMREP devait eter</w:t>
      </w:r>
      <w:r>
        <w:rPr>
          <w:rFonts w:ascii="Cambria" w:eastAsia="Times New Roman" w:hAnsi="Cambria" w:cs="Arial"/>
          <w:color w:val="000000"/>
          <w:sz w:val="18"/>
          <w:szCs w:val="18"/>
        </w:rPr>
        <w:t xml:space="preserve"> réalisée en deux étapes : une étape d’évaluation des besoins et une de formation sur place après la réunion annuelle de novembre 2025.</w:t>
      </w:r>
    </w:p>
    <w:sectPr w:rsidR="00D73A87" w:rsidSect="00D73A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6FB05" w14:textId="77777777" w:rsidR="00F37CF2" w:rsidRDefault="00F37CF2" w:rsidP="00F37CF2">
      <w:pPr>
        <w:spacing w:after="0" w:line="240" w:lineRule="auto"/>
      </w:pPr>
      <w:r>
        <w:separator/>
      </w:r>
    </w:p>
  </w:endnote>
  <w:endnote w:type="continuationSeparator" w:id="0">
    <w:p w14:paraId="3A6F8CE9" w14:textId="77777777" w:rsidR="00F37CF2" w:rsidRDefault="00F37CF2" w:rsidP="00F3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805B" w14:textId="77777777" w:rsidR="00C973EC" w:rsidRDefault="00C97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2E33" w14:textId="77777777" w:rsidR="00C973EC" w:rsidRDefault="00C973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E2E60" w14:textId="77777777" w:rsidR="00C973EC" w:rsidRDefault="00C97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00B" w14:textId="77777777" w:rsidR="00F37CF2" w:rsidRDefault="00F37CF2" w:rsidP="00F37CF2">
      <w:pPr>
        <w:spacing w:after="0" w:line="240" w:lineRule="auto"/>
      </w:pPr>
      <w:r>
        <w:separator/>
      </w:r>
    </w:p>
  </w:footnote>
  <w:footnote w:type="continuationSeparator" w:id="0">
    <w:p w14:paraId="77F9D845" w14:textId="77777777" w:rsidR="00F37CF2" w:rsidRDefault="00F37CF2" w:rsidP="00F37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F1F8" w14:textId="77777777" w:rsidR="00C973EC" w:rsidRDefault="00C97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FDAF" w14:textId="06D1BA28" w:rsidR="00C973EC" w:rsidRDefault="00C973EC" w:rsidP="00C973EC">
    <w:pPr>
      <w:pStyle w:val="Header"/>
      <w:jc w:val="right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>COC-309_A</w:t>
    </w:r>
    <w:r w:rsidR="007D4DA1">
      <w:rPr>
        <w:rFonts w:ascii="Cambria" w:hAnsi="Cambria"/>
        <w:b/>
        <w:bCs/>
        <w:sz w:val="20"/>
        <w:szCs w:val="20"/>
      </w:rPr>
      <w:t>NN</w:t>
    </w:r>
    <w:r>
      <w:rPr>
        <w:rFonts w:ascii="Cambria" w:hAnsi="Cambria"/>
        <w:b/>
        <w:bCs/>
        <w:sz w:val="20"/>
        <w:szCs w:val="20"/>
      </w:rPr>
      <w:t>_</w:t>
    </w:r>
    <w:r w:rsidR="007D4DA1">
      <w:rPr>
        <w:rFonts w:ascii="Cambria" w:hAnsi="Cambria"/>
        <w:b/>
        <w:bCs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t>/2025</w:t>
    </w:r>
  </w:p>
  <w:p w14:paraId="7307CEEE" w14:textId="545BAF74" w:rsidR="00C973EC" w:rsidRDefault="00C973EC" w:rsidP="00C973EC">
    <w:pPr>
      <w:pStyle w:val="Header"/>
      <w:jc w:val="right"/>
      <w:rPr>
        <w:rFonts w:ascii="Cambria" w:hAnsi="Cambria"/>
        <w:b/>
        <w:bCs/>
        <w:sz w:val="18"/>
        <w:szCs w:val="18"/>
      </w:rPr>
    </w:pPr>
    <w:r>
      <w:rPr>
        <w:rFonts w:ascii="Cambria" w:hAnsi="Cambria"/>
        <w:b/>
        <w:bCs/>
        <w:sz w:val="18"/>
        <w:szCs w:val="18"/>
      </w:rPr>
      <w:fldChar w:fldCharType="begin"/>
    </w:r>
    <w:r>
      <w:rPr>
        <w:rFonts w:ascii="Cambria" w:hAnsi="Cambria"/>
        <w:b/>
        <w:bCs/>
        <w:sz w:val="18"/>
        <w:szCs w:val="18"/>
        <w:lang w:val="en-GB"/>
      </w:rPr>
      <w:instrText xml:space="preserve"> DATE \@ "dd/MM/yyyy HH:mm" </w:instrText>
    </w:r>
    <w:r>
      <w:rPr>
        <w:rFonts w:ascii="Cambria" w:hAnsi="Cambria"/>
        <w:b/>
        <w:bCs/>
        <w:sz w:val="18"/>
        <w:szCs w:val="18"/>
      </w:rPr>
      <w:fldChar w:fldCharType="separate"/>
    </w:r>
    <w:r w:rsidR="007D4DA1">
      <w:rPr>
        <w:rFonts w:ascii="Cambria" w:hAnsi="Cambria"/>
        <w:b/>
        <w:bCs/>
        <w:noProof/>
        <w:sz w:val="18"/>
        <w:szCs w:val="18"/>
        <w:lang w:val="en-GB"/>
      </w:rPr>
      <w:t>07/11/2025 11:49</w:t>
    </w:r>
    <w:r>
      <w:rPr>
        <w:rFonts w:ascii="Cambria" w:hAnsi="Cambria"/>
        <w:b/>
        <w:sz w:val="18"/>
        <w:szCs w:val="18"/>
      </w:rPr>
      <w:fldChar w:fldCharType="end"/>
    </w:r>
  </w:p>
  <w:p w14:paraId="1F77A81B" w14:textId="24C3E6E5" w:rsidR="00F37CF2" w:rsidRPr="00C973EC" w:rsidRDefault="00C973EC" w:rsidP="00C973EC">
    <w:pPr>
      <w:pStyle w:val="Header"/>
      <w:jc w:val="right"/>
    </w:pPr>
    <w:r>
      <w:rPr>
        <w:rFonts w:ascii="Cambria" w:hAnsi="Cambria"/>
        <w:b/>
        <w:sz w:val="20"/>
        <w:szCs w:val="20"/>
      </w:rPr>
      <w:t>SÉNÉGAL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75096" w14:textId="77777777" w:rsidR="00C973EC" w:rsidRDefault="00C97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E1"/>
    <w:multiLevelType w:val="hybridMultilevel"/>
    <w:tmpl w:val="81DC4090"/>
    <w:lvl w:ilvl="0" w:tplc="040C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 w15:restartNumberingAfterBreak="0">
    <w:nsid w:val="130C7598"/>
    <w:multiLevelType w:val="hybridMultilevel"/>
    <w:tmpl w:val="1138E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37291"/>
    <w:multiLevelType w:val="hybridMultilevel"/>
    <w:tmpl w:val="8C029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43549"/>
    <w:multiLevelType w:val="hybridMultilevel"/>
    <w:tmpl w:val="E51859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D5CDD"/>
    <w:multiLevelType w:val="hybridMultilevel"/>
    <w:tmpl w:val="92E617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4E66"/>
    <w:multiLevelType w:val="hybridMultilevel"/>
    <w:tmpl w:val="241A80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44132">
    <w:abstractNumId w:val="5"/>
  </w:num>
  <w:num w:numId="2" w16cid:durableId="2104645117">
    <w:abstractNumId w:val="3"/>
  </w:num>
  <w:num w:numId="3" w16cid:durableId="84036816">
    <w:abstractNumId w:val="4"/>
  </w:num>
  <w:num w:numId="4" w16cid:durableId="1260144850">
    <w:abstractNumId w:val="1"/>
  </w:num>
  <w:num w:numId="5" w16cid:durableId="1447501640">
    <w:abstractNumId w:val="0"/>
  </w:num>
  <w:num w:numId="6" w16cid:durableId="1746563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DA5"/>
    <w:rsid w:val="000331BC"/>
    <w:rsid w:val="00102377"/>
    <w:rsid w:val="001D29E9"/>
    <w:rsid w:val="002C6B8F"/>
    <w:rsid w:val="003134D4"/>
    <w:rsid w:val="004D0BEE"/>
    <w:rsid w:val="004D6985"/>
    <w:rsid w:val="005049C6"/>
    <w:rsid w:val="00632FDB"/>
    <w:rsid w:val="00693A74"/>
    <w:rsid w:val="007D4DA1"/>
    <w:rsid w:val="00846FB4"/>
    <w:rsid w:val="00855D6E"/>
    <w:rsid w:val="00876979"/>
    <w:rsid w:val="00966A66"/>
    <w:rsid w:val="00BE508E"/>
    <w:rsid w:val="00C973EC"/>
    <w:rsid w:val="00D13F29"/>
    <w:rsid w:val="00D7114A"/>
    <w:rsid w:val="00D73A87"/>
    <w:rsid w:val="00F37CF2"/>
    <w:rsid w:val="00F9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4A975"/>
  <w15:chartTrackingRefBased/>
  <w15:docId w15:val="{13FD3E59-A7D9-4121-9522-31DEA109D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A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7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CF2"/>
  </w:style>
  <w:style w:type="paragraph" w:styleId="Footer">
    <w:name w:val="footer"/>
    <w:basedOn w:val="Normal"/>
    <w:link w:val="FooterChar"/>
    <w:uiPriority w:val="99"/>
    <w:unhideWhenUsed/>
    <w:rsid w:val="00F37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Partner</dc:creator>
  <cp:keywords/>
  <dc:description/>
  <cp:lastModifiedBy>Dawn Baity</cp:lastModifiedBy>
  <cp:revision>7</cp:revision>
  <dcterms:created xsi:type="dcterms:W3CDTF">2025-09-11T11:30:00Z</dcterms:created>
  <dcterms:modified xsi:type="dcterms:W3CDTF">2025-11-07T10:50:00Z</dcterms:modified>
</cp:coreProperties>
</file>