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B0E6" w14:textId="7159AA27" w:rsidR="00407995" w:rsidRPr="00C831F6" w:rsidRDefault="00407995" w:rsidP="00795D7B">
      <w:pPr>
        <w:widowControl w:val="0"/>
        <w:autoSpaceDE w:val="0"/>
        <w:autoSpaceDN w:val="0"/>
        <w:adjustRightInd w:val="0"/>
        <w:spacing w:after="0" w:line="240" w:lineRule="auto"/>
        <w:ind w:left="-187" w:right="-274"/>
        <w:rPr>
          <w:rFonts w:ascii="Cambria" w:eastAsia="Times New Roman" w:hAnsi="Cambria" w:cs="Times New Roman"/>
          <w:b/>
          <w:kern w:val="0"/>
          <w:sz w:val="20"/>
          <w:szCs w:val="20"/>
          <w14:ligatures w14:val="none"/>
        </w:rPr>
      </w:pPr>
      <w:r w:rsidRPr="00C831F6">
        <w:rPr>
          <w:rFonts w:ascii="Cambria" w:hAnsi="Cambria"/>
          <w:b/>
          <w:sz w:val="20"/>
        </w:rPr>
        <w:t xml:space="preserve">CPC </w:t>
      </w:r>
      <w:r w:rsidR="00FE56B2" w:rsidRPr="00FE56B2">
        <w:rPr>
          <w:rFonts w:ascii="Cambria" w:hAnsi="Cambria"/>
          <w:b/>
          <w:bCs/>
          <w:sz w:val="20"/>
          <w:szCs w:val="20"/>
        </w:rPr>
        <w:t>Honduras – Dirección General de Pesca y Acuicultura (DIGEPESCA)</w:t>
      </w:r>
    </w:p>
    <w:p w14:paraId="53768E62" w14:textId="77777777" w:rsidR="00795D7B" w:rsidRPr="00C831F6" w:rsidRDefault="00795D7B"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p>
    <w:p w14:paraId="4385BB59" w14:textId="63CAC0B1" w:rsidR="00F81C38" w:rsidRPr="00C831F6" w:rsidRDefault="003F1F8C"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r w:rsidRPr="00C831F6">
        <w:rPr>
          <w:rFonts w:ascii="Cambria" w:hAnsi="Cambria"/>
          <w:b/>
          <w:sz w:val="20"/>
        </w:rPr>
        <w:t xml:space="preserve">Fecha de presentación o revisión: </w:t>
      </w:r>
      <w:r w:rsidR="003A398E">
        <w:rPr>
          <w:rFonts w:ascii="Cambria" w:hAnsi="Cambria"/>
          <w:sz w:val="20"/>
        </w:rPr>
        <w:t>1</w:t>
      </w:r>
      <w:r w:rsidR="00BA7AAB">
        <w:rPr>
          <w:rFonts w:ascii="Cambria" w:hAnsi="Cambria"/>
          <w:sz w:val="20"/>
        </w:rPr>
        <w:t>7</w:t>
      </w:r>
      <w:r w:rsidR="003A398E">
        <w:rPr>
          <w:rFonts w:ascii="Cambria" w:hAnsi="Cambria"/>
          <w:sz w:val="20"/>
        </w:rPr>
        <w:t>/09/2025</w:t>
      </w:r>
    </w:p>
    <w:p w14:paraId="7874D51D" w14:textId="77777777" w:rsidR="00795D7B" w:rsidRPr="00C831F6" w:rsidRDefault="00795D7B" w:rsidP="00795D7B">
      <w:pPr>
        <w:widowControl w:val="0"/>
        <w:autoSpaceDE w:val="0"/>
        <w:autoSpaceDN w:val="0"/>
        <w:adjustRightInd w:val="0"/>
        <w:spacing w:after="0" w:line="240" w:lineRule="auto"/>
        <w:ind w:left="-187" w:right="-274"/>
        <w:rPr>
          <w:rFonts w:ascii="Cambria" w:eastAsia="Times New Roman" w:hAnsi="Cambria" w:cs="Times New Roman"/>
          <w:sz w:val="20"/>
          <w:szCs w:val="20"/>
        </w:rPr>
      </w:pPr>
    </w:p>
    <w:tbl>
      <w:tblPr>
        <w:tblStyle w:val="TableGrid1"/>
        <w:tblW w:w="9833" w:type="dxa"/>
        <w:jc w:val="center"/>
        <w:tblLook w:val="04A0" w:firstRow="1" w:lastRow="0" w:firstColumn="1" w:lastColumn="0" w:noHBand="0" w:noVBand="1"/>
      </w:tblPr>
      <w:tblGrid>
        <w:gridCol w:w="9833"/>
      </w:tblGrid>
      <w:tr w:rsidR="00F81C38" w:rsidRPr="00C831F6" w14:paraId="7330BA27" w14:textId="77777777" w:rsidTr="00C627AC">
        <w:trPr>
          <w:trHeight w:val="174"/>
          <w:jc w:val="center"/>
        </w:trPr>
        <w:tc>
          <w:tcPr>
            <w:tcW w:w="9833" w:type="dxa"/>
            <w:shd w:val="clear" w:color="auto" w:fill="D9D9D9" w:themeFill="background1" w:themeFillShade="D9"/>
          </w:tcPr>
          <w:p w14:paraId="6FE30481" w14:textId="77777777" w:rsidR="00F81C38" w:rsidRPr="00C831F6" w:rsidRDefault="00F81C38" w:rsidP="00795D7B">
            <w:pPr>
              <w:widowControl w:val="0"/>
              <w:autoSpaceDE w:val="0"/>
              <w:autoSpaceDN w:val="0"/>
              <w:adjustRightInd w:val="0"/>
              <w:rPr>
                <w:rFonts w:ascii="Cambria" w:eastAsia="Calibri" w:hAnsi="Cambria" w:cs="Times New Roman"/>
                <w:bCs/>
                <w:sz w:val="20"/>
                <w:szCs w:val="20"/>
              </w:rPr>
            </w:pPr>
            <w:r w:rsidRPr="00C831F6">
              <w:rPr>
                <w:rFonts w:ascii="Cambria" w:hAnsi="Cambria"/>
                <w:b/>
                <w:sz w:val="20"/>
              </w:rPr>
              <w:t>DEFICIENCIAS QUE DEBEN SUBSANARSE</w:t>
            </w:r>
          </w:p>
        </w:tc>
      </w:tr>
      <w:tr w:rsidR="00F81C38" w:rsidRPr="00C831F6" w14:paraId="6B86A80D" w14:textId="77777777" w:rsidTr="00C627AC">
        <w:trPr>
          <w:trHeight w:val="2304"/>
          <w:jc w:val="center"/>
        </w:trPr>
        <w:tc>
          <w:tcPr>
            <w:tcW w:w="9833" w:type="dxa"/>
          </w:tcPr>
          <w:p w14:paraId="18DE7533" w14:textId="77777777" w:rsidR="00EA6DB8" w:rsidRPr="00EA6DB8" w:rsidRDefault="00EA6DB8" w:rsidP="00EA6DB8">
            <w:pPr>
              <w:widowControl w:val="0"/>
              <w:autoSpaceDE w:val="0"/>
              <w:autoSpaceDN w:val="0"/>
              <w:adjustRightInd w:val="0"/>
              <w:spacing w:after="40"/>
              <w:rPr>
                <w:rFonts w:ascii="Cambria" w:hAnsi="Cambria"/>
                <w:sz w:val="18"/>
                <w:lang w:val="es-HN"/>
              </w:rPr>
            </w:pPr>
          </w:p>
          <w:p w14:paraId="2F625C96" w14:textId="2942EBBD" w:rsidR="00F81C38" w:rsidRPr="00C831F6" w:rsidRDefault="00EA6DB8" w:rsidP="00EA6DB8">
            <w:pPr>
              <w:widowControl w:val="0"/>
              <w:autoSpaceDE w:val="0"/>
              <w:autoSpaceDN w:val="0"/>
              <w:adjustRightInd w:val="0"/>
              <w:spacing w:after="40"/>
              <w:rPr>
                <w:rFonts w:ascii="Cambria" w:eastAsia="Calibri" w:hAnsi="Cambria" w:cs="Times New Roman"/>
                <w:bCs/>
                <w:sz w:val="18"/>
                <w:szCs w:val="18"/>
              </w:rPr>
            </w:pPr>
            <w:r w:rsidRPr="00EA6DB8">
              <w:rPr>
                <w:rFonts w:ascii="Cambria" w:hAnsi="Cambria"/>
                <w:sz w:val="18"/>
                <w:lang w:val="es-HN"/>
              </w:rPr>
              <w:t xml:space="preserve"> </w:t>
            </w:r>
            <w:r w:rsidRPr="00EA6DB8">
              <w:rPr>
                <w:rFonts w:ascii="Cambria" w:hAnsi="Cambria"/>
                <w:i/>
                <w:iCs/>
                <w:sz w:val="18"/>
                <w:lang w:val="es-HN"/>
              </w:rPr>
              <w:t>Carta sobre cuestiones de comunicación significativas recurrentes (no ha presentado informe anual y faltan otros informes), solicitud de un plan de acción actualizado; consulta sobre la implementación de los requisitos de captura fortuita de tortugas (Rec. 22-12). Indicar la posibilidad de una futura identificación con arreglo a la Rec. 06-13 sobre medidas comerciales de conformidad con el Programa de cuestiones de cumplimiento y acciones correspondientes (Ref. 22-18) si no se demuestra suficiente las mejoras desde ahora hasta la reunión anual de 2025.</w:t>
            </w:r>
          </w:p>
        </w:tc>
      </w:tr>
      <w:tr w:rsidR="00F81C38" w:rsidRPr="00C831F6" w14:paraId="55ED4C30" w14:textId="77777777" w:rsidTr="00C627AC">
        <w:trPr>
          <w:trHeight w:val="216"/>
          <w:jc w:val="center"/>
        </w:trPr>
        <w:tc>
          <w:tcPr>
            <w:tcW w:w="9833" w:type="dxa"/>
            <w:shd w:val="pct12" w:color="auto" w:fill="auto"/>
          </w:tcPr>
          <w:p w14:paraId="27E9F874" w14:textId="6A043DA8" w:rsidR="00F81C38" w:rsidRPr="00C831F6" w:rsidRDefault="00F81C38" w:rsidP="00C627AC">
            <w:pPr>
              <w:widowControl w:val="0"/>
              <w:autoSpaceDE w:val="0"/>
              <w:autoSpaceDN w:val="0"/>
              <w:adjustRightInd w:val="0"/>
              <w:rPr>
                <w:rFonts w:ascii="Cambria" w:eastAsia="Calibri" w:hAnsi="Cambria" w:cs="Times New Roman"/>
                <w:i/>
                <w:iCs/>
                <w:sz w:val="20"/>
                <w:szCs w:val="20"/>
              </w:rPr>
            </w:pPr>
            <w:r w:rsidRPr="00C831F6">
              <w:rPr>
                <w:rFonts w:ascii="Cambria" w:hAnsi="Cambria"/>
                <w:b/>
                <w:sz w:val="20"/>
              </w:rPr>
              <w:t xml:space="preserve">RESUMEN </w:t>
            </w:r>
            <w:r w:rsidR="00F0041F" w:rsidRPr="00C831F6">
              <w:rPr>
                <w:rFonts w:ascii="Cambria" w:hAnsi="Cambria"/>
                <w:b/>
                <w:sz w:val="20"/>
              </w:rPr>
              <w:t>INTRODUCTORIO</w:t>
            </w:r>
          </w:p>
        </w:tc>
      </w:tr>
      <w:tr w:rsidR="00F81C38" w:rsidRPr="00C831F6" w14:paraId="46D5C752" w14:textId="77777777" w:rsidTr="00C627AC">
        <w:trPr>
          <w:trHeight w:val="2304"/>
          <w:jc w:val="center"/>
        </w:trPr>
        <w:tc>
          <w:tcPr>
            <w:tcW w:w="9833" w:type="dxa"/>
          </w:tcPr>
          <w:p w14:paraId="4BEC4B75" w14:textId="77777777" w:rsidR="00343A9F" w:rsidRPr="00343A9F" w:rsidRDefault="00343A9F" w:rsidP="007B2AF4">
            <w:pPr>
              <w:widowControl w:val="0"/>
              <w:autoSpaceDE w:val="0"/>
              <w:autoSpaceDN w:val="0"/>
              <w:adjustRightInd w:val="0"/>
              <w:spacing w:before="40"/>
              <w:jc w:val="both"/>
              <w:rPr>
                <w:rFonts w:ascii="Cambria" w:eastAsia="Calibri" w:hAnsi="Cambria" w:cs="Times New Roman"/>
                <w:sz w:val="18"/>
                <w:szCs w:val="18"/>
                <w:lang w:val="es-HN"/>
              </w:rPr>
            </w:pPr>
            <w:r w:rsidRPr="00343A9F">
              <w:rPr>
                <w:rFonts w:ascii="Cambria" w:eastAsia="Calibri" w:hAnsi="Cambria" w:cs="Times New Roman"/>
                <w:sz w:val="18"/>
                <w:szCs w:val="18"/>
                <w:lang w:val="es-HN"/>
              </w:rPr>
              <w:t>Honduras, en su calidad de Estado miembro de la Comisión Internacional para la Conservación del Atún del Atlántico (CICAA), reconoce las observaciones formuladas por el Comité de Cumplimiento respecto a deficiencias en la presentación oportuna de informes y en la implementación de ciertas medidas de conservación. Entre ellas destacan: el retraso en la entrega del informe anual y otros documentos requeridos, las limitaciones en la transmisión de información mediante el sistema IOMS, y las consultas pendientes sobre la aplicación de la Recomendación 22-12 relativa a la captura fortuita de tortugas marinas. Estas dificultades han sido consecuencia, en gran medida, de la rotación constante de personal en la Dirección General de Pesca y Acuicultura (DIGEPESCA), lo que ha afectado la continuidad administrativa y técnica en el cumplimiento de los compromisos internacionales.</w:t>
            </w:r>
          </w:p>
          <w:p w14:paraId="4317ACF5" w14:textId="77777777" w:rsidR="00343A9F" w:rsidRPr="00343A9F" w:rsidRDefault="00343A9F" w:rsidP="007B2AF4">
            <w:pPr>
              <w:widowControl w:val="0"/>
              <w:autoSpaceDE w:val="0"/>
              <w:autoSpaceDN w:val="0"/>
              <w:adjustRightInd w:val="0"/>
              <w:spacing w:before="40"/>
              <w:jc w:val="both"/>
              <w:rPr>
                <w:rFonts w:ascii="Cambria" w:eastAsia="Calibri" w:hAnsi="Cambria" w:cs="Times New Roman"/>
                <w:sz w:val="18"/>
                <w:szCs w:val="18"/>
                <w:lang w:val="es-HN"/>
              </w:rPr>
            </w:pPr>
            <w:r w:rsidRPr="00343A9F">
              <w:rPr>
                <w:rFonts w:ascii="Cambria" w:eastAsia="Calibri" w:hAnsi="Cambria" w:cs="Times New Roman"/>
                <w:sz w:val="18"/>
                <w:szCs w:val="18"/>
                <w:lang w:val="es-HN"/>
              </w:rPr>
              <w:t>El presente plan de acción tiene como propósito implementar medidas correctivas concretas que aseguren una mejora inmediata y sostenible en la gestión del cumplimiento, reduciendo los riesgos de futuras observaciones y evitando una eventual identificación en el marco de la Recomendación 06-13 sobre medidas comerciales.</w:t>
            </w:r>
          </w:p>
          <w:p w14:paraId="7E530A97" w14:textId="77777777" w:rsidR="00343A9F" w:rsidRPr="00343A9F" w:rsidRDefault="00343A9F" w:rsidP="007B2AF4">
            <w:pPr>
              <w:widowControl w:val="0"/>
              <w:autoSpaceDE w:val="0"/>
              <w:autoSpaceDN w:val="0"/>
              <w:adjustRightInd w:val="0"/>
              <w:spacing w:before="40"/>
              <w:jc w:val="both"/>
              <w:rPr>
                <w:rFonts w:ascii="Cambria" w:eastAsia="Calibri" w:hAnsi="Cambria" w:cs="Times New Roman"/>
                <w:sz w:val="18"/>
                <w:szCs w:val="18"/>
                <w:lang w:val="es-HN"/>
              </w:rPr>
            </w:pPr>
            <w:r w:rsidRPr="00343A9F">
              <w:rPr>
                <w:rFonts w:ascii="Cambria" w:eastAsia="Calibri" w:hAnsi="Cambria" w:cs="Times New Roman"/>
                <w:b/>
                <w:bCs/>
                <w:sz w:val="18"/>
                <w:szCs w:val="18"/>
                <w:lang w:val="es-HN"/>
              </w:rPr>
              <w:t>Objetivos del Plan de Acción:</w:t>
            </w:r>
          </w:p>
          <w:p w14:paraId="52CA5005" w14:textId="77777777" w:rsidR="00343A9F" w:rsidRPr="00343A9F" w:rsidRDefault="00343A9F" w:rsidP="007B2AF4">
            <w:pPr>
              <w:widowControl w:val="0"/>
              <w:numPr>
                <w:ilvl w:val="0"/>
                <w:numId w:val="1"/>
              </w:numPr>
              <w:autoSpaceDE w:val="0"/>
              <w:autoSpaceDN w:val="0"/>
              <w:adjustRightInd w:val="0"/>
              <w:spacing w:before="40"/>
              <w:jc w:val="both"/>
              <w:rPr>
                <w:rFonts w:ascii="Cambria" w:eastAsia="Calibri" w:hAnsi="Cambria" w:cs="Times New Roman"/>
                <w:sz w:val="18"/>
                <w:szCs w:val="18"/>
                <w:lang w:val="es-HN"/>
              </w:rPr>
            </w:pPr>
            <w:r w:rsidRPr="00343A9F">
              <w:rPr>
                <w:rFonts w:ascii="Cambria" w:eastAsia="Calibri" w:hAnsi="Cambria" w:cs="Times New Roman"/>
                <w:sz w:val="18"/>
                <w:szCs w:val="18"/>
                <w:lang w:val="es-HN"/>
              </w:rPr>
              <w:t>Garantizar la puntualidad en la entrega de informes, formularios y demás información requerida por la CICAA.</w:t>
            </w:r>
          </w:p>
          <w:p w14:paraId="366CB1C0" w14:textId="77777777" w:rsidR="00343A9F" w:rsidRPr="00343A9F" w:rsidRDefault="00343A9F" w:rsidP="007B2AF4">
            <w:pPr>
              <w:widowControl w:val="0"/>
              <w:numPr>
                <w:ilvl w:val="0"/>
                <w:numId w:val="1"/>
              </w:numPr>
              <w:autoSpaceDE w:val="0"/>
              <w:autoSpaceDN w:val="0"/>
              <w:adjustRightInd w:val="0"/>
              <w:spacing w:before="40"/>
              <w:jc w:val="both"/>
              <w:rPr>
                <w:rFonts w:ascii="Cambria" w:eastAsia="Calibri" w:hAnsi="Cambria" w:cs="Times New Roman"/>
                <w:sz w:val="18"/>
                <w:szCs w:val="18"/>
                <w:lang w:val="es-HN"/>
              </w:rPr>
            </w:pPr>
            <w:r w:rsidRPr="00343A9F">
              <w:rPr>
                <w:rFonts w:ascii="Cambria" w:eastAsia="Calibri" w:hAnsi="Cambria" w:cs="Times New Roman"/>
                <w:sz w:val="18"/>
                <w:szCs w:val="18"/>
                <w:lang w:val="es-HN"/>
              </w:rPr>
              <w:t>Asegurar la continuidad institucional en el seguimiento de compromisos, incluso ante cambios de personal.</w:t>
            </w:r>
          </w:p>
          <w:p w14:paraId="02EBD5BD" w14:textId="77777777" w:rsidR="00343A9F" w:rsidRPr="00343A9F" w:rsidRDefault="00343A9F" w:rsidP="007B2AF4">
            <w:pPr>
              <w:widowControl w:val="0"/>
              <w:numPr>
                <w:ilvl w:val="0"/>
                <w:numId w:val="1"/>
              </w:numPr>
              <w:autoSpaceDE w:val="0"/>
              <w:autoSpaceDN w:val="0"/>
              <w:adjustRightInd w:val="0"/>
              <w:spacing w:before="40"/>
              <w:jc w:val="both"/>
              <w:rPr>
                <w:rFonts w:ascii="Cambria" w:eastAsia="Calibri" w:hAnsi="Cambria" w:cs="Times New Roman"/>
                <w:sz w:val="18"/>
                <w:szCs w:val="18"/>
                <w:lang w:val="es-HN"/>
              </w:rPr>
            </w:pPr>
            <w:r w:rsidRPr="00343A9F">
              <w:rPr>
                <w:rFonts w:ascii="Cambria" w:eastAsia="Calibri" w:hAnsi="Cambria" w:cs="Times New Roman"/>
                <w:sz w:val="18"/>
                <w:szCs w:val="18"/>
                <w:lang w:val="es-HN"/>
              </w:rPr>
              <w:t>Fortalecer los sistemas nacionales de recolección, validación, procesamiento y envío de datos estadísticos de la pesquería.</w:t>
            </w:r>
          </w:p>
          <w:p w14:paraId="0B90A34F" w14:textId="4916C9C6" w:rsidR="00F81C38" w:rsidRPr="00343A9F" w:rsidRDefault="00F81C38" w:rsidP="00C627AC">
            <w:pPr>
              <w:widowControl w:val="0"/>
              <w:autoSpaceDE w:val="0"/>
              <w:autoSpaceDN w:val="0"/>
              <w:adjustRightInd w:val="0"/>
              <w:spacing w:before="40"/>
              <w:rPr>
                <w:rFonts w:ascii="Cambria" w:eastAsia="Calibri" w:hAnsi="Cambria" w:cs="Times New Roman"/>
                <w:sz w:val="18"/>
                <w:szCs w:val="18"/>
                <w:lang w:val="es-HN"/>
              </w:rPr>
            </w:pPr>
          </w:p>
        </w:tc>
      </w:tr>
      <w:tr w:rsidR="00F81C38" w:rsidRPr="00C831F6" w14:paraId="17685D3E" w14:textId="77777777" w:rsidTr="00C627AC">
        <w:trPr>
          <w:trHeight w:val="216"/>
          <w:jc w:val="center"/>
        </w:trPr>
        <w:tc>
          <w:tcPr>
            <w:tcW w:w="9833" w:type="dxa"/>
            <w:shd w:val="pct12" w:color="auto" w:fill="auto"/>
          </w:tcPr>
          <w:p w14:paraId="124C626B" w14:textId="541D75DB" w:rsidR="00F81C38" w:rsidRPr="00C831F6" w:rsidRDefault="00F81C38" w:rsidP="00C627AC">
            <w:pPr>
              <w:widowControl w:val="0"/>
              <w:autoSpaceDE w:val="0"/>
              <w:autoSpaceDN w:val="0"/>
              <w:adjustRightInd w:val="0"/>
              <w:spacing w:before="40"/>
              <w:rPr>
                <w:rFonts w:ascii="Cambria" w:eastAsia="Calibri" w:hAnsi="Cambria" w:cs="Times New Roman"/>
                <w:sz w:val="18"/>
                <w:szCs w:val="18"/>
              </w:rPr>
            </w:pPr>
            <w:r w:rsidRPr="00C831F6">
              <w:rPr>
                <w:rFonts w:ascii="Cambria" w:hAnsi="Cambria"/>
                <w:b/>
                <w:sz w:val="20"/>
              </w:rPr>
              <w:t>PUNTOS DE ACCIÓN</w:t>
            </w:r>
          </w:p>
        </w:tc>
      </w:tr>
      <w:tr w:rsidR="00F81C38" w:rsidRPr="00C831F6" w14:paraId="09351BB3" w14:textId="77777777" w:rsidTr="00C627AC">
        <w:trPr>
          <w:trHeight w:val="2304"/>
          <w:jc w:val="center"/>
        </w:trPr>
        <w:tc>
          <w:tcPr>
            <w:tcW w:w="9833" w:type="dxa"/>
          </w:tcPr>
          <w:p w14:paraId="7FA5C7E4" w14:textId="77777777" w:rsidR="00714F45" w:rsidRPr="00601501" w:rsidRDefault="00714F45" w:rsidP="00714F45">
            <w:pPr>
              <w:spacing w:after="160" w:line="278" w:lineRule="auto"/>
              <w:rPr>
                <w:rFonts w:ascii="Cambria" w:hAnsi="Cambria"/>
                <w:sz w:val="20"/>
                <w:szCs w:val="20"/>
              </w:rPr>
            </w:pPr>
            <w:r w:rsidRPr="00601501">
              <w:rPr>
                <w:rFonts w:ascii="Cambria" w:hAnsi="Cambria"/>
                <w:b/>
                <w:bCs/>
                <w:sz w:val="20"/>
                <w:szCs w:val="20"/>
              </w:rPr>
              <w:t>1. Fortalecimiento del Grupo Interno de Cumplimiento y Seguimiento</w:t>
            </w:r>
            <w:r w:rsidRPr="00601501">
              <w:rPr>
                <w:rFonts w:ascii="Cambria" w:hAnsi="Cambria"/>
                <w:sz w:val="20"/>
                <w:szCs w:val="20"/>
              </w:rPr>
              <w:br/>
              <w:t>El grupo interno de cumplimiento en DIGEPESCA ya ha sido conformado y está en funciones. La prioridad ahora es consolidar su rol mediante reuniones de seguimiento periódicas, con cronogramas claros y mecanismos de alerta temprana que garanticen la entrega puntual de informes y formularios a la CICAA.</w:t>
            </w:r>
          </w:p>
          <w:p w14:paraId="15F27955" w14:textId="77777777" w:rsidR="00714F45" w:rsidRPr="00601501" w:rsidRDefault="00714F45" w:rsidP="00714F45">
            <w:pPr>
              <w:numPr>
                <w:ilvl w:val="0"/>
                <w:numId w:val="2"/>
              </w:numPr>
              <w:spacing w:after="160" w:line="278" w:lineRule="auto"/>
              <w:rPr>
                <w:rFonts w:ascii="Cambria" w:hAnsi="Cambria"/>
                <w:sz w:val="20"/>
                <w:szCs w:val="20"/>
              </w:rPr>
            </w:pPr>
            <w:r w:rsidRPr="00601501">
              <w:rPr>
                <w:rFonts w:ascii="Cambria" w:hAnsi="Cambria"/>
                <w:b/>
                <w:bCs/>
                <w:sz w:val="20"/>
                <w:szCs w:val="20"/>
              </w:rPr>
              <w:t>Acción:</w:t>
            </w:r>
            <w:r w:rsidRPr="00601501">
              <w:rPr>
                <w:rFonts w:ascii="Cambria" w:hAnsi="Cambria"/>
                <w:sz w:val="20"/>
                <w:szCs w:val="20"/>
              </w:rPr>
              <w:t xml:space="preserve"> Mantener reuniones de seguimiento al menos una vez al mes, documentando avances y dificultades en un acta formal.</w:t>
            </w:r>
          </w:p>
          <w:p w14:paraId="12255CF7" w14:textId="77777777" w:rsidR="00714F45" w:rsidRPr="00601501" w:rsidRDefault="00714F45" w:rsidP="00714F45">
            <w:pPr>
              <w:spacing w:after="160" w:line="278" w:lineRule="auto"/>
              <w:rPr>
                <w:rFonts w:ascii="Cambria" w:hAnsi="Cambria"/>
                <w:sz w:val="20"/>
                <w:szCs w:val="20"/>
              </w:rPr>
            </w:pPr>
            <w:r w:rsidRPr="00601501">
              <w:rPr>
                <w:rFonts w:ascii="Cambria" w:hAnsi="Cambria"/>
                <w:b/>
                <w:bCs/>
                <w:sz w:val="20"/>
                <w:szCs w:val="20"/>
              </w:rPr>
              <w:t>2. Continuidad del Programa de Capacitación en IOMS y Gestión de Datos</w:t>
            </w:r>
            <w:r w:rsidRPr="00601501">
              <w:rPr>
                <w:rFonts w:ascii="Cambria" w:hAnsi="Cambria"/>
                <w:sz w:val="20"/>
                <w:szCs w:val="20"/>
              </w:rPr>
              <w:br/>
              <w:t>Actualmente, la capacitación en uso del sistema IOMS y gestión de datos pesqueros se lleva a cabo a través del mismo grupo interno. El objetivo será institucionalizar este esfuerzo para asegurar su permanencia, independientemente de la rotación de personal.</w:t>
            </w:r>
          </w:p>
          <w:p w14:paraId="3E6C3437" w14:textId="77777777" w:rsidR="00714F45" w:rsidRPr="00601501" w:rsidRDefault="00714F45" w:rsidP="00714F45">
            <w:pPr>
              <w:numPr>
                <w:ilvl w:val="0"/>
                <w:numId w:val="3"/>
              </w:numPr>
              <w:spacing w:after="160" w:line="278" w:lineRule="auto"/>
              <w:rPr>
                <w:rFonts w:ascii="Cambria" w:hAnsi="Cambria"/>
                <w:sz w:val="20"/>
                <w:szCs w:val="20"/>
              </w:rPr>
            </w:pPr>
            <w:r w:rsidRPr="00601501">
              <w:rPr>
                <w:rFonts w:ascii="Cambria" w:hAnsi="Cambria"/>
                <w:b/>
                <w:bCs/>
                <w:sz w:val="20"/>
                <w:szCs w:val="20"/>
              </w:rPr>
              <w:lastRenderedPageBreak/>
              <w:t>Acción:</w:t>
            </w:r>
            <w:r w:rsidRPr="00601501">
              <w:rPr>
                <w:rFonts w:ascii="Cambria" w:hAnsi="Cambria"/>
                <w:sz w:val="20"/>
                <w:szCs w:val="20"/>
              </w:rPr>
              <w:t xml:space="preserve"> Incorporar capacitaciones periódicas (al menos dos veces por año) y elaborar manuales de procedimientos para estandarizar la formación.</w:t>
            </w:r>
          </w:p>
          <w:p w14:paraId="581BFC91" w14:textId="77777777" w:rsidR="00714F45" w:rsidRPr="00601501" w:rsidRDefault="00714F45" w:rsidP="00714F45">
            <w:pPr>
              <w:spacing w:after="160" w:line="278" w:lineRule="auto"/>
              <w:rPr>
                <w:rFonts w:ascii="Cambria" w:hAnsi="Cambria"/>
                <w:sz w:val="20"/>
                <w:szCs w:val="20"/>
              </w:rPr>
            </w:pPr>
            <w:r w:rsidRPr="00601501">
              <w:rPr>
                <w:rFonts w:ascii="Cambria" w:hAnsi="Cambria"/>
                <w:b/>
                <w:bCs/>
                <w:sz w:val="20"/>
                <w:szCs w:val="20"/>
              </w:rPr>
              <w:t>3. Desarrollo y Formalización de Procedimientos Estandarizados de Transición</w:t>
            </w:r>
            <w:r w:rsidRPr="00601501">
              <w:rPr>
                <w:rFonts w:ascii="Cambria" w:hAnsi="Cambria"/>
                <w:sz w:val="20"/>
                <w:szCs w:val="20"/>
              </w:rPr>
              <w:br/>
              <w:t>Se está trabajando actualmente en la elaboración de protocolos de transición para cambios de personal. Para consolidar este proceso, se establecerán manuales oficiales que aseguren la transferencia de información y responsabilidades sin interrupciones.</w:t>
            </w:r>
          </w:p>
          <w:p w14:paraId="44B537AB" w14:textId="77777777" w:rsidR="00714F45" w:rsidRPr="00601501" w:rsidRDefault="00714F45" w:rsidP="00714F45">
            <w:pPr>
              <w:numPr>
                <w:ilvl w:val="0"/>
                <w:numId w:val="4"/>
              </w:numPr>
              <w:spacing w:after="160" w:line="278" w:lineRule="auto"/>
              <w:rPr>
                <w:rFonts w:ascii="Cambria" w:hAnsi="Cambria"/>
                <w:sz w:val="20"/>
                <w:szCs w:val="20"/>
              </w:rPr>
            </w:pPr>
            <w:r w:rsidRPr="00601501">
              <w:rPr>
                <w:rFonts w:ascii="Cambria" w:hAnsi="Cambria"/>
                <w:b/>
                <w:bCs/>
                <w:sz w:val="20"/>
                <w:szCs w:val="20"/>
              </w:rPr>
              <w:t>Acción:</w:t>
            </w:r>
            <w:r w:rsidRPr="00601501">
              <w:rPr>
                <w:rFonts w:ascii="Cambria" w:hAnsi="Cambria"/>
                <w:sz w:val="20"/>
                <w:szCs w:val="20"/>
              </w:rPr>
              <w:t xml:space="preserve"> Finalizar y aprobar el manual de traspaso de responsabilidades antes del primer semestre de 202</w:t>
            </w:r>
            <w:r w:rsidRPr="00714F45">
              <w:rPr>
                <w:rFonts w:ascii="Cambria" w:hAnsi="Cambria"/>
                <w:sz w:val="20"/>
                <w:szCs w:val="20"/>
              </w:rPr>
              <w:t>6</w:t>
            </w:r>
            <w:r w:rsidRPr="00601501">
              <w:rPr>
                <w:rFonts w:ascii="Cambria" w:hAnsi="Cambria"/>
                <w:sz w:val="20"/>
                <w:szCs w:val="20"/>
              </w:rPr>
              <w:t>, incluyendo lineamientos sobre informes pendientes y uso del sistema IOMS.</w:t>
            </w:r>
          </w:p>
          <w:p w14:paraId="772571A9" w14:textId="77777777" w:rsidR="00714F45" w:rsidRPr="00601501" w:rsidRDefault="00714F45" w:rsidP="00714F45">
            <w:pPr>
              <w:spacing w:after="160" w:line="278" w:lineRule="auto"/>
              <w:rPr>
                <w:rFonts w:ascii="Cambria" w:hAnsi="Cambria"/>
                <w:sz w:val="20"/>
                <w:szCs w:val="20"/>
              </w:rPr>
            </w:pPr>
            <w:r w:rsidRPr="00601501">
              <w:rPr>
                <w:rFonts w:ascii="Cambria" w:hAnsi="Cambria"/>
                <w:b/>
                <w:bCs/>
                <w:sz w:val="20"/>
                <w:szCs w:val="20"/>
              </w:rPr>
              <w:t>4. Optimización del Monitoreo de Indicadores de Cumplimiento</w:t>
            </w:r>
            <w:r w:rsidRPr="00601501">
              <w:rPr>
                <w:rFonts w:ascii="Cambria" w:hAnsi="Cambria"/>
                <w:sz w:val="20"/>
                <w:szCs w:val="20"/>
              </w:rPr>
              <w:br/>
              <w:t xml:space="preserve">Actualmente, cuatro personas realizan la revisión de indicadores de cumplimiento; sin embargo, las cargas laborales han generado retrasos. Para fortalecer este proceso, se </w:t>
            </w:r>
            <w:r w:rsidRPr="00714F45">
              <w:rPr>
                <w:rFonts w:ascii="Cambria" w:hAnsi="Cambria"/>
                <w:sz w:val="20"/>
                <w:szCs w:val="20"/>
              </w:rPr>
              <w:t>establecerá</w:t>
            </w:r>
            <w:r w:rsidRPr="00601501">
              <w:rPr>
                <w:rFonts w:ascii="Cambria" w:hAnsi="Cambria"/>
                <w:sz w:val="20"/>
                <w:szCs w:val="20"/>
              </w:rPr>
              <w:t xml:space="preserve"> un calendario fijo de revisiones y se </w:t>
            </w:r>
            <w:r w:rsidRPr="00714F45">
              <w:rPr>
                <w:rFonts w:ascii="Cambria" w:hAnsi="Cambria"/>
                <w:sz w:val="20"/>
                <w:szCs w:val="20"/>
              </w:rPr>
              <w:t xml:space="preserve">designó </w:t>
            </w:r>
            <w:r w:rsidRPr="00601501">
              <w:rPr>
                <w:rFonts w:ascii="Cambria" w:hAnsi="Cambria"/>
                <w:sz w:val="20"/>
                <w:szCs w:val="20"/>
              </w:rPr>
              <w:t>a un responsable principal de coordinar el monitoreo.</w:t>
            </w:r>
          </w:p>
          <w:p w14:paraId="728658BA" w14:textId="77777777" w:rsidR="00714F45" w:rsidRPr="00601501" w:rsidRDefault="00714F45" w:rsidP="00714F45">
            <w:pPr>
              <w:numPr>
                <w:ilvl w:val="0"/>
                <w:numId w:val="5"/>
              </w:numPr>
              <w:spacing w:after="160" w:line="278" w:lineRule="auto"/>
              <w:rPr>
                <w:rFonts w:ascii="Cambria" w:hAnsi="Cambria"/>
                <w:sz w:val="20"/>
                <w:szCs w:val="20"/>
              </w:rPr>
            </w:pPr>
            <w:r w:rsidRPr="00601501">
              <w:rPr>
                <w:rFonts w:ascii="Cambria" w:hAnsi="Cambria"/>
                <w:b/>
                <w:bCs/>
                <w:sz w:val="20"/>
                <w:szCs w:val="20"/>
              </w:rPr>
              <w:t>Acción:</w:t>
            </w:r>
            <w:r w:rsidRPr="00601501">
              <w:rPr>
                <w:rFonts w:ascii="Cambria" w:hAnsi="Cambria"/>
                <w:sz w:val="20"/>
                <w:szCs w:val="20"/>
              </w:rPr>
              <w:t xml:space="preserve"> Elaboración de un informe trimestral consolidado, acompañado de medidas correctivas inmediatas en caso de identificar atrasos.</w:t>
            </w:r>
          </w:p>
          <w:p w14:paraId="19CDDA1C" w14:textId="7112F74A" w:rsidR="00F81C38" w:rsidRPr="00714F45" w:rsidRDefault="00F81C38" w:rsidP="00C627AC">
            <w:pPr>
              <w:widowControl w:val="0"/>
              <w:autoSpaceDE w:val="0"/>
              <w:autoSpaceDN w:val="0"/>
              <w:adjustRightInd w:val="0"/>
              <w:spacing w:before="40"/>
              <w:rPr>
                <w:rFonts w:ascii="Cambria" w:eastAsia="Calibri" w:hAnsi="Cambria" w:cs="Times New Roman"/>
                <w:sz w:val="20"/>
                <w:szCs w:val="20"/>
              </w:rPr>
            </w:pPr>
          </w:p>
        </w:tc>
      </w:tr>
      <w:tr w:rsidR="00F81C38" w:rsidRPr="00C831F6" w14:paraId="68AE024E" w14:textId="77777777" w:rsidTr="00C627AC">
        <w:trPr>
          <w:trHeight w:val="216"/>
          <w:jc w:val="center"/>
        </w:trPr>
        <w:tc>
          <w:tcPr>
            <w:tcW w:w="9833" w:type="dxa"/>
            <w:shd w:val="pct12" w:color="auto" w:fill="auto"/>
          </w:tcPr>
          <w:p w14:paraId="557445FE" w14:textId="71AB59A8" w:rsidR="00F81C38" w:rsidRPr="00C831F6" w:rsidRDefault="00F81C38" w:rsidP="00C627AC">
            <w:pPr>
              <w:widowControl w:val="0"/>
              <w:autoSpaceDE w:val="0"/>
              <w:autoSpaceDN w:val="0"/>
              <w:adjustRightInd w:val="0"/>
              <w:rPr>
                <w:rFonts w:ascii="Cambria" w:eastAsia="Calibri" w:hAnsi="Cambria" w:cs="Times New Roman"/>
                <w:sz w:val="18"/>
                <w:szCs w:val="18"/>
              </w:rPr>
            </w:pPr>
            <w:r w:rsidRPr="00C831F6">
              <w:rPr>
                <w:rFonts w:ascii="Cambria" w:hAnsi="Cambria"/>
                <w:b/>
                <w:sz w:val="20"/>
              </w:rPr>
              <w:lastRenderedPageBreak/>
              <w:t>PLAN DE APLICACIÓN</w:t>
            </w:r>
          </w:p>
        </w:tc>
      </w:tr>
      <w:tr w:rsidR="00F81C38" w:rsidRPr="00C831F6" w14:paraId="3EDDD526" w14:textId="77777777" w:rsidTr="00C627AC">
        <w:trPr>
          <w:trHeight w:val="2304"/>
          <w:jc w:val="center"/>
        </w:trPr>
        <w:tc>
          <w:tcPr>
            <w:tcW w:w="9833" w:type="dxa"/>
          </w:tcPr>
          <w:p w14:paraId="76476A3C" w14:textId="77777777" w:rsidR="00C00644" w:rsidRPr="00601501" w:rsidRDefault="00C00644" w:rsidP="00C00644">
            <w:pPr>
              <w:spacing w:after="160" w:line="278" w:lineRule="auto"/>
              <w:rPr>
                <w:rFonts w:ascii="Cambria" w:hAnsi="Cambria"/>
                <w:b/>
                <w:bCs/>
                <w:sz w:val="20"/>
                <w:szCs w:val="20"/>
              </w:rPr>
            </w:pPr>
            <w:r w:rsidRPr="00601501">
              <w:rPr>
                <w:rFonts w:ascii="Cambria" w:hAnsi="Cambria"/>
                <w:b/>
                <w:bCs/>
                <w:sz w:val="20"/>
                <w:szCs w:val="20"/>
              </w:rPr>
              <w:t>1. Fortalecimiento del Grupo Interno de Cumplimiento y Seguimiento</w:t>
            </w:r>
          </w:p>
          <w:p w14:paraId="2CC363E7" w14:textId="77777777" w:rsidR="00C00644" w:rsidRPr="00601501" w:rsidRDefault="00C00644" w:rsidP="00C00644">
            <w:pPr>
              <w:numPr>
                <w:ilvl w:val="0"/>
                <w:numId w:val="6"/>
              </w:numPr>
              <w:spacing w:after="160" w:line="278" w:lineRule="auto"/>
              <w:rPr>
                <w:rFonts w:ascii="Cambria" w:hAnsi="Cambria"/>
                <w:sz w:val="20"/>
                <w:szCs w:val="20"/>
              </w:rPr>
            </w:pPr>
            <w:r w:rsidRPr="00601501">
              <w:rPr>
                <w:rFonts w:ascii="Cambria" w:hAnsi="Cambria"/>
                <w:sz w:val="20"/>
                <w:szCs w:val="20"/>
              </w:rPr>
              <w:t>Ejecución: El grupo se reunirá de forma mensual para revisar los compromisos pendientes con la CICAA, utilizando un calendario de control con alertas tempranas. Se levantarán actas de cada reunión y se elaborarán reportes de avance.</w:t>
            </w:r>
          </w:p>
          <w:p w14:paraId="5EDC622B" w14:textId="77777777" w:rsidR="00C00644" w:rsidRPr="00601501" w:rsidRDefault="00C00644" w:rsidP="00C00644">
            <w:pPr>
              <w:numPr>
                <w:ilvl w:val="0"/>
                <w:numId w:val="6"/>
              </w:numPr>
              <w:spacing w:after="160" w:line="278" w:lineRule="auto"/>
              <w:rPr>
                <w:rFonts w:ascii="Cambria" w:hAnsi="Cambria"/>
                <w:sz w:val="20"/>
                <w:szCs w:val="20"/>
              </w:rPr>
            </w:pPr>
            <w:r w:rsidRPr="00601501">
              <w:rPr>
                <w:rFonts w:ascii="Cambria" w:hAnsi="Cambria"/>
                <w:sz w:val="20"/>
                <w:szCs w:val="20"/>
              </w:rPr>
              <w:t>Responsables: Coordinador del Grupo Interno de Cumplimiento (DIGEPESCA)</w:t>
            </w:r>
            <w:r w:rsidRPr="00C00644">
              <w:rPr>
                <w:rFonts w:ascii="Cambria" w:hAnsi="Cambria"/>
                <w:sz w:val="20"/>
                <w:szCs w:val="20"/>
              </w:rPr>
              <w:t xml:space="preserve"> proveniente del Departamento de Investigación</w:t>
            </w:r>
            <w:r w:rsidRPr="00601501">
              <w:rPr>
                <w:rFonts w:ascii="Cambria" w:hAnsi="Cambria"/>
                <w:sz w:val="20"/>
                <w:szCs w:val="20"/>
              </w:rPr>
              <w:t>, con apoyo del equipo técnico designado.</w:t>
            </w:r>
          </w:p>
          <w:p w14:paraId="1D353F91" w14:textId="6BBEAE45" w:rsidR="00C00644" w:rsidRPr="00601501" w:rsidRDefault="00C00644" w:rsidP="00C00644">
            <w:pPr>
              <w:numPr>
                <w:ilvl w:val="0"/>
                <w:numId w:val="6"/>
              </w:numPr>
              <w:spacing w:after="160" w:line="278" w:lineRule="auto"/>
              <w:rPr>
                <w:rFonts w:ascii="Cambria" w:hAnsi="Cambria"/>
                <w:sz w:val="20"/>
                <w:szCs w:val="20"/>
              </w:rPr>
            </w:pPr>
            <w:r w:rsidRPr="00601501">
              <w:rPr>
                <w:rFonts w:ascii="Cambria" w:hAnsi="Cambria"/>
                <w:sz w:val="20"/>
                <w:szCs w:val="20"/>
              </w:rPr>
              <w:t>Recursos: Recursos administrativos existentes de la DIGEPESCA (tiempo de personal, insumos de oficina y acceso al sistema IOMS). No se prevé un gasto adicional significativo, dado que el grupo ya está en funciones.</w:t>
            </w:r>
          </w:p>
          <w:p w14:paraId="1ED45354" w14:textId="77777777" w:rsidR="00C00644" w:rsidRPr="00601501" w:rsidRDefault="00C00644" w:rsidP="00C00644">
            <w:pPr>
              <w:spacing w:after="160" w:line="278" w:lineRule="auto"/>
              <w:rPr>
                <w:rFonts w:ascii="Cambria" w:hAnsi="Cambria"/>
                <w:b/>
                <w:bCs/>
                <w:sz w:val="20"/>
                <w:szCs w:val="20"/>
              </w:rPr>
            </w:pPr>
            <w:r w:rsidRPr="00601501">
              <w:rPr>
                <w:rFonts w:ascii="Cambria" w:hAnsi="Cambria"/>
                <w:b/>
                <w:bCs/>
                <w:sz w:val="20"/>
                <w:szCs w:val="20"/>
              </w:rPr>
              <w:t>2. Continuidad del Programa de Capacitación en IOMS y Gestión de Datos</w:t>
            </w:r>
          </w:p>
          <w:p w14:paraId="528D7317" w14:textId="77777777" w:rsidR="00C00644" w:rsidRPr="00601501" w:rsidRDefault="00C00644" w:rsidP="00C00644">
            <w:pPr>
              <w:numPr>
                <w:ilvl w:val="0"/>
                <w:numId w:val="7"/>
              </w:numPr>
              <w:spacing w:after="160" w:line="278" w:lineRule="auto"/>
              <w:rPr>
                <w:rFonts w:ascii="Cambria" w:hAnsi="Cambria"/>
                <w:sz w:val="20"/>
                <w:szCs w:val="20"/>
              </w:rPr>
            </w:pPr>
            <w:r w:rsidRPr="00601501">
              <w:rPr>
                <w:rFonts w:ascii="Cambria" w:hAnsi="Cambria"/>
                <w:sz w:val="20"/>
                <w:szCs w:val="20"/>
              </w:rPr>
              <w:t>Ejecución: Se realizarán talleres semestrales dirigidos a nuevo personal y al personal en funciones, reforzando el uso del sistema IOMS, la elaboración de informes estadísticos y la correcta preparación de formularios. Se elaborarán manuales operativos internos.</w:t>
            </w:r>
          </w:p>
          <w:p w14:paraId="17850E54" w14:textId="77777777" w:rsidR="00C00644" w:rsidRPr="00601501" w:rsidRDefault="00C00644" w:rsidP="00C00644">
            <w:pPr>
              <w:numPr>
                <w:ilvl w:val="0"/>
                <w:numId w:val="7"/>
              </w:numPr>
              <w:spacing w:after="160" w:line="278" w:lineRule="auto"/>
              <w:rPr>
                <w:rFonts w:ascii="Cambria" w:hAnsi="Cambria"/>
                <w:sz w:val="20"/>
                <w:szCs w:val="20"/>
              </w:rPr>
            </w:pPr>
            <w:r w:rsidRPr="00601501">
              <w:rPr>
                <w:rFonts w:ascii="Cambria" w:hAnsi="Cambria"/>
                <w:sz w:val="20"/>
                <w:szCs w:val="20"/>
              </w:rPr>
              <w:t xml:space="preserve">Responsables: Grupo Interno de Cumplimiento en coordinación con </w:t>
            </w:r>
            <w:r w:rsidRPr="00C00644">
              <w:rPr>
                <w:rFonts w:ascii="Cambria" w:hAnsi="Cambria"/>
                <w:sz w:val="20"/>
                <w:szCs w:val="20"/>
              </w:rPr>
              <w:t xml:space="preserve">el Departamento de Investigación </w:t>
            </w:r>
            <w:r w:rsidRPr="00601501">
              <w:rPr>
                <w:rFonts w:ascii="Cambria" w:hAnsi="Cambria"/>
                <w:sz w:val="20"/>
                <w:szCs w:val="20"/>
              </w:rPr>
              <w:t>de DIGEPESCA.</w:t>
            </w:r>
          </w:p>
          <w:p w14:paraId="58E9A63D" w14:textId="0B15D3F5" w:rsidR="00C00644" w:rsidRPr="00601501" w:rsidRDefault="00C00644" w:rsidP="00C00644">
            <w:pPr>
              <w:numPr>
                <w:ilvl w:val="0"/>
                <w:numId w:val="7"/>
              </w:numPr>
              <w:spacing w:after="160" w:line="278" w:lineRule="auto"/>
              <w:rPr>
                <w:rFonts w:ascii="Cambria" w:hAnsi="Cambria"/>
                <w:sz w:val="20"/>
                <w:szCs w:val="20"/>
              </w:rPr>
            </w:pPr>
            <w:r w:rsidRPr="00601501">
              <w:rPr>
                <w:rFonts w:ascii="Cambria" w:hAnsi="Cambria"/>
                <w:sz w:val="20"/>
                <w:szCs w:val="20"/>
              </w:rPr>
              <w:t>Recursos: Asignación de fondos institucionales para capacitación interna (materiales de formación, acceso a plataformas digitales). Cuando sea necesario, se solicitará apoyo técnico a la FAO u otras agencias de cooperación.</w:t>
            </w:r>
          </w:p>
          <w:p w14:paraId="169B4E66" w14:textId="77777777" w:rsidR="00C00644" w:rsidRPr="00601501" w:rsidRDefault="00C00644" w:rsidP="00C00644">
            <w:pPr>
              <w:spacing w:after="160" w:line="278" w:lineRule="auto"/>
              <w:rPr>
                <w:rFonts w:ascii="Cambria" w:hAnsi="Cambria"/>
                <w:b/>
                <w:bCs/>
                <w:sz w:val="20"/>
                <w:szCs w:val="20"/>
              </w:rPr>
            </w:pPr>
            <w:r w:rsidRPr="00601501">
              <w:rPr>
                <w:rFonts w:ascii="Cambria" w:hAnsi="Cambria"/>
                <w:b/>
                <w:bCs/>
                <w:sz w:val="20"/>
                <w:szCs w:val="20"/>
              </w:rPr>
              <w:t>3. Desarrollo y Formalización de Procedimientos Estandarizados de Transición</w:t>
            </w:r>
          </w:p>
          <w:p w14:paraId="5F1B6988" w14:textId="77777777" w:rsidR="00C00644" w:rsidRPr="00601501" w:rsidRDefault="00C00644" w:rsidP="00C00644">
            <w:pPr>
              <w:numPr>
                <w:ilvl w:val="0"/>
                <w:numId w:val="8"/>
              </w:numPr>
              <w:spacing w:after="160" w:line="278" w:lineRule="auto"/>
              <w:rPr>
                <w:rFonts w:ascii="Cambria" w:hAnsi="Cambria"/>
                <w:sz w:val="20"/>
                <w:szCs w:val="20"/>
              </w:rPr>
            </w:pPr>
            <w:r w:rsidRPr="00601501">
              <w:rPr>
                <w:rFonts w:ascii="Cambria" w:hAnsi="Cambria"/>
                <w:sz w:val="20"/>
                <w:szCs w:val="20"/>
              </w:rPr>
              <w:t>Ejecución: Se concluirá y validará el manual de transición de personal antes de junio de 202</w:t>
            </w:r>
            <w:r w:rsidRPr="00C00644">
              <w:rPr>
                <w:rFonts w:ascii="Cambria" w:hAnsi="Cambria"/>
                <w:sz w:val="20"/>
                <w:szCs w:val="20"/>
              </w:rPr>
              <w:t>6</w:t>
            </w:r>
            <w:r w:rsidRPr="00601501">
              <w:rPr>
                <w:rFonts w:ascii="Cambria" w:hAnsi="Cambria"/>
                <w:sz w:val="20"/>
                <w:szCs w:val="20"/>
              </w:rPr>
              <w:t>. El documento incluirá protocolos de entrega-recepción de información, uso del sistema IOMS y seguimiento de compromisos internacionales.</w:t>
            </w:r>
          </w:p>
          <w:p w14:paraId="39AC7560" w14:textId="77777777" w:rsidR="00C00644" w:rsidRPr="00601501" w:rsidRDefault="00C00644" w:rsidP="00C00644">
            <w:pPr>
              <w:numPr>
                <w:ilvl w:val="0"/>
                <w:numId w:val="8"/>
              </w:numPr>
              <w:spacing w:after="160" w:line="278" w:lineRule="auto"/>
              <w:rPr>
                <w:rFonts w:ascii="Cambria" w:hAnsi="Cambria"/>
                <w:sz w:val="20"/>
                <w:szCs w:val="20"/>
              </w:rPr>
            </w:pPr>
            <w:r w:rsidRPr="00601501">
              <w:rPr>
                <w:rFonts w:ascii="Cambria" w:hAnsi="Cambria"/>
                <w:sz w:val="20"/>
                <w:szCs w:val="20"/>
              </w:rPr>
              <w:t>Responsables: Grupo Interno de Cumplimiento junto bajo aprobación de la Dirección General.</w:t>
            </w:r>
          </w:p>
          <w:p w14:paraId="281FBE17" w14:textId="77777777" w:rsidR="00C00644" w:rsidRPr="00601501" w:rsidRDefault="00C00644" w:rsidP="00C00644">
            <w:pPr>
              <w:numPr>
                <w:ilvl w:val="0"/>
                <w:numId w:val="8"/>
              </w:numPr>
              <w:spacing w:after="160" w:line="278" w:lineRule="auto"/>
              <w:rPr>
                <w:rFonts w:ascii="Cambria" w:hAnsi="Cambria"/>
                <w:sz w:val="20"/>
                <w:szCs w:val="20"/>
              </w:rPr>
            </w:pPr>
            <w:r w:rsidRPr="00601501">
              <w:rPr>
                <w:rFonts w:ascii="Cambria" w:hAnsi="Cambria"/>
                <w:sz w:val="20"/>
                <w:szCs w:val="20"/>
              </w:rPr>
              <w:lastRenderedPageBreak/>
              <w:t>Recursos: Recursos institucionales existentes (horas de trabajo de personal técnico y administrativo). No requiere financiamiento adicional, salvo impresión y socialización del manual.</w:t>
            </w:r>
          </w:p>
          <w:p w14:paraId="64CC4681" w14:textId="77777777" w:rsidR="00C00644" w:rsidRPr="00601501" w:rsidRDefault="00C00644" w:rsidP="00C00644">
            <w:pPr>
              <w:spacing w:after="160" w:line="278" w:lineRule="auto"/>
              <w:rPr>
                <w:rFonts w:ascii="Cambria" w:hAnsi="Cambria"/>
                <w:sz w:val="20"/>
                <w:szCs w:val="20"/>
              </w:rPr>
            </w:pPr>
          </w:p>
          <w:p w14:paraId="0BB9AE04" w14:textId="77777777" w:rsidR="00C00644" w:rsidRPr="00601501" w:rsidRDefault="00C00644" w:rsidP="00C00644">
            <w:pPr>
              <w:spacing w:after="160" w:line="278" w:lineRule="auto"/>
              <w:rPr>
                <w:rFonts w:ascii="Cambria" w:hAnsi="Cambria"/>
                <w:b/>
                <w:bCs/>
                <w:sz w:val="20"/>
                <w:szCs w:val="20"/>
              </w:rPr>
            </w:pPr>
            <w:r w:rsidRPr="00601501">
              <w:rPr>
                <w:rFonts w:ascii="Cambria" w:hAnsi="Cambria"/>
                <w:b/>
                <w:bCs/>
                <w:sz w:val="20"/>
                <w:szCs w:val="20"/>
              </w:rPr>
              <w:t>4. Optimización del Monitoreo de Indicadores de Cumplimiento</w:t>
            </w:r>
          </w:p>
          <w:p w14:paraId="6D557930" w14:textId="77777777" w:rsidR="00C00644" w:rsidRPr="00601501" w:rsidRDefault="00C00644" w:rsidP="00C00644">
            <w:pPr>
              <w:numPr>
                <w:ilvl w:val="0"/>
                <w:numId w:val="9"/>
              </w:numPr>
              <w:spacing w:after="160" w:line="278" w:lineRule="auto"/>
              <w:rPr>
                <w:rFonts w:ascii="Cambria" w:hAnsi="Cambria"/>
                <w:sz w:val="20"/>
                <w:szCs w:val="20"/>
              </w:rPr>
            </w:pPr>
            <w:r w:rsidRPr="00601501">
              <w:rPr>
                <w:rFonts w:ascii="Cambria" w:hAnsi="Cambria"/>
                <w:sz w:val="20"/>
                <w:szCs w:val="20"/>
              </w:rPr>
              <w:t xml:space="preserve">Ejecución: El monitoreo se realizará trimestralmente, </w:t>
            </w:r>
            <w:r w:rsidRPr="00C00644">
              <w:rPr>
                <w:rFonts w:ascii="Cambria" w:hAnsi="Cambria"/>
                <w:sz w:val="20"/>
                <w:szCs w:val="20"/>
              </w:rPr>
              <w:t xml:space="preserve">el </w:t>
            </w:r>
            <w:r w:rsidRPr="00601501">
              <w:rPr>
                <w:rFonts w:ascii="Cambria" w:hAnsi="Cambria"/>
                <w:sz w:val="20"/>
                <w:szCs w:val="20"/>
              </w:rPr>
              <w:t xml:space="preserve">responsable principal </w:t>
            </w:r>
            <w:r w:rsidRPr="00C00644">
              <w:rPr>
                <w:rFonts w:ascii="Cambria" w:hAnsi="Cambria"/>
                <w:sz w:val="20"/>
                <w:szCs w:val="20"/>
              </w:rPr>
              <w:t>es el Jefe del Departamento de Investigación quien debe</w:t>
            </w:r>
            <w:r w:rsidRPr="00601501">
              <w:rPr>
                <w:rFonts w:ascii="Cambria" w:hAnsi="Cambria"/>
                <w:sz w:val="20"/>
                <w:szCs w:val="20"/>
              </w:rPr>
              <w:t xml:space="preserve"> consolidar la información de los cuatro técnicos actualmente a cargo. Se elaborará un informe consolidado para la Dirección General, con medidas correctivas en caso de atrasos.</w:t>
            </w:r>
          </w:p>
          <w:p w14:paraId="031706F3" w14:textId="77777777" w:rsidR="00C00644" w:rsidRPr="00601501" w:rsidRDefault="00C00644" w:rsidP="00C00644">
            <w:pPr>
              <w:numPr>
                <w:ilvl w:val="0"/>
                <w:numId w:val="9"/>
              </w:numPr>
              <w:spacing w:after="160" w:line="278" w:lineRule="auto"/>
              <w:rPr>
                <w:rFonts w:ascii="Cambria" w:hAnsi="Cambria"/>
                <w:sz w:val="20"/>
                <w:szCs w:val="20"/>
              </w:rPr>
            </w:pPr>
            <w:r w:rsidRPr="00601501">
              <w:rPr>
                <w:rFonts w:ascii="Cambria" w:hAnsi="Cambria"/>
                <w:sz w:val="20"/>
                <w:szCs w:val="20"/>
              </w:rPr>
              <w:t>Responsables: Grupo Interno de Cumplimiento</w:t>
            </w:r>
            <w:r w:rsidRPr="00C00644">
              <w:rPr>
                <w:rFonts w:ascii="Cambria" w:hAnsi="Cambria"/>
                <w:sz w:val="20"/>
                <w:szCs w:val="20"/>
              </w:rPr>
              <w:t xml:space="preserve"> y Jefe del Departamento de Investigación </w:t>
            </w:r>
          </w:p>
          <w:p w14:paraId="769B4CCA" w14:textId="2B415D39" w:rsidR="001D392F" w:rsidRPr="00C00644" w:rsidRDefault="00C00644" w:rsidP="00C00644">
            <w:pPr>
              <w:numPr>
                <w:ilvl w:val="0"/>
                <w:numId w:val="9"/>
              </w:numPr>
              <w:spacing w:after="160" w:line="278" w:lineRule="auto"/>
              <w:rPr>
                <w:rFonts w:ascii="Cambria" w:hAnsi="Cambria"/>
                <w:sz w:val="20"/>
                <w:szCs w:val="20"/>
              </w:rPr>
            </w:pPr>
            <w:r w:rsidRPr="00601501">
              <w:rPr>
                <w:rFonts w:ascii="Cambria" w:hAnsi="Cambria"/>
                <w:sz w:val="20"/>
                <w:szCs w:val="20"/>
              </w:rPr>
              <w:t>Recursos: Recursos internos de DIGEPESCA. Se evaluará la posibilidad de solicitar apoyo externo en caso de requerirse herramientas informáticas adicionales para la consolidación de datos</w:t>
            </w:r>
            <w:r w:rsidRPr="00C00644">
              <w:rPr>
                <w:rFonts w:ascii="Cambria" w:hAnsi="Cambria"/>
                <w:sz w:val="20"/>
                <w:szCs w:val="20"/>
              </w:rPr>
              <w:t>.</w:t>
            </w:r>
          </w:p>
        </w:tc>
      </w:tr>
      <w:tr w:rsidR="00F81C38" w:rsidRPr="00C831F6" w14:paraId="3CDA9FAB" w14:textId="77777777" w:rsidTr="00C627AC">
        <w:trPr>
          <w:trHeight w:val="216"/>
          <w:jc w:val="center"/>
        </w:trPr>
        <w:tc>
          <w:tcPr>
            <w:tcW w:w="9833" w:type="dxa"/>
            <w:shd w:val="pct12" w:color="auto" w:fill="auto"/>
          </w:tcPr>
          <w:p w14:paraId="5F46DEB5" w14:textId="0FB18434" w:rsidR="00F81C38" w:rsidRPr="00C831F6" w:rsidRDefault="00F81C38" w:rsidP="00C627AC">
            <w:pPr>
              <w:widowControl w:val="0"/>
              <w:autoSpaceDE w:val="0"/>
              <w:autoSpaceDN w:val="0"/>
              <w:adjustRightInd w:val="0"/>
              <w:rPr>
                <w:rFonts w:ascii="Cambria" w:eastAsia="Calibri" w:hAnsi="Cambria" w:cs="Times New Roman"/>
                <w:sz w:val="18"/>
                <w:szCs w:val="18"/>
              </w:rPr>
            </w:pPr>
            <w:r w:rsidRPr="00C831F6">
              <w:lastRenderedPageBreak/>
              <w:br w:type="page"/>
            </w:r>
            <w:r w:rsidRPr="00C831F6">
              <w:rPr>
                <w:rFonts w:ascii="Cambria" w:hAnsi="Cambria"/>
                <w:b/>
                <w:sz w:val="20"/>
              </w:rPr>
              <w:t xml:space="preserve">CALENDARIO / </w:t>
            </w:r>
            <w:r w:rsidR="007727DD" w:rsidRPr="00C831F6">
              <w:rPr>
                <w:rFonts w:ascii="Cambria" w:hAnsi="Cambria"/>
                <w:b/>
                <w:sz w:val="20"/>
              </w:rPr>
              <w:t>ETAPAS GRADUALES</w:t>
            </w:r>
            <w:r w:rsidRPr="00C831F6">
              <w:rPr>
                <w:rFonts w:ascii="Cambria" w:hAnsi="Cambria"/>
                <w:b/>
                <w:sz w:val="20"/>
              </w:rPr>
              <w:t xml:space="preserve"> PARA LA FINALIZACIÓN</w:t>
            </w:r>
          </w:p>
        </w:tc>
      </w:tr>
      <w:tr w:rsidR="00F81C38" w:rsidRPr="00C831F6" w14:paraId="7DFD7D1B" w14:textId="77777777" w:rsidTr="00C627AC">
        <w:trPr>
          <w:trHeight w:val="2304"/>
          <w:jc w:val="center"/>
        </w:trPr>
        <w:tc>
          <w:tcPr>
            <w:tcW w:w="9833" w:type="dxa"/>
          </w:tcPr>
          <w:p w14:paraId="2A1F4289" w14:textId="77777777" w:rsidR="001862FB" w:rsidRPr="00F056F9" w:rsidRDefault="001862FB" w:rsidP="001862FB">
            <w:pPr>
              <w:spacing w:after="160"/>
              <w:rPr>
                <w:rFonts w:ascii="Cambria" w:hAnsi="Cambria"/>
                <w:sz w:val="20"/>
                <w:szCs w:val="20"/>
              </w:rPr>
            </w:pPr>
            <w:r w:rsidRPr="00F056F9">
              <w:rPr>
                <w:rFonts w:ascii="Cambria" w:hAnsi="Cambria"/>
                <w:b/>
                <w:bCs/>
                <w:sz w:val="20"/>
                <w:szCs w:val="20"/>
              </w:rPr>
              <w:t>1. Fortalecimiento del Grupo Interno de Cumplimiento y Seguimiento</w:t>
            </w:r>
          </w:p>
          <w:p w14:paraId="0C485C5C" w14:textId="77777777" w:rsidR="001862FB" w:rsidRPr="00F056F9" w:rsidRDefault="001862FB" w:rsidP="001862FB">
            <w:pPr>
              <w:numPr>
                <w:ilvl w:val="0"/>
                <w:numId w:val="10"/>
              </w:numPr>
              <w:spacing w:after="160"/>
              <w:rPr>
                <w:rFonts w:ascii="Cambria" w:hAnsi="Cambria"/>
                <w:sz w:val="20"/>
                <w:szCs w:val="20"/>
              </w:rPr>
            </w:pPr>
            <w:r w:rsidRPr="00F056F9">
              <w:rPr>
                <w:rFonts w:ascii="Cambria" w:hAnsi="Cambria"/>
                <w:b/>
                <w:bCs/>
                <w:sz w:val="20"/>
                <w:szCs w:val="20"/>
              </w:rPr>
              <w:t>Enero 2026:</w:t>
            </w:r>
            <w:r w:rsidRPr="00F056F9">
              <w:rPr>
                <w:rFonts w:ascii="Cambria" w:hAnsi="Cambria"/>
                <w:sz w:val="20"/>
                <w:szCs w:val="20"/>
              </w:rPr>
              <w:t xml:space="preserve"> Actualización del calendario anual de compromisos con CICAA e instalación del cronograma de reuniones mensuales.</w:t>
            </w:r>
          </w:p>
          <w:p w14:paraId="4F0C000D" w14:textId="77777777" w:rsidR="001862FB" w:rsidRPr="00F056F9" w:rsidRDefault="001862FB" w:rsidP="001862FB">
            <w:pPr>
              <w:numPr>
                <w:ilvl w:val="0"/>
                <w:numId w:val="10"/>
              </w:numPr>
              <w:spacing w:after="160"/>
              <w:rPr>
                <w:rFonts w:ascii="Cambria" w:hAnsi="Cambria"/>
                <w:sz w:val="20"/>
                <w:szCs w:val="20"/>
              </w:rPr>
            </w:pPr>
            <w:r w:rsidRPr="00F056F9">
              <w:rPr>
                <w:rFonts w:ascii="Cambria" w:hAnsi="Cambria"/>
                <w:b/>
                <w:bCs/>
                <w:sz w:val="20"/>
                <w:szCs w:val="20"/>
              </w:rPr>
              <w:t>Marzo 2026:</w:t>
            </w:r>
            <w:r w:rsidRPr="00F056F9">
              <w:rPr>
                <w:rFonts w:ascii="Cambria" w:hAnsi="Cambria"/>
                <w:sz w:val="20"/>
                <w:szCs w:val="20"/>
              </w:rPr>
              <w:t xml:space="preserve"> Primer informe de seguimiento trimestral presentado a la Dirección General de DIGEPESCA.</w:t>
            </w:r>
          </w:p>
          <w:p w14:paraId="1A6AC944" w14:textId="77777777" w:rsidR="001862FB" w:rsidRPr="00F056F9" w:rsidRDefault="001862FB" w:rsidP="001862FB">
            <w:pPr>
              <w:numPr>
                <w:ilvl w:val="0"/>
                <w:numId w:val="10"/>
              </w:numPr>
              <w:spacing w:after="160"/>
              <w:rPr>
                <w:rFonts w:ascii="Cambria" w:hAnsi="Cambria"/>
                <w:sz w:val="20"/>
                <w:szCs w:val="20"/>
              </w:rPr>
            </w:pPr>
            <w:r w:rsidRPr="00F056F9">
              <w:rPr>
                <w:rFonts w:ascii="Cambria" w:hAnsi="Cambria"/>
                <w:b/>
                <w:bCs/>
                <w:sz w:val="20"/>
                <w:szCs w:val="20"/>
              </w:rPr>
              <w:t>Junio, septiembre y diciembre 2026:</w:t>
            </w:r>
            <w:r w:rsidRPr="00F056F9">
              <w:rPr>
                <w:rFonts w:ascii="Cambria" w:hAnsi="Cambria"/>
                <w:sz w:val="20"/>
                <w:szCs w:val="20"/>
              </w:rPr>
              <w:t xml:space="preserve"> Informes trimestrales de cumplimiento, con identificación de atrasos y medidas correctivas.</w:t>
            </w:r>
          </w:p>
          <w:p w14:paraId="0DB807AE" w14:textId="77777777" w:rsidR="001862FB" w:rsidRPr="00F056F9" w:rsidRDefault="001862FB" w:rsidP="001862FB">
            <w:pPr>
              <w:numPr>
                <w:ilvl w:val="0"/>
                <w:numId w:val="10"/>
              </w:numPr>
              <w:spacing w:after="160"/>
              <w:rPr>
                <w:rFonts w:ascii="Cambria" w:hAnsi="Cambria"/>
                <w:sz w:val="20"/>
                <w:szCs w:val="20"/>
              </w:rPr>
            </w:pPr>
            <w:r w:rsidRPr="00F056F9">
              <w:rPr>
                <w:rFonts w:ascii="Cambria" w:hAnsi="Cambria"/>
                <w:b/>
                <w:bCs/>
                <w:sz w:val="20"/>
                <w:szCs w:val="20"/>
              </w:rPr>
              <w:t>Acción efectiva:</w:t>
            </w:r>
            <w:r w:rsidRPr="00F056F9">
              <w:rPr>
                <w:rFonts w:ascii="Cambria" w:hAnsi="Cambria"/>
                <w:sz w:val="20"/>
                <w:szCs w:val="20"/>
              </w:rPr>
              <w:t xml:space="preserve"> Desde enero 2026, con informes regulares durante todo el año.</w:t>
            </w:r>
          </w:p>
          <w:p w14:paraId="680B46BF" w14:textId="77777777" w:rsidR="001862FB" w:rsidRPr="00F056F9" w:rsidRDefault="001862FB" w:rsidP="001862FB">
            <w:pPr>
              <w:spacing w:after="160"/>
              <w:rPr>
                <w:rFonts w:ascii="Cambria" w:hAnsi="Cambria"/>
                <w:sz w:val="20"/>
                <w:szCs w:val="20"/>
              </w:rPr>
            </w:pPr>
            <w:r w:rsidRPr="00F056F9">
              <w:rPr>
                <w:rFonts w:ascii="Cambria" w:hAnsi="Cambria"/>
                <w:b/>
                <w:bCs/>
                <w:sz w:val="20"/>
                <w:szCs w:val="20"/>
              </w:rPr>
              <w:t>2. Continuidad del Programa de Capacitación en IOMS y Gestión de Datos</w:t>
            </w:r>
          </w:p>
          <w:p w14:paraId="13A5F17E" w14:textId="77777777" w:rsidR="001862FB" w:rsidRPr="00F056F9" w:rsidRDefault="001862FB" w:rsidP="001862FB">
            <w:pPr>
              <w:numPr>
                <w:ilvl w:val="0"/>
                <w:numId w:val="11"/>
              </w:numPr>
              <w:spacing w:after="160"/>
              <w:rPr>
                <w:rFonts w:ascii="Cambria" w:hAnsi="Cambria"/>
                <w:sz w:val="20"/>
                <w:szCs w:val="20"/>
              </w:rPr>
            </w:pPr>
            <w:r w:rsidRPr="00F056F9">
              <w:rPr>
                <w:rFonts w:ascii="Cambria" w:hAnsi="Cambria"/>
                <w:b/>
                <w:bCs/>
                <w:sz w:val="20"/>
                <w:szCs w:val="20"/>
              </w:rPr>
              <w:t>Febrero 2026:</w:t>
            </w:r>
            <w:r w:rsidRPr="00F056F9">
              <w:rPr>
                <w:rFonts w:ascii="Cambria" w:hAnsi="Cambria"/>
                <w:sz w:val="20"/>
                <w:szCs w:val="20"/>
              </w:rPr>
              <w:t xml:space="preserve"> Primer taller semestral de capacitación para personal técnico y administrativo en uso de IOMS y elaboración de informes.</w:t>
            </w:r>
          </w:p>
          <w:p w14:paraId="602E3C06" w14:textId="77777777" w:rsidR="001862FB" w:rsidRPr="00F056F9" w:rsidRDefault="001862FB" w:rsidP="001862FB">
            <w:pPr>
              <w:numPr>
                <w:ilvl w:val="0"/>
                <w:numId w:val="11"/>
              </w:numPr>
              <w:spacing w:after="160"/>
              <w:rPr>
                <w:rFonts w:ascii="Cambria" w:hAnsi="Cambria"/>
                <w:sz w:val="20"/>
                <w:szCs w:val="20"/>
              </w:rPr>
            </w:pPr>
            <w:r w:rsidRPr="00F056F9">
              <w:rPr>
                <w:rFonts w:ascii="Cambria" w:hAnsi="Cambria"/>
                <w:b/>
                <w:bCs/>
                <w:sz w:val="20"/>
                <w:szCs w:val="20"/>
              </w:rPr>
              <w:t>Julio 2026:</w:t>
            </w:r>
            <w:r w:rsidRPr="00F056F9">
              <w:rPr>
                <w:rFonts w:ascii="Cambria" w:hAnsi="Cambria"/>
                <w:sz w:val="20"/>
                <w:szCs w:val="20"/>
              </w:rPr>
              <w:t xml:space="preserve"> Segundo taller semestral, incluyendo evaluación práctica del desempeño del personal en el sistema IOMS.</w:t>
            </w:r>
          </w:p>
          <w:p w14:paraId="68C1966E" w14:textId="77777777" w:rsidR="001862FB" w:rsidRPr="00F056F9" w:rsidRDefault="001862FB" w:rsidP="001862FB">
            <w:pPr>
              <w:numPr>
                <w:ilvl w:val="0"/>
                <w:numId w:val="11"/>
              </w:numPr>
              <w:spacing w:after="160"/>
              <w:rPr>
                <w:rFonts w:ascii="Cambria" w:hAnsi="Cambria"/>
                <w:sz w:val="20"/>
                <w:szCs w:val="20"/>
              </w:rPr>
            </w:pPr>
            <w:r w:rsidRPr="00F056F9">
              <w:rPr>
                <w:rFonts w:ascii="Cambria" w:hAnsi="Cambria"/>
                <w:b/>
                <w:bCs/>
                <w:sz w:val="20"/>
                <w:szCs w:val="20"/>
              </w:rPr>
              <w:t>Noviembre 2026:</w:t>
            </w:r>
            <w:r w:rsidRPr="00F056F9">
              <w:rPr>
                <w:rFonts w:ascii="Cambria" w:hAnsi="Cambria"/>
                <w:sz w:val="20"/>
                <w:szCs w:val="20"/>
              </w:rPr>
              <w:t xml:space="preserve"> Publicación y socialización del manual de capacitación actualizado.</w:t>
            </w:r>
          </w:p>
          <w:p w14:paraId="65B4FB83" w14:textId="77777777" w:rsidR="001862FB" w:rsidRPr="00F056F9" w:rsidRDefault="001862FB" w:rsidP="001862FB">
            <w:pPr>
              <w:numPr>
                <w:ilvl w:val="0"/>
                <w:numId w:val="11"/>
              </w:numPr>
              <w:spacing w:after="160"/>
              <w:rPr>
                <w:rFonts w:ascii="Cambria" w:hAnsi="Cambria"/>
                <w:sz w:val="20"/>
                <w:szCs w:val="20"/>
              </w:rPr>
            </w:pPr>
            <w:r w:rsidRPr="00F056F9">
              <w:rPr>
                <w:rFonts w:ascii="Cambria" w:hAnsi="Cambria"/>
                <w:b/>
                <w:bCs/>
                <w:sz w:val="20"/>
                <w:szCs w:val="20"/>
              </w:rPr>
              <w:t>Acción efectiva:</w:t>
            </w:r>
            <w:r w:rsidRPr="00F056F9">
              <w:rPr>
                <w:rFonts w:ascii="Cambria" w:hAnsi="Cambria"/>
                <w:sz w:val="20"/>
                <w:szCs w:val="20"/>
              </w:rPr>
              <w:t xml:space="preserve"> Desde febrero 2026, con dos ciclos de capacitación anuales.</w:t>
            </w:r>
          </w:p>
          <w:p w14:paraId="6B21AC99" w14:textId="77777777" w:rsidR="001862FB" w:rsidRPr="00F056F9" w:rsidRDefault="001862FB" w:rsidP="001862FB">
            <w:pPr>
              <w:spacing w:after="160"/>
              <w:rPr>
                <w:rFonts w:ascii="Cambria" w:hAnsi="Cambria"/>
                <w:sz w:val="20"/>
                <w:szCs w:val="20"/>
              </w:rPr>
            </w:pPr>
            <w:r w:rsidRPr="00F056F9">
              <w:rPr>
                <w:rFonts w:ascii="Cambria" w:hAnsi="Cambria"/>
                <w:b/>
                <w:bCs/>
                <w:sz w:val="20"/>
                <w:szCs w:val="20"/>
              </w:rPr>
              <w:t>3. Desarrollo y Formalización de Procedimientos Estandarizados de Transición</w:t>
            </w:r>
          </w:p>
          <w:p w14:paraId="05E76BE3" w14:textId="77777777" w:rsidR="001862FB" w:rsidRPr="00F056F9" w:rsidRDefault="001862FB" w:rsidP="001862FB">
            <w:pPr>
              <w:numPr>
                <w:ilvl w:val="0"/>
                <w:numId w:val="12"/>
              </w:numPr>
              <w:spacing w:after="160"/>
              <w:rPr>
                <w:rFonts w:ascii="Cambria" w:hAnsi="Cambria"/>
                <w:sz w:val="20"/>
                <w:szCs w:val="20"/>
              </w:rPr>
            </w:pPr>
            <w:r w:rsidRPr="00F056F9">
              <w:rPr>
                <w:rFonts w:ascii="Cambria" w:hAnsi="Cambria"/>
                <w:b/>
                <w:bCs/>
                <w:sz w:val="20"/>
                <w:szCs w:val="20"/>
              </w:rPr>
              <w:t>Enero – abril 2026:</w:t>
            </w:r>
            <w:r w:rsidRPr="00F056F9">
              <w:rPr>
                <w:rFonts w:ascii="Cambria" w:hAnsi="Cambria"/>
                <w:sz w:val="20"/>
                <w:szCs w:val="20"/>
              </w:rPr>
              <w:t xml:space="preserve"> Finalización y validación interna del manual de transición de personal.</w:t>
            </w:r>
          </w:p>
          <w:p w14:paraId="1A229226" w14:textId="77777777" w:rsidR="001862FB" w:rsidRPr="00F056F9" w:rsidRDefault="001862FB" w:rsidP="001862FB">
            <w:pPr>
              <w:numPr>
                <w:ilvl w:val="0"/>
                <w:numId w:val="12"/>
              </w:numPr>
              <w:spacing w:after="160"/>
              <w:rPr>
                <w:rFonts w:ascii="Cambria" w:hAnsi="Cambria"/>
                <w:sz w:val="20"/>
                <w:szCs w:val="20"/>
              </w:rPr>
            </w:pPr>
            <w:r w:rsidRPr="00F056F9">
              <w:rPr>
                <w:rFonts w:ascii="Cambria" w:hAnsi="Cambria"/>
                <w:b/>
                <w:bCs/>
                <w:sz w:val="20"/>
                <w:szCs w:val="20"/>
              </w:rPr>
              <w:t>Mayo 2026:</w:t>
            </w:r>
            <w:r w:rsidRPr="00F056F9">
              <w:rPr>
                <w:rFonts w:ascii="Cambria" w:hAnsi="Cambria"/>
                <w:sz w:val="20"/>
                <w:szCs w:val="20"/>
              </w:rPr>
              <w:t xml:space="preserve"> Aprobación oficial del manual mediante resolución administrativa de la Dirección General.</w:t>
            </w:r>
          </w:p>
          <w:p w14:paraId="3B4D7580" w14:textId="77777777" w:rsidR="001862FB" w:rsidRPr="00F056F9" w:rsidRDefault="001862FB" w:rsidP="001862FB">
            <w:pPr>
              <w:numPr>
                <w:ilvl w:val="0"/>
                <w:numId w:val="12"/>
              </w:numPr>
              <w:spacing w:after="160"/>
              <w:rPr>
                <w:rFonts w:ascii="Cambria" w:hAnsi="Cambria"/>
                <w:sz w:val="20"/>
                <w:szCs w:val="20"/>
              </w:rPr>
            </w:pPr>
            <w:r w:rsidRPr="00F056F9">
              <w:rPr>
                <w:rFonts w:ascii="Cambria" w:hAnsi="Cambria"/>
                <w:b/>
                <w:bCs/>
                <w:sz w:val="20"/>
                <w:szCs w:val="20"/>
              </w:rPr>
              <w:t>Junio 2026:</w:t>
            </w:r>
            <w:r w:rsidRPr="00F056F9">
              <w:rPr>
                <w:rFonts w:ascii="Cambria" w:hAnsi="Cambria"/>
                <w:sz w:val="20"/>
                <w:szCs w:val="20"/>
              </w:rPr>
              <w:t xml:space="preserve"> Implementación obligatoria del manual en todos los cambios de personal.</w:t>
            </w:r>
          </w:p>
          <w:p w14:paraId="25A18419" w14:textId="77777777" w:rsidR="001862FB" w:rsidRPr="00F056F9" w:rsidRDefault="001862FB" w:rsidP="001862FB">
            <w:pPr>
              <w:numPr>
                <w:ilvl w:val="0"/>
                <w:numId w:val="12"/>
              </w:numPr>
              <w:spacing w:after="160"/>
              <w:rPr>
                <w:rFonts w:ascii="Cambria" w:hAnsi="Cambria"/>
                <w:sz w:val="20"/>
                <w:szCs w:val="20"/>
              </w:rPr>
            </w:pPr>
            <w:r w:rsidRPr="00F056F9">
              <w:rPr>
                <w:rFonts w:ascii="Cambria" w:hAnsi="Cambria"/>
                <w:b/>
                <w:bCs/>
                <w:sz w:val="20"/>
                <w:szCs w:val="20"/>
              </w:rPr>
              <w:t>Acción efectiva:</w:t>
            </w:r>
            <w:r w:rsidRPr="00F056F9">
              <w:rPr>
                <w:rFonts w:ascii="Cambria" w:hAnsi="Cambria"/>
                <w:sz w:val="20"/>
                <w:szCs w:val="20"/>
              </w:rPr>
              <w:t xml:space="preserve"> Desde mayo 2026, con aplicación formal en la institución.</w:t>
            </w:r>
          </w:p>
          <w:p w14:paraId="40556955" w14:textId="77777777" w:rsidR="001862FB" w:rsidRPr="00F056F9" w:rsidRDefault="001862FB" w:rsidP="001862FB">
            <w:pPr>
              <w:spacing w:after="160"/>
              <w:rPr>
                <w:rFonts w:ascii="Cambria" w:hAnsi="Cambria"/>
                <w:sz w:val="20"/>
                <w:szCs w:val="20"/>
              </w:rPr>
            </w:pPr>
            <w:r w:rsidRPr="00F056F9">
              <w:rPr>
                <w:rFonts w:ascii="Cambria" w:hAnsi="Cambria"/>
                <w:b/>
                <w:bCs/>
                <w:sz w:val="20"/>
                <w:szCs w:val="20"/>
              </w:rPr>
              <w:t>4. Optimización del Monitoreo de Indicadores de Cumplimiento</w:t>
            </w:r>
          </w:p>
          <w:p w14:paraId="27B6A8D6" w14:textId="77777777" w:rsidR="001862FB" w:rsidRPr="00F056F9" w:rsidRDefault="001862FB" w:rsidP="001862FB">
            <w:pPr>
              <w:numPr>
                <w:ilvl w:val="0"/>
                <w:numId w:val="13"/>
              </w:numPr>
              <w:spacing w:after="160"/>
              <w:rPr>
                <w:rFonts w:ascii="Cambria" w:hAnsi="Cambria"/>
                <w:sz w:val="20"/>
                <w:szCs w:val="20"/>
              </w:rPr>
            </w:pPr>
            <w:r w:rsidRPr="00F056F9">
              <w:rPr>
                <w:rFonts w:ascii="Cambria" w:hAnsi="Cambria"/>
                <w:b/>
                <w:bCs/>
                <w:sz w:val="20"/>
                <w:szCs w:val="20"/>
              </w:rPr>
              <w:t>Enero 2026:</w:t>
            </w:r>
            <w:r w:rsidRPr="00F056F9">
              <w:rPr>
                <w:rFonts w:ascii="Cambria" w:hAnsi="Cambria"/>
                <w:sz w:val="20"/>
                <w:szCs w:val="20"/>
              </w:rPr>
              <w:t xml:space="preserve"> Designación oficial del coordinador responsable del monitoreo de indicadores.</w:t>
            </w:r>
          </w:p>
          <w:p w14:paraId="2577F41C" w14:textId="77777777" w:rsidR="001862FB" w:rsidRPr="00F056F9" w:rsidRDefault="001862FB" w:rsidP="001862FB">
            <w:pPr>
              <w:numPr>
                <w:ilvl w:val="0"/>
                <w:numId w:val="13"/>
              </w:numPr>
              <w:spacing w:after="160"/>
              <w:rPr>
                <w:rFonts w:ascii="Cambria" w:hAnsi="Cambria"/>
                <w:sz w:val="20"/>
                <w:szCs w:val="20"/>
              </w:rPr>
            </w:pPr>
            <w:r w:rsidRPr="00F056F9">
              <w:rPr>
                <w:rFonts w:ascii="Cambria" w:hAnsi="Cambria"/>
                <w:b/>
                <w:bCs/>
                <w:sz w:val="20"/>
                <w:szCs w:val="20"/>
              </w:rPr>
              <w:t>Marzo 2026:</w:t>
            </w:r>
            <w:r w:rsidRPr="00F056F9">
              <w:rPr>
                <w:rFonts w:ascii="Cambria" w:hAnsi="Cambria"/>
                <w:sz w:val="20"/>
                <w:szCs w:val="20"/>
              </w:rPr>
              <w:t xml:space="preserve"> Primer informe trimestral consolidado sobre cumplimiento ante CICAA.</w:t>
            </w:r>
          </w:p>
          <w:p w14:paraId="05DC8BE6" w14:textId="77777777" w:rsidR="001862FB" w:rsidRPr="00F056F9" w:rsidRDefault="001862FB" w:rsidP="001862FB">
            <w:pPr>
              <w:numPr>
                <w:ilvl w:val="0"/>
                <w:numId w:val="13"/>
              </w:numPr>
              <w:spacing w:after="160"/>
              <w:rPr>
                <w:rFonts w:ascii="Cambria" w:hAnsi="Cambria"/>
                <w:sz w:val="20"/>
                <w:szCs w:val="20"/>
              </w:rPr>
            </w:pPr>
            <w:r w:rsidRPr="00F056F9">
              <w:rPr>
                <w:rFonts w:ascii="Cambria" w:hAnsi="Cambria"/>
                <w:b/>
                <w:bCs/>
                <w:sz w:val="20"/>
                <w:szCs w:val="20"/>
              </w:rPr>
              <w:t>Junio, septiembre y diciembre 2026:</w:t>
            </w:r>
            <w:r w:rsidRPr="00F056F9">
              <w:rPr>
                <w:rFonts w:ascii="Cambria" w:hAnsi="Cambria"/>
                <w:sz w:val="20"/>
                <w:szCs w:val="20"/>
              </w:rPr>
              <w:t xml:space="preserve"> Informes trimestrales de seguimiento, con recomendaciones de mejora y aplicación de medidas correctivas cuando corresponda.</w:t>
            </w:r>
          </w:p>
          <w:p w14:paraId="2A2C3BC3" w14:textId="4FE40B4F" w:rsidR="00B07398" w:rsidRPr="001862FB" w:rsidRDefault="001862FB" w:rsidP="001862FB">
            <w:pPr>
              <w:numPr>
                <w:ilvl w:val="0"/>
                <w:numId w:val="13"/>
              </w:numPr>
              <w:spacing w:after="160"/>
              <w:rPr>
                <w:rFonts w:ascii="Cambria" w:hAnsi="Cambria"/>
                <w:sz w:val="20"/>
                <w:szCs w:val="20"/>
              </w:rPr>
            </w:pPr>
            <w:r w:rsidRPr="00F056F9">
              <w:rPr>
                <w:rFonts w:ascii="Cambria" w:hAnsi="Cambria"/>
                <w:b/>
                <w:bCs/>
                <w:sz w:val="20"/>
                <w:szCs w:val="20"/>
              </w:rPr>
              <w:t>Acción efectiva:</w:t>
            </w:r>
            <w:r w:rsidRPr="00F056F9">
              <w:rPr>
                <w:rFonts w:ascii="Cambria" w:hAnsi="Cambria"/>
                <w:sz w:val="20"/>
                <w:szCs w:val="20"/>
              </w:rPr>
              <w:t xml:space="preserve"> Desde marzo 2026, con informes regulares cada trimestre.</w:t>
            </w:r>
          </w:p>
        </w:tc>
      </w:tr>
      <w:tr w:rsidR="00F81C38" w:rsidRPr="00C831F6" w14:paraId="4AA7993C" w14:textId="77777777" w:rsidTr="00C627AC">
        <w:trPr>
          <w:trHeight w:val="216"/>
          <w:jc w:val="center"/>
        </w:trPr>
        <w:tc>
          <w:tcPr>
            <w:tcW w:w="9833" w:type="dxa"/>
            <w:shd w:val="pct12" w:color="auto" w:fill="auto"/>
          </w:tcPr>
          <w:p w14:paraId="00B569C7" w14:textId="0567F5DD" w:rsidR="00F81C38" w:rsidRPr="00C831F6" w:rsidRDefault="00F81C38" w:rsidP="00C627AC">
            <w:pPr>
              <w:widowControl w:val="0"/>
              <w:autoSpaceDE w:val="0"/>
              <w:autoSpaceDN w:val="0"/>
              <w:adjustRightInd w:val="0"/>
              <w:spacing w:before="40"/>
              <w:rPr>
                <w:rFonts w:ascii="Cambria" w:eastAsia="Calibri" w:hAnsi="Cambria" w:cs="Times New Roman"/>
                <w:sz w:val="18"/>
                <w:szCs w:val="18"/>
              </w:rPr>
            </w:pPr>
            <w:r w:rsidRPr="00C831F6">
              <w:rPr>
                <w:rFonts w:ascii="Cambria" w:hAnsi="Cambria"/>
                <w:b/>
                <w:sz w:val="20"/>
              </w:rPr>
              <w:lastRenderedPageBreak/>
              <w:t>MEJORAS / RESULTADOS PREVISTOS PARA EL AÑO</w:t>
            </w:r>
            <w:r w:rsidR="00F54E21" w:rsidRPr="00C831F6">
              <w:rPr>
                <w:rFonts w:ascii="Cambria" w:hAnsi="Cambria"/>
                <w:b/>
                <w:sz w:val="20"/>
              </w:rPr>
              <w:t xml:space="preserve"> SIGUIENTE</w:t>
            </w:r>
          </w:p>
        </w:tc>
      </w:tr>
      <w:tr w:rsidR="00F81C38" w:rsidRPr="00C831F6" w14:paraId="322B539A" w14:textId="77777777" w:rsidTr="00C627AC">
        <w:trPr>
          <w:trHeight w:val="2304"/>
          <w:jc w:val="center"/>
        </w:trPr>
        <w:tc>
          <w:tcPr>
            <w:tcW w:w="9833" w:type="dxa"/>
          </w:tcPr>
          <w:p w14:paraId="1DEFFDDE" w14:textId="77777777" w:rsidR="00972F03" w:rsidRPr="00F056F9" w:rsidRDefault="00972F03" w:rsidP="00972F03">
            <w:pPr>
              <w:spacing w:after="160" w:line="278" w:lineRule="auto"/>
              <w:jc w:val="both"/>
              <w:rPr>
                <w:rFonts w:ascii="Cambria" w:hAnsi="Cambria"/>
                <w:sz w:val="20"/>
                <w:szCs w:val="20"/>
              </w:rPr>
            </w:pPr>
            <w:r w:rsidRPr="00F056F9">
              <w:rPr>
                <w:rFonts w:ascii="Cambria" w:hAnsi="Cambria"/>
                <w:sz w:val="20"/>
                <w:szCs w:val="20"/>
              </w:rPr>
              <w:t>Como resultado de la implementación del plan de acción durante 2026, Honduras prevé las siguientes mejoras cuantificables y verificables en 2027:</w:t>
            </w:r>
          </w:p>
          <w:p w14:paraId="1AEAFA4D" w14:textId="77777777" w:rsidR="00972F03" w:rsidRPr="00F056F9" w:rsidRDefault="00972F03" w:rsidP="00972F03">
            <w:pPr>
              <w:spacing w:after="160" w:line="278" w:lineRule="auto"/>
              <w:jc w:val="both"/>
              <w:rPr>
                <w:rFonts w:ascii="Cambria" w:hAnsi="Cambria"/>
                <w:b/>
                <w:bCs/>
                <w:sz w:val="20"/>
                <w:szCs w:val="20"/>
              </w:rPr>
            </w:pPr>
            <w:r w:rsidRPr="00F056F9">
              <w:rPr>
                <w:rFonts w:ascii="Cambria" w:hAnsi="Cambria"/>
                <w:b/>
                <w:bCs/>
                <w:sz w:val="20"/>
                <w:szCs w:val="20"/>
              </w:rPr>
              <w:t>1. Cumplimiento en la entrega de informes y formularios</w:t>
            </w:r>
          </w:p>
          <w:p w14:paraId="43912ED8" w14:textId="77777777" w:rsidR="00972F03" w:rsidRPr="00F056F9" w:rsidRDefault="00972F03" w:rsidP="00972F03">
            <w:pPr>
              <w:numPr>
                <w:ilvl w:val="0"/>
                <w:numId w:val="14"/>
              </w:numPr>
              <w:spacing w:after="160" w:line="278" w:lineRule="auto"/>
              <w:jc w:val="both"/>
              <w:rPr>
                <w:rFonts w:ascii="Cambria" w:hAnsi="Cambria"/>
                <w:sz w:val="20"/>
                <w:szCs w:val="20"/>
              </w:rPr>
            </w:pPr>
            <w:r w:rsidRPr="00F056F9">
              <w:rPr>
                <w:rFonts w:ascii="Cambria" w:hAnsi="Cambria"/>
                <w:sz w:val="20"/>
                <w:szCs w:val="20"/>
              </w:rPr>
              <w:t>Reducción del 100% en los retrasos de entrega de informes anuales y formularios requeridos por la CICAA.</w:t>
            </w:r>
          </w:p>
          <w:p w14:paraId="33BEEA43" w14:textId="77777777" w:rsidR="00972F03" w:rsidRPr="00F056F9" w:rsidRDefault="00972F03" w:rsidP="00972F03">
            <w:pPr>
              <w:numPr>
                <w:ilvl w:val="0"/>
                <w:numId w:val="14"/>
              </w:numPr>
              <w:spacing w:after="160" w:line="278" w:lineRule="auto"/>
              <w:jc w:val="both"/>
              <w:rPr>
                <w:rFonts w:ascii="Cambria" w:hAnsi="Cambria"/>
                <w:sz w:val="20"/>
                <w:szCs w:val="20"/>
              </w:rPr>
            </w:pPr>
            <w:r w:rsidRPr="00F056F9">
              <w:rPr>
                <w:rFonts w:ascii="Cambria" w:hAnsi="Cambria"/>
                <w:sz w:val="20"/>
                <w:szCs w:val="20"/>
              </w:rPr>
              <w:t>Al menos el 95% de los compromisos reportados dentro de los plazos establecidos por el sistema IOMS.</w:t>
            </w:r>
          </w:p>
          <w:p w14:paraId="3E2DE55B" w14:textId="77777777" w:rsidR="00972F03" w:rsidRPr="00F056F9" w:rsidRDefault="00972F03" w:rsidP="00972F03">
            <w:pPr>
              <w:spacing w:after="160" w:line="278" w:lineRule="auto"/>
              <w:jc w:val="both"/>
              <w:rPr>
                <w:rFonts w:ascii="Cambria" w:hAnsi="Cambria"/>
                <w:b/>
                <w:bCs/>
                <w:sz w:val="20"/>
                <w:szCs w:val="20"/>
              </w:rPr>
            </w:pPr>
            <w:r w:rsidRPr="00F056F9">
              <w:rPr>
                <w:rFonts w:ascii="Cambria" w:hAnsi="Cambria"/>
                <w:b/>
                <w:bCs/>
                <w:sz w:val="20"/>
                <w:szCs w:val="20"/>
              </w:rPr>
              <w:t>2. Fortalecimiento de capacidades institucionales</w:t>
            </w:r>
          </w:p>
          <w:p w14:paraId="01C4A5CF" w14:textId="77777777" w:rsidR="00972F03" w:rsidRPr="00F056F9" w:rsidRDefault="00972F03" w:rsidP="00972F03">
            <w:pPr>
              <w:numPr>
                <w:ilvl w:val="0"/>
                <w:numId w:val="15"/>
              </w:numPr>
              <w:spacing w:after="160" w:line="278" w:lineRule="auto"/>
              <w:jc w:val="both"/>
              <w:rPr>
                <w:rFonts w:ascii="Cambria" w:hAnsi="Cambria"/>
                <w:sz w:val="20"/>
                <w:szCs w:val="20"/>
              </w:rPr>
            </w:pPr>
            <w:r w:rsidRPr="00F056F9">
              <w:rPr>
                <w:rFonts w:ascii="Cambria" w:hAnsi="Cambria"/>
                <w:sz w:val="20"/>
                <w:szCs w:val="20"/>
              </w:rPr>
              <w:t>100% del personal técnico y administrativo de DIGEPESCA capacitado en el uso del sistema IOMS y en la preparación de informes estadísticos.</w:t>
            </w:r>
          </w:p>
          <w:p w14:paraId="7019B031" w14:textId="77777777" w:rsidR="00972F03" w:rsidRPr="00F056F9" w:rsidRDefault="00972F03" w:rsidP="00972F03">
            <w:pPr>
              <w:numPr>
                <w:ilvl w:val="0"/>
                <w:numId w:val="15"/>
              </w:numPr>
              <w:spacing w:after="160" w:line="278" w:lineRule="auto"/>
              <w:jc w:val="both"/>
              <w:rPr>
                <w:rFonts w:ascii="Cambria" w:hAnsi="Cambria"/>
                <w:sz w:val="20"/>
                <w:szCs w:val="20"/>
              </w:rPr>
            </w:pPr>
            <w:r w:rsidRPr="00F056F9">
              <w:rPr>
                <w:rFonts w:ascii="Cambria" w:hAnsi="Cambria"/>
                <w:sz w:val="20"/>
                <w:szCs w:val="20"/>
              </w:rPr>
              <w:t>Disponibilidad de un manual de capacitación y de transición institucionalizado, utilizado en todos los procesos de entrega–recepción de personal.</w:t>
            </w:r>
          </w:p>
          <w:p w14:paraId="24893846" w14:textId="77777777" w:rsidR="00972F03" w:rsidRPr="00F056F9" w:rsidRDefault="00972F03" w:rsidP="00972F03">
            <w:pPr>
              <w:spacing w:after="160" w:line="278" w:lineRule="auto"/>
              <w:jc w:val="both"/>
              <w:rPr>
                <w:rFonts w:ascii="Cambria" w:hAnsi="Cambria"/>
                <w:b/>
                <w:bCs/>
                <w:sz w:val="20"/>
                <w:szCs w:val="20"/>
              </w:rPr>
            </w:pPr>
            <w:r w:rsidRPr="00F056F9">
              <w:rPr>
                <w:rFonts w:ascii="Cambria" w:hAnsi="Cambria"/>
                <w:b/>
                <w:bCs/>
                <w:sz w:val="20"/>
                <w:szCs w:val="20"/>
              </w:rPr>
              <w:t>3. Mejora en la gestión de datos estadísticos</w:t>
            </w:r>
          </w:p>
          <w:p w14:paraId="3F409232" w14:textId="77777777" w:rsidR="00972F03" w:rsidRPr="00F056F9" w:rsidRDefault="00972F03" w:rsidP="00972F03">
            <w:pPr>
              <w:numPr>
                <w:ilvl w:val="0"/>
                <w:numId w:val="16"/>
              </w:numPr>
              <w:spacing w:after="160" w:line="278" w:lineRule="auto"/>
              <w:jc w:val="both"/>
              <w:rPr>
                <w:rFonts w:ascii="Cambria" w:hAnsi="Cambria"/>
                <w:sz w:val="20"/>
                <w:szCs w:val="20"/>
              </w:rPr>
            </w:pPr>
            <w:r w:rsidRPr="00F056F9">
              <w:rPr>
                <w:rFonts w:ascii="Cambria" w:hAnsi="Cambria"/>
                <w:sz w:val="20"/>
                <w:szCs w:val="20"/>
              </w:rPr>
              <w:t>Consolidación de una base de datos validada y actualizada trimestralmente, disponible para su uso en análisis y reportes internacionales.</w:t>
            </w:r>
          </w:p>
          <w:p w14:paraId="2B356DEB" w14:textId="77777777" w:rsidR="00972F03" w:rsidRPr="00F056F9" w:rsidRDefault="00972F03" w:rsidP="00972F03">
            <w:pPr>
              <w:numPr>
                <w:ilvl w:val="0"/>
                <w:numId w:val="16"/>
              </w:numPr>
              <w:spacing w:after="160" w:line="278" w:lineRule="auto"/>
              <w:jc w:val="both"/>
              <w:rPr>
                <w:rFonts w:ascii="Cambria" w:hAnsi="Cambria"/>
                <w:sz w:val="20"/>
                <w:szCs w:val="20"/>
              </w:rPr>
            </w:pPr>
            <w:r w:rsidRPr="00F056F9">
              <w:rPr>
                <w:rFonts w:ascii="Cambria" w:hAnsi="Cambria"/>
                <w:sz w:val="20"/>
                <w:szCs w:val="20"/>
              </w:rPr>
              <w:t>Reducción de errores o inconsistencias en los formularios reportados a la CICAA en al menos un 80% respecto a 2025.</w:t>
            </w:r>
          </w:p>
          <w:p w14:paraId="3BC69D79" w14:textId="77777777" w:rsidR="00972F03" w:rsidRPr="00F056F9" w:rsidRDefault="00972F03" w:rsidP="00972F03">
            <w:pPr>
              <w:spacing w:after="160" w:line="278" w:lineRule="auto"/>
              <w:jc w:val="both"/>
              <w:rPr>
                <w:rFonts w:ascii="Cambria" w:hAnsi="Cambria"/>
                <w:b/>
                <w:bCs/>
                <w:sz w:val="20"/>
                <w:szCs w:val="20"/>
              </w:rPr>
            </w:pPr>
            <w:r w:rsidRPr="00F056F9">
              <w:rPr>
                <w:rFonts w:ascii="Cambria" w:hAnsi="Cambria"/>
                <w:b/>
                <w:bCs/>
                <w:sz w:val="20"/>
                <w:szCs w:val="20"/>
              </w:rPr>
              <w:t>4. Eficiencia en el monitoreo de compromisos</w:t>
            </w:r>
          </w:p>
          <w:p w14:paraId="4D940146" w14:textId="77777777" w:rsidR="00972F03" w:rsidRPr="00F056F9" w:rsidRDefault="00972F03" w:rsidP="00972F03">
            <w:pPr>
              <w:numPr>
                <w:ilvl w:val="0"/>
                <w:numId w:val="17"/>
              </w:numPr>
              <w:spacing w:after="160" w:line="278" w:lineRule="auto"/>
              <w:jc w:val="both"/>
              <w:rPr>
                <w:rFonts w:ascii="Cambria" w:hAnsi="Cambria"/>
                <w:sz w:val="20"/>
                <w:szCs w:val="20"/>
              </w:rPr>
            </w:pPr>
            <w:r w:rsidRPr="00F056F9">
              <w:rPr>
                <w:rFonts w:ascii="Cambria" w:hAnsi="Cambria"/>
                <w:sz w:val="20"/>
                <w:szCs w:val="20"/>
              </w:rPr>
              <w:t>Generación y presentación de informes trimestrales consolidados en 2026, lo que permitirá iniciar 2027 con un sistema de monitoreo estable.</w:t>
            </w:r>
          </w:p>
          <w:p w14:paraId="1AAE7781" w14:textId="5BB62806" w:rsidR="00F81C38" w:rsidRPr="00972F03" w:rsidRDefault="00972F03" w:rsidP="00972F03">
            <w:pPr>
              <w:numPr>
                <w:ilvl w:val="0"/>
                <w:numId w:val="17"/>
              </w:numPr>
              <w:spacing w:after="160" w:line="278" w:lineRule="auto"/>
              <w:jc w:val="both"/>
              <w:rPr>
                <w:rFonts w:ascii="Cambria" w:hAnsi="Cambria"/>
                <w:sz w:val="20"/>
                <w:szCs w:val="20"/>
              </w:rPr>
            </w:pPr>
            <w:r w:rsidRPr="00F056F9">
              <w:rPr>
                <w:rFonts w:ascii="Cambria" w:hAnsi="Cambria"/>
                <w:sz w:val="20"/>
                <w:szCs w:val="20"/>
              </w:rPr>
              <w:t>Identificación temprana y corrección de incumplimientos menores antes de su acumulación, reduciendo el riesgo de observaciones formales por parte del Comité de Cumplimiento.</w:t>
            </w:r>
          </w:p>
        </w:tc>
      </w:tr>
      <w:tr w:rsidR="00F81C38" w:rsidRPr="00C831F6" w14:paraId="151C6976" w14:textId="77777777" w:rsidTr="00C627AC">
        <w:trPr>
          <w:trHeight w:val="216"/>
          <w:jc w:val="center"/>
        </w:trPr>
        <w:tc>
          <w:tcPr>
            <w:tcW w:w="9833" w:type="dxa"/>
            <w:shd w:val="pct12" w:color="auto" w:fill="auto"/>
          </w:tcPr>
          <w:p w14:paraId="4332F637" w14:textId="77777777" w:rsidR="00F81C38" w:rsidRPr="00C831F6" w:rsidRDefault="00F81C38" w:rsidP="00C627AC">
            <w:pPr>
              <w:widowControl w:val="0"/>
              <w:autoSpaceDE w:val="0"/>
              <w:autoSpaceDN w:val="0"/>
              <w:adjustRightInd w:val="0"/>
              <w:spacing w:before="40"/>
              <w:rPr>
                <w:rFonts w:ascii="Cambria" w:eastAsia="Calibri" w:hAnsi="Cambria" w:cs="Times New Roman"/>
                <w:sz w:val="18"/>
                <w:szCs w:val="18"/>
              </w:rPr>
            </w:pPr>
            <w:r w:rsidRPr="00C831F6">
              <w:rPr>
                <w:rFonts w:ascii="Cambria" w:hAnsi="Cambria"/>
                <w:b/>
                <w:sz w:val="20"/>
              </w:rPr>
              <w:t>DIFICULTADES ENCONTRADAS / ACCIONES ALTERNATIVAS EMPRENDIDAS</w:t>
            </w:r>
          </w:p>
        </w:tc>
      </w:tr>
      <w:tr w:rsidR="00F81C38" w:rsidRPr="00C831F6" w14:paraId="5A74D8CC" w14:textId="77777777" w:rsidTr="00C627AC">
        <w:trPr>
          <w:trHeight w:val="2304"/>
          <w:jc w:val="center"/>
        </w:trPr>
        <w:tc>
          <w:tcPr>
            <w:tcW w:w="9833" w:type="dxa"/>
          </w:tcPr>
          <w:p w14:paraId="69A2B7C2" w14:textId="77777777" w:rsidR="00397D40" w:rsidRPr="0090303A" w:rsidRDefault="00397D40" w:rsidP="00397D40">
            <w:pPr>
              <w:spacing w:after="160"/>
              <w:rPr>
                <w:rFonts w:ascii="Cambria" w:hAnsi="Cambria"/>
                <w:sz w:val="20"/>
                <w:szCs w:val="20"/>
              </w:rPr>
            </w:pPr>
            <w:r w:rsidRPr="0090303A">
              <w:rPr>
                <w:rFonts w:ascii="Cambria" w:hAnsi="Cambria"/>
                <w:sz w:val="20"/>
                <w:szCs w:val="20"/>
              </w:rPr>
              <w:t>Durante el período 2024–2025, Honduras enfrentó varias dificultades que afectaron la aplicación efectiva de sus compromisos ante la CICAA. Entre las principales se destacan:</w:t>
            </w:r>
          </w:p>
          <w:p w14:paraId="22706D76" w14:textId="77777777" w:rsidR="00397D40" w:rsidRPr="0090303A" w:rsidRDefault="00397D40" w:rsidP="00397D40">
            <w:pPr>
              <w:spacing w:after="160"/>
              <w:rPr>
                <w:rFonts w:ascii="Cambria" w:hAnsi="Cambria"/>
                <w:sz w:val="20"/>
                <w:szCs w:val="20"/>
              </w:rPr>
            </w:pPr>
            <w:r w:rsidRPr="0090303A">
              <w:rPr>
                <w:rFonts w:ascii="Cambria" w:hAnsi="Cambria"/>
                <w:b/>
                <w:bCs/>
                <w:sz w:val="20"/>
                <w:szCs w:val="20"/>
              </w:rPr>
              <w:t>1. Alta rotación de personal técnico y administrativo en DIGEPESCA</w:t>
            </w:r>
          </w:p>
          <w:p w14:paraId="4E24157E" w14:textId="77777777" w:rsidR="00397D40" w:rsidRPr="0090303A" w:rsidRDefault="00397D40" w:rsidP="00397D40">
            <w:pPr>
              <w:numPr>
                <w:ilvl w:val="0"/>
                <w:numId w:val="18"/>
              </w:numPr>
              <w:spacing w:after="160"/>
              <w:rPr>
                <w:rFonts w:ascii="Cambria" w:hAnsi="Cambria"/>
                <w:sz w:val="20"/>
                <w:szCs w:val="20"/>
              </w:rPr>
            </w:pPr>
            <w:r w:rsidRPr="0090303A">
              <w:rPr>
                <w:rFonts w:ascii="Cambria" w:hAnsi="Cambria"/>
                <w:i/>
                <w:iCs/>
                <w:sz w:val="20"/>
                <w:szCs w:val="20"/>
              </w:rPr>
              <w:t>Dificultad:</w:t>
            </w:r>
            <w:r w:rsidRPr="0090303A">
              <w:rPr>
                <w:rFonts w:ascii="Cambria" w:hAnsi="Cambria"/>
                <w:sz w:val="20"/>
                <w:szCs w:val="20"/>
              </w:rPr>
              <w:t xml:space="preserve"> La rotación constante provocó retrasos en la entrega de informes, pérdida de continuidad en el manejo del sistema IOMS y limitaciones en la transmisión de datos estadísticos.</w:t>
            </w:r>
          </w:p>
          <w:p w14:paraId="59596381" w14:textId="77777777" w:rsidR="00397D40" w:rsidRPr="0090303A" w:rsidRDefault="00397D40" w:rsidP="00397D40">
            <w:pPr>
              <w:numPr>
                <w:ilvl w:val="0"/>
                <w:numId w:val="18"/>
              </w:numPr>
              <w:spacing w:after="160"/>
              <w:rPr>
                <w:rFonts w:ascii="Cambria" w:hAnsi="Cambria"/>
                <w:sz w:val="20"/>
                <w:szCs w:val="20"/>
              </w:rPr>
            </w:pPr>
            <w:r w:rsidRPr="0090303A">
              <w:rPr>
                <w:rFonts w:ascii="Cambria" w:hAnsi="Cambria"/>
                <w:i/>
                <w:iCs/>
                <w:sz w:val="20"/>
                <w:szCs w:val="20"/>
              </w:rPr>
              <w:t>Acción alternativa:</w:t>
            </w:r>
            <w:r w:rsidRPr="0090303A">
              <w:rPr>
                <w:rFonts w:ascii="Cambria" w:hAnsi="Cambria"/>
                <w:sz w:val="20"/>
                <w:szCs w:val="20"/>
              </w:rPr>
              <w:t xml:space="preserve"> Creación del </w:t>
            </w:r>
            <w:r w:rsidRPr="0090303A">
              <w:rPr>
                <w:rFonts w:ascii="Cambria" w:hAnsi="Cambria"/>
                <w:b/>
                <w:bCs/>
                <w:sz w:val="20"/>
                <w:szCs w:val="20"/>
              </w:rPr>
              <w:t>Grupo Interno de Cumplimiento y Seguimiento</w:t>
            </w:r>
            <w:r w:rsidRPr="0090303A">
              <w:rPr>
                <w:rFonts w:ascii="Cambria" w:hAnsi="Cambria"/>
                <w:sz w:val="20"/>
                <w:szCs w:val="20"/>
              </w:rPr>
              <w:t>, que permitió redistribuir responsabilidades para reducir el impacto de los cambios de personal.</w:t>
            </w:r>
          </w:p>
          <w:p w14:paraId="554B38CF" w14:textId="77777777" w:rsidR="00397D40" w:rsidRPr="0090303A" w:rsidRDefault="00397D40" w:rsidP="00397D40">
            <w:pPr>
              <w:spacing w:after="160"/>
              <w:rPr>
                <w:rFonts w:ascii="Cambria" w:hAnsi="Cambria"/>
                <w:sz w:val="20"/>
                <w:szCs w:val="20"/>
              </w:rPr>
            </w:pPr>
            <w:r w:rsidRPr="0090303A">
              <w:rPr>
                <w:rFonts w:ascii="Cambria" w:hAnsi="Cambria"/>
                <w:b/>
                <w:bCs/>
                <w:sz w:val="20"/>
                <w:szCs w:val="20"/>
              </w:rPr>
              <w:t>2. Capacidades limitadas en el uso del sistema IOMS</w:t>
            </w:r>
          </w:p>
          <w:p w14:paraId="41CF3B16" w14:textId="77777777" w:rsidR="00397D40" w:rsidRPr="0090303A" w:rsidRDefault="00397D40" w:rsidP="00397D40">
            <w:pPr>
              <w:numPr>
                <w:ilvl w:val="0"/>
                <w:numId w:val="19"/>
              </w:numPr>
              <w:spacing w:after="160"/>
              <w:rPr>
                <w:rFonts w:ascii="Cambria" w:hAnsi="Cambria"/>
                <w:sz w:val="20"/>
                <w:szCs w:val="20"/>
              </w:rPr>
            </w:pPr>
            <w:r w:rsidRPr="0090303A">
              <w:rPr>
                <w:rFonts w:ascii="Cambria" w:hAnsi="Cambria"/>
                <w:i/>
                <w:iCs/>
                <w:sz w:val="20"/>
                <w:szCs w:val="20"/>
              </w:rPr>
              <w:t>Dificultad:</w:t>
            </w:r>
            <w:r w:rsidRPr="0090303A">
              <w:rPr>
                <w:rFonts w:ascii="Cambria" w:hAnsi="Cambria"/>
                <w:sz w:val="20"/>
                <w:szCs w:val="20"/>
              </w:rPr>
              <w:t xml:space="preserve"> Parte del personal carecía de la capacitación necesaria para el manejo adecuado del sistema</w:t>
            </w:r>
            <w:r w:rsidRPr="00397D40">
              <w:rPr>
                <w:rFonts w:ascii="Cambria" w:hAnsi="Cambria"/>
                <w:sz w:val="20"/>
                <w:szCs w:val="20"/>
              </w:rPr>
              <w:t>.</w:t>
            </w:r>
          </w:p>
          <w:p w14:paraId="461A8552" w14:textId="77777777" w:rsidR="00397D40" w:rsidRPr="0090303A" w:rsidRDefault="00397D40" w:rsidP="00397D40">
            <w:pPr>
              <w:numPr>
                <w:ilvl w:val="0"/>
                <w:numId w:val="19"/>
              </w:numPr>
              <w:spacing w:after="160"/>
              <w:rPr>
                <w:rFonts w:ascii="Cambria" w:hAnsi="Cambria"/>
                <w:sz w:val="20"/>
                <w:szCs w:val="20"/>
              </w:rPr>
            </w:pPr>
            <w:r w:rsidRPr="0090303A">
              <w:rPr>
                <w:rFonts w:ascii="Cambria" w:hAnsi="Cambria"/>
                <w:i/>
                <w:iCs/>
                <w:sz w:val="20"/>
                <w:szCs w:val="20"/>
              </w:rPr>
              <w:t>Acción alternativa:</w:t>
            </w:r>
            <w:r w:rsidRPr="0090303A">
              <w:rPr>
                <w:rFonts w:ascii="Cambria" w:hAnsi="Cambria"/>
                <w:sz w:val="20"/>
                <w:szCs w:val="20"/>
              </w:rPr>
              <w:t xml:space="preserve"> Implementación de un programa de capacitaciones internas liderado por el Grupo Interno, orientado a fortalecer el conocimiento en IOMS, la gestión de datos y la preparación de informes.</w:t>
            </w:r>
          </w:p>
          <w:p w14:paraId="02797BD3" w14:textId="77777777" w:rsidR="00397D40" w:rsidRPr="0090303A" w:rsidRDefault="00397D40" w:rsidP="00397D40">
            <w:pPr>
              <w:spacing w:after="160"/>
              <w:rPr>
                <w:rFonts w:ascii="Cambria" w:hAnsi="Cambria"/>
                <w:sz w:val="20"/>
                <w:szCs w:val="20"/>
              </w:rPr>
            </w:pPr>
            <w:r w:rsidRPr="0090303A">
              <w:rPr>
                <w:rFonts w:ascii="Cambria" w:hAnsi="Cambria"/>
                <w:b/>
                <w:bCs/>
                <w:sz w:val="20"/>
                <w:szCs w:val="20"/>
              </w:rPr>
              <w:t>3. Falta de procedimientos estandarizados de transición de funciones</w:t>
            </w:r>
          </w:p>
          <w:p w14:paraId="099009C0" w14:textId="77777777" w:rsidR="00397D40" w:rsidRPr="0090303A" w:rsidRDefault="00397D40" w:rsidP="00397D40">
            <w:pPr>
              <w:numPr>
                <w:ilvl w:val="0"/>
                <w:numId w:val="20"/>
              </w:numPr>
              <w:spacing w:after="160"/>
              <w:rPr>
                <w:rFonts w:ascii="Cambria" w:hAnsi="Cambria"/>
                <w:sz w:val="20"/>
                <w:szCs w:val="20"/>
              </w:rPr>
            </w:pPr>
            <w:r w:rsidRPr="0090303A">
              <w:rPr>
                <w:rFonts w:ascii="Cambria" w:hAnsi="Cambria"/>
                <w:i/>
                <w:iCs/>
                <w:sz w:val="20"/>
                <w:szCs w:val="20"/>
              </w:rPr>
              <w:t>Dificultad:</w:t>
            </w:r>
            <w:r w:rsidRPr="0090303A">
              <w:rPr>
                <w:rFonts w:ascii="Cambria" w:hAnsi="Cambria"/>
                <w:sz w:val="20"/>
                <w:szCs w:val="20"/>
              </w:rPr>
              <w:t xml:space="preserve"> La ausencia de protocolos claros durante los relevos de personal ocasionó retrasos en la entrega-recepción de información y en el cumplimiento de compromisos internacionales.</w:t>
            </w:r>
          </w:p>
          <w:p w14:paraId="75D2B1C9" w14:textId="77777777" w:rsidR="00397D40" w:rsidRPr="0090303A" w:rsidRDefault="00397D40" w:rsidP="00397D40">
            <w:pPr>
              <w:numPr>
                <w:ilvl w:val="0"/>
                <w:numId w:val="20"/>
              </w:numPr>
              <w:spacing w:after="160"/>
              <w:rPr>
                <w:rFonts w:ascii="Cambria" w:hAnsi="Cambria"/>
                <w:sz w:val="20"/>
                <w:szCs w:val="20"/>
              </w:rPr>
            </w:pPr>
            <w:r w:rsidRPr="0090303A">
              <w:rPr>
                <w:rFonts w:ascii="Cambria" w:hAnsi="Cambria"/>
                <w:i/>
                <w:iCs/>
                <w:sz w:val="20"/>
                <w:szCs w:val="20"/>
              </w:rPr>
              <w:lastRenderedPageBreak/>
              <w:t>Acción alternativa:</w:t>
            </w:r>
            <w:r w:rsidRPr="0090303A">
              <w:rPr>
                <w:rFonts w:ascii="Cambria" w:hAnsi="Cambria"/>
                <w:sz w:val="20"/>
                <w:szCs w:val="20"/>
              </w:rPr>
              <w:t xml:space="preserve"> Inicio del proceso de elaboración de un manual de transición, actualmente en desarrollo, que busca asegurar la continuidad institucional y evitar pérdida de información en cambios futuros.</w:t>
            </w:r>
          </w:p>
          <w:p w14:paraId="2EFB7535" w14:textId="77777777" w:rsidR="00397D40" w:rsidRPr="0090303A" w:rsidRDefault="00397D40" w:rsidP="00397D40">
            <w:pPr>
              <w:spacing w:after="160"/>
              <w:rPr>
                <w:rFonts w:ascii="Cambria" w:hAnsi="Cambria"/>
                <w:sz w:val="20"/>
                <w:szCs w:val="20"/>
              </w:rPr>
            </w:pPr>
            <w:r w:rsidRPr="0090303A">
              <w:rPr>
                <w:rFonts w:ascii="Cambria" w:hAnsi="Cambria"/>
                <w:b/>
                <w:bCs/>
                <w:sz w:val="20"/>
                <w:szCs w:val="20"/>
              </w:rPr>
              <w:t>4. Sobrecarga laboral en el monitoreo de compromisos</w:t>
            </w:r>
          </w:p>
          <w:p w14:paraId="7FCC2CEB" w14:textId="77777777" w:rsidR="00397D40" w:rsidRPr="0090303A" w:rsidRDefault="00397D40" w:rsidP="00397D40">
            <w:pPr>
              <w:numPr>
                <w:ilvl w:val="0"/>
                <w:numId w:val="21"/>
              </w:numPr>
              <w:spacing w:after="160"/>
              <w:rPr>
                <w:rFonts w:ascii="Cambria" w:hAnsi="Cambria"/>
                <w:sz w:val="20"/>
                <w:szCs w:val="20"/>
              </w:rPr>
            </w:pPr>
            <w:r w:rsidRPr="0090303A">
              <w:rPr>
                <w:rFonts w:ascii="Cambria" w:hAnsi="Cambria"/>
                <w:i/>
                <w:iCs/>
                <w:sz w:val="20"/>
                <w:szCs w:val="20"/>
              </w:rPr>
              <w:t>Dificultad:</w:t>
            </w:r>
            <w:r w:rsidRPr="0090303A">
              <w:rPr>
                <w:rFonts w:ascii="Cambria" w:hAnsi="Cambria"/>
                <w:sz w:val="20"/>
                <w:szCs w:val="20"/>
              </w:rPr>
              <w:t xml:space="preserve"> Aunque cuatro técnicos participan en el seguimiento de indicadores de cumplimiento, las múltiples responsabilidades redujeron la capacidad de emitir informes de manera puntual.</w:t>
            </w:r>
          </w:p>
          <w:p w14:paraId="56E43C30" w14:textId="77777777" w:rsidR="00397D40" w:rsidRPr="0090303A" w:rsidRDefault="00397D40" w:rsidP="00397D40">
            <w:pPr>
              <w:numPr>
                <w:ilvl w:val="0"/>
                <w:numId w:val="21"/>
              </w:numPr>
              <w:spacing w:after="160"/>
              <w:rPr>
                <w:rFonts w:ascii="Cambria" w:hAnsi="Cambria"/>
                <w:sz w:val="20"/>
                <w:szCs w:val="20"/>
              </w:rPr>
            </w:pPr>
            <w:r w:rsidRPr="0090303A">
              <w:rPr>
                <w:rFonts w:ascii="Cambria" w:hAnsi="Cambria"/>
                <w:i/>
                <w:iCs/>
                <w:sz w:val="20"/>
                <w:szCs w:val="20"/>
              </w:rPr>
              <w:t>Acción alternativa:</w:t>
            </w:r>
            <w:r w:rsidRPr="0090303A">
              <w:rPr>
                <w:rFonts w:ascii="Cambria" w:hAnsi="Cambria"/>
                <w:sz w:val="20"/>
                <w:szCs w:val="20"/>
              </w:rPr>
              <w:t xml:space="preserve"> Distribución de tareas dentro del Grupo Interno y establecimiento de un calendario preliminar de revisiones periódicas, lo que permitió mantener un nivel mínimo de control mientras se prepara un esquema de monitoreo más robusto para 2026.</w:t>
            </w:r>
          </w:p>
          <w:p w14:paraId="7E06804C" w14:textId="0ED70335" w:rsidR="00F81C38" w:rsidRPr="00397D40" w:rsidRDefault="00F81C38" w:rsidP="00397D40">
            <w:pPr>
              <w:widowControl w:val="0"/>
              <w:autoSpaceDE w:val="0"/>
              <w:autoSpaceDN w:val="0"/>
              <w:adjustRightInd w:val="0"/>
              <w:spacing w:before="40"/>
              <w:rPr>
                <w:rFonts w:ascii="Cambria" w:eastAsia="Calibri" w:hAnsi="Cambria" w:cs="Times New Roman"/>
                <w:sz w:val="20"/>
                <w:szCs w:val="20"/>
              </w:rPr>
            </w:pPr>
          </w:p>
        </w:tc>
      </w:tr>
      <w:tr w:rsidR="00F81C38" w:rsidRPr="00C831F6" w14:paraId="5D8D2D42" w14:textId="77777777" w:rsidTr="00C627AC">
        <w:trPr>
          <w:trHeight w:val="216"/>
          <w:jc w:val="center"/>
        </w:trPr>
        <w:tc>
          <w:tcPr>
            <w:tcW w:w="9833" w:type="dxa"/>
            <w:shd w:val="pct12" w:color="auto" w:fill="auto"/>
          </w:tcPr>
          <w:p w14:paraId="4FADE73F" w14:textId="77777777" w:rsidR="00F81C38" w:rsidRPr="00C831F6" w:rsidRDefault="00F81C38" w:rsidP="00C627AC">
            <w:pPr>
              <w:widowControl w:val="0"/>
              <w:autoSpaceDE w:val="0"/>
              <w:autoSpaceDN w:val="0"/>
              <w:adjustRightInd w:val="0"/>
              <w:spacing w:before="40"/>
              <w:rPr>
                <w:rFonts w:ascii="Cambria" w:eastAsia="Calibri" w:hAnsi="Cambria" w:cs="Times New Roman"/>
                <w:sz w:val="18"/>
                <w:szCs w:val="18"/>
              </w:rPr>
            </w:pPr>
            <w:r w:rsidRPr="00C831F6">
              <w:rPr>
                <w:rFonts w:ascii="Cambria" w:hAnsi="Cambria"/>
                <w:b/>
                <w:sz w:val="20"/>
              </w:rPr>
              <w:lastRenderedPageBreak/>
              <w:t>RESUMEN FINAL</w:t>
            </w:r>
          </w:p>
        </w:tc>
      </w:tr>
      <w:tr w:rsidR="00F81C38" w:rsidRPr="00C831F6" w14:paraId="150F5045" w14:textId="77777777" w:rsidTr="00C627AC">
        <w:trPr>
          <w:trHeight w:val="2304"/>
          <w:jc w:val="center"/>
        </w:trPr>
        <w:tc>
          <w:tcPr>
            <w:tcW w:w="9833" w:type="dxa"/>
          </w:tcPr>
          <w:p w14:paraId="76C2781A" w14:textId="77777777" w:rsidR="00072300" w:rsidRPr="0090303A" w:rsidRDefault="00072300" w:rsidP="00072300">
            <w:pPr>
              <w:spacing w:after="160" w:line="278" w:lineRule="auto"/>
              <w:jc w:val="both"/>
              <w:rPr>
                <w:rFonts w:ascii="Cambria" w:hAnsi="Cambria"/>
                <w:sz w:val="20"/>
                <w:szCs w:val="20"/>
              </w:rPr>
            </w:pPr>
            <w:r w:rsidRPr="0090303A">
              <w:rPr>
                <w:rFonts w:ascii="Cambria" w:hAnsi="Cambria"/>
                <w:sz w:val="20"/>
                <w:szCs w:val="20"/>
              </w:rPr>
              <w:t>La Comisión Internacional para la Conservación del Atún del Atlántico (CICAA) ha identificado una serie de deficiencias en el cumplimiento por parte de Honduras, incluyendo la falta de presentación del informe anual y otros documentos, así como la demora en la entrega de información sobre la captura fortuita de tortugas marinas. Estas irregularidades ponen a Honduras en riesgo de enfrentar medidas comerciales por parte de la CICAA si no se demuestran mejoras significativas para 2025. La principal causa de estas deficiencias es la alta rotación de personal en la Dirección General de Pesca y Acuicultura (DIGEPESCA), lo que ha afectado la continuidad administrativa y técnica en el manejo de sus compromisos internacionales.</w:t>
            </w:r>
          </w:p>
          <w:p w14:paraId="1D86799B" w14:textId="77777777" w:rsidR="00072300" w:rsidRPr="0090303A" w:rsidRDefault="00072300" w:rsidP="00072300">
            <w:pPr>
              <w:spacing w:after="160" w:line="278" w:lineRule="auto"/>
              <w:jc w:val="both"/>
              <w:rPr>
                <w:rFonts w:ascii="Cambria" w:hAnsi="Cambria"/>
                <w:sz w:val="20"/>
                <w:szCs w:val="20"/>
              </w:rPr>
            </w:pPr>
            <w:r w:rsidRPr="0090303A">
              <w:rPr>
                <w:rFonts w:ascii="Cambria" w:hAnsi="Cambria"/>
                <w:sz w:val="20"/>
                <w:szCs w:val="20"/>
              </w:rPr>
              <w:t>Para abordar estas deficiencias, Honduras ha desarrollado un plan de acción con el objetivo de lograr una mejora inmediata y sostenible. Este plan se centra en tres puntos principales: garantizar la puntualidad en la entrega de informes, asegurar la continuidad institucional ante cambios de personal y fortalecer los sistemas nacionales de recolección y envío de datos. Para ello, se ha creado un Grupo Interno de Cumplimiento en DIGEPESCA, el cual se reunirá mensualmente para monitorear los avances y garantizar la entrega oportuna de la información requerida por la CICAA. Además, se institucionalizará un programa de capacitación para el personal sobre el uso del sistema IOMS y la gestión de datos, lo que permitirá estandarizar los procedimientos y asegurar que el conocimiento se mantenga en la institución a pesar de la rotación de personal.</w:t>
            </w:r>
          </w:p>
          <w:p w14:paraId="0C0E20DC" w14:textId="2C3C8B94" w:rsidR="00F81C38" w:rsidRPr="00072300" w:rsidRDefault="00072300" w:rsidP="00072300">
            <w:pPr>
              <w:spacing w:after="160" w:line="278" w:lineRule="auto"/>
              <w:jc w:val="both"/>
              <w:rPr>
                <w:rFonts w:ascii="Cambria" w:hAnsi="Cambria"/>
                <w:sz w:val="20"/>
                <w:szCs w:val="20"/>
              </w:rPr>
            </w:pPr>
            <w:r w:rsidRPr="0090303A">
              <w:rPr>
                <w:rFonts w:ascii="Cambria" w:hAnsi="Cambria"/>
                <w:sz w:val="20"/>
                <w:szCs w:val="20"/>
              </w:rPr>
              <w:t>Como parte de este plan, se están desarrollando y formalizando procedimientos estandarizados de transición para garantizar una transferencia de responsabilidades sin interrupciones. Se prevé que el manual de transición de personal esté finalizado para el primer semestre de 2026. A su vez, se optimizará el monitoreo de indicadores de cumplimiento, estableciendo un calendario fijo de revisiones trimestrales y designando a un coordinador principal. Con la implementación de estas acciones, Honduras proyecta para 2027 un cumplimiento del 100% en la entrega de informes, la reducción de errores en los datos reportados y un sistema de monitoreo robusto que permita identificar y corregir cualquier incumplimiento de manera temprana, evitando así futuras observaciones de la CICAA.</w:t>
            </w:r>
          </w:p>
        </w:tc>
      </w:tr>
    </w:tbl>
    <w:p w14:paraId="246BC785" w14:textId="77777777" w:rsidR="00F81C38" w:rsidRPr="00CB6982" w:rsidRDefault="00F81C38" w:rsidP="00407995">
      <w:pPr>
        <w:widowControl w:val="0"/>
        <w:autoSpaceDE w:val="0"/>
        <w:autoSpaceDN w:val="0"/>
        <w:adjustRightInd w:val="0"/>
        <w:spacing w:after="120"/>
        <w:ind w:left="-187" w:right="-274"/>
        <w:rPr>
          <w:rFonts w:ascii="Cambria" w:eastAsia="Times New Roman" w:hAnsi="Cambria" w:cs="Times New Roman"/>
          <w:bCs/>
          <w:kern w:val="0"/>
          <w14:ligatures w14:val="none"/>
        </w:rPr>
      </w:pPr>
    </w:p>
    <w:sectPr w:rsidR="00F81C38" w:rsidRPr="00CB6982" w:rsidSect="005D664B">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851"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C1591" w14:textId="77777777" w:rsidR="005D590C" w:rsidRDefault="005D590C" w:rsidP="002A2711">
      <w:pPr>
        <w:spacing w:after="0" w:line="240" w:lineRule="auto"/>
      </w:pPr>
      <w:r>
        <w:separator/>
      </w:r>
    </w:p>
  </w:endnote>
  <w:endnote w:type="continuationSeparator" w:id="0">
    <w:p w14:paraId="7E4589C1" w14:textId="77777777" w:rsidR="005D590C" w:rsidRDefault="005D590C" w:rsidP="002A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D5214" w14:textId="77777777" w:rsidR="003F6CCB" w:rsidRDefault="003F6C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796D" w14:textId="59B3F2D2" w:rsidR="002A2711" w:rsidRPr="00EC5F5A" w:rsidRDefault="00EC5F5A" w:rsidP="00EC5F5A">
    <w:pPr>
      <w:pStyle w:val="Footer"/>
      <w:jc w:val="center"/>
      <w:rPr>
        <w:rFonts w:ascii="Cambria" w:hAnsi="Cambria"/>
        <w:sz w:val="22"/>
        <w:szCs w:val="22"/>
      </w:rPr>
    </w:pPr>
    <w:r w:rsidRPr="00EC5F5A">
      <w:rPr>
        <w:rFonts w:ascii="Cambria" w:hAnsi="Cambria"/>
        <w:sz w:val="22"/>
      </w:rPr>
      <w:fldChar w:fldCharType="begin"/>
    </w:r>
    <w:r w:rsidRPr="00EC5F5A">
      <w:rPr>
        <w:rFonts w:ascii="Cambria" w:hAnsi="Cambria"/>
        <w:sz w:val="22"/>
      </w:rPr>
      <w:instrText xml:space="preserve"> PAGE  \* Arabic  \* MERGEFORMAT </w:instrText>
    </w:r>
    <w:r w:rsidRPr="00EC5F5A">
      <w:rPr>
        <w:rFonts w:ascii="Cambria" w:hAnsi="Cambria"/>
        <w:sz w:val="22"/>
      </w:rPr>
      <w:fldChar w:fldCharType="separate"/>
    </w:r>
    <w:r w:rsidRPr="00EC5F5A">
      <w:rPr>
        <w:rFonts w:ascii="Cambria" w:hAnsi="Cambria"/>
        <w:sz w:val="22"/>
      </w:rPr>
      <w:t>1</w:t>
    </w:r>
    <w:r w:rsidRPr="00EC5F5A">
      <w:rPr>
        <w:rFonts w:ascii="Cambria" w:hAnsi="Cambria"/>
        <w:sz w:val="22"/>
      </w:rPr>
      <w:fldChar w:fldCharType="end"/>
    </w:r>
    <w:r>
      <w:rPr>
        <w:rFonts w:ascii="Cambria" w:hAnsi="Cambria"/>
        <w:sz w:val="22"/>
      </w:rPr>
      <w:t>/</w:t>
    </w:r>
    <w:r w:rsidRPr="00EC5F5A">
      <w:rPr>
        <w:rFonts w:ascii="Cambria" w:hAnsi="Cambria"/>
        <w:sz w:val="22"/>
      </w:rPr>
      <w:fldChar w:fldCharType="begin"/>
    </w:r>
    <w:r w:rsidRPr="00EC5F5A">
      <w:rPr>
        <w:rFonts w:ascii="Cambria" w:hAnsi="Cambria"/>
        <w:sz w:val="22"/>
      </w:rPr>
      <w:instrText xml:space="preserve"> NUMPAGES  \* Arabic  \* MERGEFORMAT </w:instrText>
    </w:r>
    <w:r w:rsidRPr="00EC5F5A">
      <w:rPr>
        <w:rFonts w:ascii="Cambria" w:hAnsi="Cambria"/>
        <w:sz w:val="22"/>
      </w:rPr>
      <w:fldChar w:fldCharType="separate"/>
    </w:r>
    <w:r w:rsidRPr="00EC5F5A">
      <w:rPr>
        <w:rFonts w:ascii="Cambria" w:hAnsi="Cambria"/>
        <w:sz w:val="22"/>
      </w:rPr>
      <w:t>2</w:t>
    </w:r>
    <w:r w:rsidRPr="00EC5F5A">
      <w:rPr>
        <w:rFonts w:ascii="Cambria" w:hAnsi="Cambri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3A" w14:textId="48EED435" w:rsidR="00385F3B" w:rsidRPr="00F520AB" w:rsidRDefault="00385F3B" w:rsidP="00385F3B">
    <w:pPr>
      <w:pStyle w:val="Footer"/>
      <w:jc w:val="center"/>
      <w:rPr>
        <w:rFonts w:ascii="Cambria" w:hAnsi="Cambria"/>
        <w:sz w:val="20"/>
        <w:szCs w:val="20"/>
      </w:rPr>
    </w:pPr>
    <w:r w:rsidRPr="00F520AB">
      <w:rPr>
        <w:rFonts w:ascii="Cambria" w:hAnsi="Cambria"/>
        <w:sz w:val="20"/>
      </w:rPr>
      <w:fldChar w:fldCharType="begin"/>
    </w:r>
    <w:r w:rsidRPr="00F520AB">
      <w:rPr>
        <w:rFonts w:ascii="Cambria" w:hAnsi="Cambria"/>
        <w:sz w:val="20"/>
      </w:rPr>
      <w:instrText xml:space="preserve"> PAGE  \* Arabic  \* MERGEFORMAT </w:instrText>
    </w:r>
    <w:r w:rsidRPr="00F520AB">
      <w:rPr>
        <w:rFonts w:ascii="Cambria" w:hAnsi="Cambria"/>
        <w:sz w:val="20"/>
      </w:rPr>
      <w:fldChar w:fldCharType="separate"/>
    </w:r>
    <w:r w:rsidRPr="00F520AB">
      <w:rPr>
        <w:rFonts w:ascii="Cambria" w:hAnsi="Cambria"/>
        <w:sz w:val="20"/>
      </w:rPr>
      <w:t>1</w:t>
    </w:r>
    <w:r w:rsidRPr="00F520AB">
      <w:rPr>
        <w:rFonts w:ascii="Cambria" w:hAnsi="Cambria"/>
        <w:sz w:val="20"/>
      </w:rPr>
      <w:fldChar w:fldCharType="end"/>
    </w:r>
    <w:r>
      <w:rPr>
        <w:rFonts w:ascii="Cambria" w:hAnsi="Cambria"/>
        <w:sz w:val="20"/>
      </w:rPr>
      <w:t>/</w:t>
    </w:r>
    <w:r w:rsidRPr="00F520AB">
      <w:rPr>
        <w:rFonts w:ascii="Cambria" w:hAnsi="Cambria"/>
        <w:sz w:val="20"/>
      </w:rPr>
      <w:fldChar w:fldCharType="begin"/>
    </w:r>
    <w:r w:rsidRPr="00F520AB">
      <w:rPr>
        <w:rFonts w:ascii="Cambria" w:hAnsi="Cambria"/>
        <w:sz w:val="20"/>
      </w:rPr>
      <w:instrText xml:space="preserve"> NUMPAGES  \* Arabic  \* MERGEFORMAT </w:instrText>
    </w:r>
    <w:r w:rsidRPr="00F520AB">
      <w:rPr>
        <w:rFonts w:ascii="Cambria" w:hAnsi="Cambria"/>
        <w:sz w:val="20"/>
      </w:rPr>
      <w:fldChar w:fldCharType="separate"/>
    </w:r>
    <w:r w:rsidRPr="00F520AB">
      <w:rPr>
        <w:rFonts w:ascii="Cambria" w:hAnsi="Cambria"/>
        <w:sz w:val="20"/>
      </w:rPr>
      <w:t>2</w:t>
    </w:r>
    <w:r w:rsidRPr="00F520AB">
      <w:rPr>
        <w:rFonts w:ascii="Cambria" w:hAnsi="Cambr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6B4A1" w14:textId="77777777" w:rsidR="005D590C" w:rsidRDefault="005D590C" w:rsidP="002A2711">
      <w:pPr>
        <w:spacing w:after="0" w:line="240" w:lineRule="auto"/>
      </w:pPr>
      <w:r>
        <w:separator/>
      </w:r>
    </w:p>
  </w:footnote>
  <w:footnote w:type="continuationSeparator" w:id="0">
    <w:p w14:paraId="0291226C" w14:textId="77777777" w:rsidR="005D590C" w:rsidRDefault="005D590C" w:rsidP="002A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5BE1" w14:textId="77777777" w:rsidR="003F6CCB" w:rsidRDefault="003F6C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ACFA" w14:textId="7CCCBFD7" w:rsidR="00681622" w:rsidRDefault="00681622" w:rsidP="00681622">
    <w:pPr>
      <w:pStyle w:val="Header"/>
      <w:jc w:val="right"/>
      <w:rPr>
        <w:rFonts w:ascii="Cambria" w:hAnsi="Cambria"/>
        <w:b/>
        <w:bCs/>
        <w:sz w:val="20"/>
        <w:szCs w:val="20"/>
      </w:rPr>
    </w:pPr>
    <w:r>
      <w:rPr>
        <w:rFonts w:ascii="Cambria" w:hAnsi="Cambria"/>
        <w:b/>
        <w:bCs/>
        <w:sz w:val="20"/>
        <w:szCs w:val="20"/>
      </w:rPr>
      <w:t>COC-309_A</w:t>
    </w:r>
    <w:r w:rsidR="00B8263A">
      <w:rPr>
        <w:rFonts w:ascii="Cambria" w:hAnsi="Cambria"/>
        <w:b/>
        <w:bCs/>
        <w:sz w:val="20"/>
        <w:szCs w:val="20"/>
      </w:rPr>
      <w:t>NN</w:t>
    </w:r>
    <w:r>
      <w:rPr>
        <w:rFonts w:ascii="Cambria" w:hAnsi="Cambria"/>
        <w:b/>
        <w:bCs/>
        <w:sz w:val="20"/>
        <w:szCs w:val="20"/>
      </w:rPr>
      <w:t>_</w:t>
    </w:r>
    <w:r w:rsidR="00B8263A">
      <w:rPr>
        <w:rFonts w:ascii="Cambria" w:hAnsi="Cambria"/>
        <w:b/>
        <w:bCs/>
        <w:sz w:val="20"/>
        <w:szCs w:val="20"/>
      </w:rPr>
      <w:t>4</w:t>
    </w:r>
    <w:r>
      <w:rPr>
        <w:rFonts w:ascii="Cambria" w:hAnsi="Cambria"/>
        <w:b/>
        <w:bCs/>
        <w:sz w:val="20"/>
        <w:szCs w:val="20"/>
      </w:rPr>
      <w:t>/2025</w:t>
    </w:r>
  </w:p>
  <w:p w14:paraId="5CCDE47C" w14:textId="4D2DA76A" w:rsidR="00681622" w:rsidRDefault="00681622" w:rsidP="00681622">
    <w:pPr>
      <w:pStyle w:val="Header"/>
      <w:jc w:val="right"/>
      <w:rPr>
        <w:rFonts w:ascii="Cambria" w:hAnsi="Cambria"/>
        <w:b/>
        <w:bCs/>
        <w:sz w:val="18"/>
        <w:szCs w:val="18"/>
      </w:rPr>
    </w:pPr>
    <w:r>
      <w:rPr>
        <w:rFonts w:ascii="Cambria" w:hAnsi="Cambria"/>
        <w:b/>
        <w:bCs/>
        <w:sz w:val="18"/>
        <w:szCs w:val="18"/>
        <w:lang w:val="en-US"/>
      </w:rPr>
      <w:fldChar w:fldCharType="begin"/>
    </w:r>
    <w:r>
      <w:rPr>
        <w:rFonts w:ascii="Cambria" w:hAnsi="Cambria"/>
        <w:b/>
        <w:bCs/>
        <w:sz w:val="18"/>
        <w:szCs w:val="18"/>
        <w:lang w:val="en-GB"/>
      </w:rPr>
      <w:instrText xml:space="preserve"> DATE \@ "dd/MM/yyyy HH:mm" </w:instrText>
    </w:r>
    <w:r>
      <w:rPr>
        <w:rFonts w:ascii="Cambria" w:hAnsi="Cambria"/>
        <w:b/>
        <w:bCs/>
        <w:sz w:val="18"/>
        <w:szCs w:val="18"/>
        <w:lang w:val="en-US"/>
      </w:rPr>
      <w:fldChar w:fldCharType="separate"/>
    </w:r>
    <w:r w:rsidR="00B8263A">
      <w:rPr>
        <w:rFonts w:ascii="Cambria" w:hAnsi="Cambria"/>
        <w:b/>
        <w:bCs/>
        <w:noProof/>
        <w:sz w:val="18"/>
        <w:szCs w:val="18"/>
        <w:lang w:val="en-GB"/>
      </w:rPr>
      <w:t>07/11/2025 11:52</w:t>
    </w:r>
    <w:r>
      <w:rPr>
        <w:rFonts w:ascii="Cambria" w:hAnsi="Cambria"/>
        <w:b/>
        <w:sz w:val="18"/>
        <w:szCs w:val="18"/>
        <w:lang w:val="fr-FR"/>
      </w:rPr>
      <w:fldChar w:fldCharType="end"/>
    </w:r>
  </w:p>
  <w:p w14:paraId="46247E8B" w14:textId="1B2399AF" w:rsidR="006658E8" w:rsidRDefault="00681622" w:rsidP="00EC5F5A">
    <w:pPr>
      <w:pStyle w:val="Header"/>
      <w:jc w:val="right"/>
      <w:rPr>
        <w:rFonts w:ascii="Cambria" w:hAnsi="Cambria"/>
        <w:b/>
        <w:bCs/>
      </w:rPr>
    </w:pPr>
    <w:r>
      <w:rPr>
        <w:rFonts w:ascii="Cambria" w:hAnsi="Cambria"/>
        <w:b/>
        <w:sz w:val="20"/>
        <w:szCs w:val="20"/>
      </w:rPr>
      <w:t>HONDURAS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E2ECC" w14:textId="099C3397" w:rsidR="00681622" w:rsidRDefault="00681622" w:rsidP="00681622">
    <w:pPr>
      <w:pStyle w:val="Header"/>
      <w:jc w:val="right"/>
      <w:rPr>
        <w:rFonts w:ascii="Cambria" w:hAnsi="Cambria"/>
        <w:b/>
        <w:bCs/>
        <w:sz w:val="20"/>
        <w:szCs w:val="20"/>
      </w:rPr>
    </w:pPr>
    <w:r>
      <w:rPr>
        <w:rFonts w:ascii="Cambria" w:hAnsi="Cambria"/>
        <w:b/>
        <w:bCs/>
        <w:sz w:val="20"/>
        <w:szCs w:val="20"/>
      </w:rPr>
      <w:t>COC-309_A</w:t>
    </w:r>
    <w:r w:rsidR="00B8263A">
      <w:rPr>
        <w:rFonts w:ascii="Cambria" w:hAnsi="Cambria"/>
        <w:b/>
        <w:bCs/>
        <w:sz w:val="20"/>
        <w:szCs w:val="20"/>
      </w:rPr>
      <w:t>NN</w:t>
    </w:r>
    <w:r>
      <w:rPr>
        <w:rFonts w:ascii="Cambria" w:hAnsi="Cambria"/>
        <w:b/>
        <w:bCs/>
        <w:sz w:val="20"/>
        <w:szCs w:val="20"/>
      </w:rPr>
      <w:t>_</w:t>
    </w:r>
    <w:r w:rsidR="00B8263A">
      <w:rPr>
        <w:rFonts w:ascii="Cambria" w:hAnsi="Cambria"/>
        <w:b/>
        <w:bCs/>
        <w:sz w:val="20"/>
        <w:szCs w:val="20"/>
      </w:rPr>
      <w:t>4</w:t>
    </w:r>
    <w:r>
      <w:rPr>
        <w:rFonts w:ascii="Cambria" w:hAnsi="Cambria"/>
        <w:b/>
        <w:bCs/>
        <w:sz w:val="20"/>
        <w:szCs w:val="20"/>
      </w:rPr>
      <w:t>/2025</w:t>
    </w:r>
  </w:p>
  <w:p w14:paraId="698613EF" w14:textId="40DC50C0" w:rsidR="00681622" w:rsidRDefault="00681622" w:rsidP="00681622">
    <w:pPr>
      <w:pStyle w:val="Header"/>
      <w:jc w:val="right"/>
      <w:rPr>
        <w:rFonts w:ascii="Cambria" w:hAnsi="Cambria"/>
        <w:b/>
        <w:bCs/>
        <w:sz w:val="18"/>
        <w:szCs w:val="18"/>
      </w:rPr>
    </w:pPr>
    <w:r>
      <w:rPr>
        <w:rFonts w:ascii="Cambria" w:hAnsi="Cambria"/>
        <w:b/>
        <w:bCs/>
        <w:sz w:val="18"/>
        <w:szCs w:val="18"/>
        <w:lang w:val="en-US"/>
      </w:rPr>
      <w:fldChar w:fldCharType="begin"/>
    </w:r>
    <w:r>
      <w:rPr>
        <w:rFonts w:ascii="Cambria" w:hAnsi="Cambria"/>
        <w:b/>
        <w:bCs/>
        <w:sz w:val="18"/>
        <w:szCs w:val="18"/>
        <w:lang w:val="en-GB"/>
      </w:rPr>
      <w:instrText xml:space="preserve"> DATE \@ "dd/MM/yyyy HH:mm" </w:instrText>
    </w:r>
    <w:r>
      <w:rPr>
        <w:rFonts w:ascii="Cambria" w:hAnsi="Cambria"/>
        <w:b/>
        <w:bCs/>
        <w:sz w:val="18"/>
        <w:szCs w:val="18"/>
        <w:lang w:val="en-US"/>
      </w:rPr>
      <w:fldChar w:fldCharType="separate"/>
    </w:r>
    <w:r w:rsidR="00B8263A">
      <w:rPr>
        <w:rFonts w:ascii="Cambria" w:hAnsi="Cambria"/>
        <w:b/>
        <w:bCs/>
        <w:noProof/>
        <w:sz w:val="18"/>
        <w:szCs w:val="18"/>
        <w:lang w:val="en-GB"/>
      </w:rPr>
      <w:t>07/11/2025 11:52</w:t>
    </w:r>
    <w:r>
      <w:rPr>
        <w:rFonts w:ascii="Cambria" w:hAnsi="Cambria"/>
        <w:b/>
        <w:sz w:val="18"/>
        <w:szCs w:val="18"/>
        <w:lang w:val="fr-FR"/>
      </w:rPr>
      <w:fldChar w:fldCharType="end"/>
    </w:r>
  </w:p>
  <w:p w14:paraId="57B7B122" w14:textId="50734B65" w:rsidR="00681622" w:rsidRDefault="00681622" w:rsidP="00681622">
    <w:pPr>
      <w:pStyle w:val="Header"/>
      <w:jc w:val="right"/>
      <w:rPr>
        <w:rFonts w:ascii="Cambria" w:hAnsi="Cambria"/>
        <w:b/>
        <w:bCs/>
        <w:sz w:val="20"/>
        <w:szCs w:val="20"/>
      </w:rPr>
    </w:pPr>
    <w:r>
      <w:rPr>
        <w:rFonts w:ascii="Cambria" w:hAnsi="Cambria"/>
        <w:b/>
        <w:sz w:val="20"/>
        <w:szCs w:val="20"/>
      </w:rPr>
      <w:t>HONDURAS</w:t>
    </w:r>
  </w:p>
  <w:p w14:paraId="549FD479" w14:textId="544DE241" w:rsidR="00385F3B" w:rsidRPr="00385F3B" w:rsidRDefault="00385F3B">
    <w:pPr>
      <w:pStyle w:val="Header"/>
      <w:rPr>
        <w:rFonts w:ascii="Cambria" w:hAnsi="Cambria"/>
      </w:rPr>
    </w:pPr>
    <w:r>
      <w:rPr>
        <w:rFonts w:ascii="Cambria" w:hAnsi="Cambria"/>
        <w:b/>
        <w:noProof/>
      </w:rPr>
      <w:drawing>
        <wp:inline distT="0" distB="0" distL="0" distR="0" wp14:anchorId="3C3D58C4" wp14:editId="6CBEC933">
          <wp:extent cx="5865044" cy="1242060"/>
          <wp:effectExtent l="0" t="0" r="2540" b="0"/>
          <wp:docPr id="1922426555" name="Picture 1" descr="A blue and white map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26555" name="Picture 1" descr="A blue and white map with black text&#10;&#10;AI-generated content may be incorrect."/>
                  <pic:cNvPicPr preferRelativeResize="0">
                    <a:picLocks noChangeAspect="1" noChangeArrowheads="1"/>
                  </pic:cNvPicPr>
                </pic:nvPicPr>
                <pic:blipFill rotWithShape="1">
                  <a:blip r:embed="rId1">
                    <a:extLst>
                      <a:ext uri="{28A0092B-C50C-407E-A947-70E740481C1C}">
                        <a14:useLocalDpi xmlns:a14="http://schemas.microsoft.com/office/drawing/2010/main" val="0"/>
                      </a:ext>
                    </a:extLst>
                  </a:blip>
                  <a:srcRect l="6507" r="8331"/>
                  <a:stretch>
                    <a:fillRect/>
                  </a:stretch>
                </pic:blipFill>
                <pic:spPr bwMode="auto">
                  <a:xfrm>
                    <a:off x="0" y="0"/>
                    <a:ext cx="5865044" cy="1242060"/>
                  </a:xfrm>
                  <a:prstGeom prst="rect">
                    <a:avLst/>
                  </a:prstGeom>
                  <a:noFill/>
                  <a:ln>
                    <a:noFill/>
                  </a:ln>
                  <a:extLst>
                    <a:ext uri="{53640926-AAD7-44D8-BBD7-CCE9431645EC}">
                      <a14:shadowObscured xmlns:a14="http://schemas.microsoft.com/office/drawing/2010/main"/>
                    </a:ext>
                  </a:extLst>
                </pic:spPr>
              </pic:pic>
            </a:graphicData>
          </a:graphic>
        </wp:inline>
      </w:drawing>
    </w:r>
  </w:p>
  <w:p w14:paraId="2D8BC7BC" w14:textId="77777777" w:rsidR="00385F3B" w:rsidRPr="00385F3B" w:rsidRDefault="00385F3B">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03A6"/>
    <w:multiLevelType w:val="multilevel"/>
    <w:tmpl w:val="6134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93F9D"/>
    <w:multiLevelType w:val="multilevel"/>
    <w:tmpl w:val="3F30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85543"/>
    <w:multiLevelType w:val="multilevel"/>
    <w:tmpl w:val="7CD6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27C30"/>
    <w:multiLevelType w:val="multilevel"/>
    <w:tmpl w:val="1080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86CEE"/>
    <w:multiLevelType w:val="multilevel"/>
    <w:tmpl w:val="445C1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9C0233"/>
    <w:multiLevelType w:val="multilevel"/>
    <w:tmpl w:val="2368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DE3B6C"/>
    <w:multiLevelType w:val="multilevel"/>
    <w:tmpl w:val="9862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82CA1"/>
    <w:multiLevelType w:val="multilevel"/>
    <w:tmpl w:val="CF24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0E7B43"/>
    <w:multiLevelType w:val="multilevel"/>
    <w:tmpl w:val="3F3E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A344D0"/>
    <w:multiLevelType w:val="multilevel"/>
    <w:tmpl w:val="3F0C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4E44FA"/>
    <w:multiLevelType w:val="multilevel"/>
    <w:tmpl w:val="F118B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F00049"/>
    <w:multiLevelType w:val="multilevel"/>
    <w:tmpl w:val="1E2E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6E0BF6"/>
    <w:multiLevelType w:val="multilevel"/>
    <w:tmpl w:val="022E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4835C7"/>
    <w:multiLevelType w:val="multilevel"/>
    <w:tmpl w:val="BF606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8C73A7"/>
    <w:multiLevelType w:val="multilevel"/>
    <w:tmpl w:val="45AE8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4F51C7"/>
    <w:multiLevelType w:val="multilevel"/>
    <w:tmpl w:val="1620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BC6DC2"/>
    <w:multiLevelType w:val="multilevel"/>
    <w:tmpl w:val="D048E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CE4665"/>
    <w:multiLevelType w:val="multilevel"/>
    <w:tmpl w:val="8930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8760D6"/>
    <w:multiLevelType w:val="multilevel"/>
    <w:tmpl w:val="83CC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5E7EDF"/>
    <w:multiLevelType w:val="multilevel"/>
    <w:tmpl w:val="305CC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AE759E"/>
    <w:multiLevelType w:val="multilevel"/>
    <w:tmpl w:val="06DA5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4311687">
    <w:abstractNumId w:val="19"/>
  </w:num>
  <w:num w:numId="2" w16cid:durableId="797144080">
    <w:abstractNumId w:val="17"/>
  </w:num>
  <w:num w:numId="3" w16cid:durableId="414323801">
    <w:abstractNumId w:val="16"/>
  </w:num>
  <w:num w:numId="4" w16cid:durableId="164902027">
    <w:abstractNumId w:val="12"/>
  </w:num>
  <w:num w:numId="5" w16cid:durableId="84809802">
    <w:abstractNumId w:val="18"/>
  </w:num>
  <w:num w:numId="6" w16cid:durableId="1424301988">
    <w:abstractNumId w:val="4"/>
  </w:num>
  <w:num w:numId="7" w16cid:durableId="1898276136">
    <w:abstractNumId w:val="2"/>
  </w:num>
  <w:num w:numId="8" w16cid:durableId="1939026253">
    <w:abstractNumId w:val="20"/>
  </w:num>
  <w:num w:numId="9" w16cid:durableId="1897624626">
    <w:abstractNumId w:val="3"/>
  </w:num>
  <w:num w:numId="10" w16cid:durableId="622617803">
    <w:abstractNumId w:val="0"/>
  </w:num>
  <w:num w:numId="11" w16cid:durableId="390347020">
    <w:abstractNumId w:val="1"/>
  </w:num>
  <w:num w:numId="12" w16cid:durableId="1319765820">
    <w:abstractNumId w:val="10"/>
  </w:num>
  <w:num w:numId="13" w16cid:durableId="502353181">
    <w:abstractNumId w:val="9"/>
  </w:num>
  <w:num w:numId="14" w16cid:durableId="2035037485">
    <w:abstractNumId w:val="5"/>
  </w:num>
  <w:num w:numId="15" w16cid:durableId="1834641523">
    <w:abstractNumId w:val="11"/>
  </w:num>
  <w:num w:numId="16" w16cid:durableId="568806969">
    <w:abstractNumId w:val="13"/>
  </w:num>
  <w:num w:numId="17" w16cid:durableId="139225472">
    <w:abstractNumId w:val="6"/>
  </w:num>
  <w:num w:numId="18" w16cid:durableId="1781222572">
    <w:abstractNumId w:val="14"/>
  </w:num>
  <w:num w:numId="19" w16cid:durableId="1790664134">
    <w:abstractNumId w:val="8"/>
  </w:num>
  <w:num w:numId="20" w16cid:durableId="1727143509">
    <w:abstractNumId w:val="7"/>
  </w:num>
  <w:num w:numId="21" w16cid:durableId="2799924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B7A"/>
    <w:rsid w:val="00026A0C"/>
    <w:rsid w:val="00036903"/>
    <w:rsid w:val="00072300"/>
    <w:rsid w:val="001862FB"/>
    <w:rsid w:val="001D392F"/>
    <w:rsid w:val="0024408C"/>
    <w:rsid w:val="002A2711"/>
    <w:rsid w:val="002A4DAF"/>
    <w:rsid w:val="002B55BB"/>
    <w:rsid w:val="00330918"/>
    <w:rsid w:val="00343A9F"/>
    <w:rsid w:val="00385F3B"/>
    <w:rsid w:val="00397D40"/>
    <w:rsid w:val="003A398E"/>
    <w:rsid w:val="003D6AFE"/>
    <w:rsid w:val="003F1F8C"/>
    <w:rsid w:val="003F60F9"/>
    <w:rsid w:val="003F6CCB"/>
    <w:rsid w:val="00407995"/>
    <w:rsid w:val="00412CB8"/>
    <w:rsid w:val="004362C4"/>
    <w:rsid w:val="00456C75"/>
    <w:rsid w:val="004A7E33"/>
    <w:rsid w:val="004B4A8D"/>
    <w:rsid w:val="004D60EB"/>
    <w:rsid w:val="005D590C"/>
    <w:rsid w:val="005D664B"/>
    <w:rsid w:val="006658E8"/>
    <w:rsid w:val="00681622"/>
    <w:rsid w:val="007029CD"/>
    <w:rsid w:val="00714F45"/>
    <w:rsid w:val="0077020C"/>
    <w:rsid w:val="007727DD"/>
    <w:rsid w:val="00776B41"/>
    <w:rsid w:val="00795D7B"/>
    <w:rsid w:val="007B2AF4"/>
    <w:rsid w:val="007C1E03"/>
    <w:rsid w:val="008410EB"/>
    <w:rsid w:val="0091058B"/>
    <w:rsid w:val="00952A61"/>
    <w:rsid w:val="00972F03"/>
    <w:rsid w:val="009E380D"/>
    <w:rsid w:val="00A777A9"/>
    <w:rsid w:val="00A94C35"/>
    <w:rsid w:val="00B07398"/>
    <w:rsid w:val="00B15886"/>
    <w:rsid w:val="00B46B7A"/>
    <w:rsid w:val="00B50930"/>
    <w:rsid w:val="00B8263A"/>
    <w:rsid w:val="00BA7AAB"/>
    <w:rsid w:val="00BD7557"/>
    <w:rsid w:val="00C00644"/>
    <w:rsid w:val="00C34CC1"/>
    <w:rsid w:val="00C649B4"/>
    <w:rsid w:val="00C71DBD"/>
    <w:rsid w:val="00C831F6"/>
    <w:rsid w:val="00CB6982"/>
    <w:rsid w:val="00D15340"/>
    <w:rsid w:val="00D32883"/>
    <w:rsid w:val="00D47764"/>
    <w:rsid w:val="00D5509C"/>
    <w:rsid w:val="00D9053C"/>
    <w:rsid w:val="00D96329"/>
    <w:rsid w:val="00DC0377"/>
    <w:rsid w:val="00DD05FD"/>
    <w:rsid w:val="00E70C1D"/>
    <w:rsid w:val="00E77DBF"/>
    <w:rsid w:val="00EA6DB8"/>
    <w:rsid w:val="00EC5F5A"/>
    <w:rsid w:val="00F0041F"/>
    <w:rsid w:val="00F34405"/>
    <w:rsid w:val="00F520AB"/>
    <w:rsid w:val="00F54E21"/>
    <w:rsid w:val="00F81C38"/>
    <w:rsid w:val="00F907E3"/>
    <w:rsid w:val="00F9267C"/>
    <w:rsid w:val="00FC70E0"/>
    <w:rsid w:val="00FD7293"/>
    <w:rsid w:val="00FE5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05AFF"/>
  <w15:chartTrackingRefBased/>
  <w15:docId w15:val="{1AFA926F-9F67-406F-83D5-E756EB0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6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6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6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6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6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6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6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6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6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6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6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6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B7A"/>
    <w:rPr>
      <w:rFonts w:eastAsiaTheme="majorEastAsia" w:cstheme="majorBidi"/>
      <w:color w:val="272727" w:themeColor="text1" w:themeTint="D8"/>
    </w:rPr>
  </w:style>
  <w:style w:type="paragraph" w:styleId="Title">
    <w:name w:val="Title"/>
    <w:basedOn w:val="Normal"/>
    <w:next w:val="Normal"/>
    <w:link w:val="TitleChar"/>
    <w:uiPriority w:val="10"/>
    <w:qFormat/>
    <w:rsid w:val="00B46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6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B7A"/>
    <w:pPr>
      <w:spacing w:before="160"/>
      <w:jc w:val="center"/>
    </w:pPr>
    <w:rPr>
      <w:i/>
      <w:iCs/>
      <w:color w:val="404040" w:themeColor="text1" w:themeTint="BF"/>
    </w:rPr>
  </w:style>
  <w:style w:type="character" w:customStyle="1" w:styleId="QuoteChar">
    <w:name w:val="Quote Char"/>
    <w:basedOn w:val="DefaultParagraphFont"/>
    <w:link w:val="Quote"/>
    <w:uiPriority w:val="29"/>
    <w:rsid w:val="00B46B7A"/>
    <w:rPr>
      <w:i/>
      <w:iCs/>
      <w:color w:val="404040" w:themeColor="text1" w:themeTint="BF"/>
    </w:rPr>
  </w:style>
  <w:style w:type="paragraph" w:styleId="ListParagraph">
    <w:name w:val="List Paragraph"/>
    <w:basedOn w:val="Normal"/>
    <w:uiPriority w:val="34"/>
    <w:qFormat/>
    <w:rsid w:val="00B46B7A"/>
    <w:pPr>
      <w:ind w:left="720"/>
      <w:contextualSpacing/>
    </w:pPr>
  </w:style>
  <w:style w:type="character" w:styleId="IntenseEmphasis">
    <w:name w:val="Intense Emphasis"/>
    <w:basedOn w:val="DefaultParagraphFont"/>
    <w:uiPriority w:val="21"/>
    <w:qFormat/>
    <w:rsid w:val="00B46B7A"/>
    <w:rPr>
      <w:i/>
      <w:iCs/>
      <w:color w:val="0F4761" w:themeColor="accent1" w:themeShade="BF"/>
    </w:rPr>
  </w:style>
  <w:style w:type="paragraph" w:styleId="IntenseQuote">
    <w:name w:val="Intense Quote"/>
    <w:basedOn w:val="Normal"/>
    <w:next w:val="Normal"/>
    <w:link w:val="IntenseQuoteChar"/>
    <w:uiPriority w:val="30"/>
    <w:qFormat/>
    <w:rsid w:val="00B46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6B7A"/>
    <w:rPr>
      <w:i/>
      <w:iCs/>
      <w:color w:val="0F4761" w:themeColor="accent1" w:themeShade="BF"/>
    </w:rPr>
  </w:style>
  <w:style w:type="character" w:styleId="IntenseReference">
    <w:name w:val="Intense Reference"/>
    <w:basedOn w:val="DefaultParagraphFont"/>
    <w:uiPriority w:val="32"/>
    <w:qFormat/>
    <w:rsid w:val="00B46B7A"/>
    <w:rPr>
      <w:b/>
      <w:bCs/>
      <w:smallCaps/>
      <w:color w:val="0F4761" w:themeColor="accent1" w:themeShade="BF"/>
      <w:spacing w:val="5"/>
    </w:rPr>
  </w:style>
  <w:style w:type="character" w:styleId="CommentReference">
    <w:name w:val="annotation reference"/>
    <w:basedOn w:val="DefaultParagraphFont"/>
    <w:uiPriority w:val="99"/>
    <w:semiHidden/>
    <w:unhideWhenUsed/>
    <w:rsid w:val="00B46B7A"/>
    <w:rPr>
      <w:sz w:val="16"/>
      <w:szCs w:val="16"/>
    </w:rPr>
  </w:style>
  <w:style w:type="paragraph" w:styleId="CommentText">
    <w:name w:val="annotation text"/>
    <w:basedOn w:val="Normal"/>
    <w:link w:val="CommentTextChar"/>
    <w:uiPriority w:val="99"/>
    <w:unhideWhenUsed/>
    <w:rsid w:val="00B46B7A"/>
    <w:pPr>
      <w:spacing w:line="240" w:lineRule="auto"/>
    </w:pPr>
    <w:rPr>
      <w:sz w:val="20"/>
      <w:szCs w:val="20"/>
    </w:rPr>
  </w:style>
  <w:style w:type="character" w:customStyle="1" w:styleId="CommentTextChar">
    <w:name w:val="Comment Text Char"/>
    <w:basedOn w:val="DefaultParagraphFont"/>
    <w:link w:val="CommentText"/>
    <w:uiPriority w:val="99"/>
    <w:rsid w:val="00B46B7A"/>
    <w:rPr>
      <w:sz w:val="20"/>
      <w:szCs w:val="20"/>
    </w:rPr>
  </w:style>
  <w:style w:type="table" w:customStyle="1" w:styleId="TableGrid1">
    <w:name w:val="Table Grid1"/>
    <w:basedOn w:val="TableNormal"/>
    <w:next w:val="TableGrid"/>
    <w:uiPriority w:val="39"/>
    <w:locked/>
    <w:rsid w:val="00B46B7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711"/>
  </w:style>
  <w:style w:type="paragraph" w:styleId="Footer">
    <w:name w:val="footer"/>
    <w:basedOn w:val="Normal"/>
    <w:link w:val="FooterChar"/>
    <w:uiPriority w:val="99"/>
    <w:unhideWhenUsed/>
    <w:rsid w:val="002A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711"/>
  </w:style>
  <w:style w:type="paragraph" w:styleId="Revision">
    <w:name w:val="Revision"/>
    <w:hidden/>
    <w:uiPriority w:val="99"/>
    <w:semiHidden/>
    <w:rsid w:val="00F344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2185</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Baity</dc:creator>
  <cp:keywords/>
  <dc:description/>
  <cp:lastModifiedBy>Dawn Baity</cp:lastModifiedBy>
  <cp:revision>34</cp:revision>
  <dcterms:created xsi:type="dcterms:W3CDTF">2025-08-01T14:45:00Z</dcterms:created>
  <dcterms:modified xsi:type="dcterms:W3CDTF">2025-11-07T10:53:00Z</dcterms:modified>
</cp:coreProperties>
</file>