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2AA7" w14:textId="401E8E7A" w:rsidR="009570F0" w:rsidRPr="00FF7643" w:rsidRDefault="00B2588C" w:rsidP="00B2588C">
      <w:pPr>
        <w:keepNext/>
        <w:framePr w:wrap="auto" w:vAnchor="margin" w:yAlign="inline"/>
        <w:pBdr>
          <w:top w:val="double" w:sz="4" w:space="6" w:color="auto"/>
          <w:left w:val="double" w:sz="4" w:space="4" w:color="auto"/>
          <w:bottom w:val="double" w:sz="4" w:space="11" w:color="auto"/>
          <w:right w:val="double" w:sz="4" w:space="4" w:color="auto"/>
        </w:pBdr>
        <w:jc w:val="center"/>
        <w:outlineLvl w:val="4"/>
        <w:rPr>
          <w:rFonts w:cs="Cambria"/>
          <w:b/>
          <w:bCs/>
          <w:color w:val="000000"/>
          <w:szCs w:val="20"/>
        </w:rPr>
      </w:pPr>
      <w:r w:rsidRPr="00FF7643">
        <w:rPr>
          <w:rFonts w:cs="Cambria"/>
          <w:b/>
          <w:bCs/>
          <w:color w:val="000000"/>
          <w:szCs w:val="20"/>
        </w:rPr>
        <w:t>24-16</w:t>
      </w:r>
      <w:r w:rsidRPr="00FF7643">
        <w:rPr>
          <w:rFonts w:cs="Cambria"/>
          <w:b/>
          <w:bCs/>
          <w:color w:val="000000"/>
          <w:szCs w:val="20"/>
        </w:rPr>
        <w:tab/>
        <w:t xml:space="preserve">                                                  </w:t>
      </w:r>
      <w:r w:rsidRPr="00FF7643">
        <w:rPr>
          <w:rFonts w:cs="Cambria"/>
          <w:b/>
          <w:bCs/>
          <w:color w:val="000000"/>
          <w:szCs w:val="20"/>
        </w:rPr>
        <w:tab/>
        <w:t xml:space="preserve"> </w:t>
      </w:r>
      <w:r w:rsidRPr="00FF7643">
        <w:rPr>
          <w:rFonts w:cs="Cambria"/>
          <w:b/>
          <w:bCs/>
          <w:color w:val="000000"/>
          <w:szCs w:val="20"/>
        </w:rPr>
        <w:tab/>
      </w:r>
      <w:r w:rsidRPr="00FF7643">
        <w:rPr>
          <w:rFonts w:cs="Cambria"/>
          <w:b/>
          <w:bCs/>
          <w:color w:val="000000"/>
          <w:szCs w:val="20"/>
        </w:rPr>
        <w:tab/>
      </w:r>
      <w:r w:rsidRPr="00FF7643">
        <w:rPr>
          <w:rFonts w:cs="Cambria"/>
          <w:b/>
          <w:bCs/>
          <w:color w:val="000000"/>
          <w:szCs w:val="20"/>
        </w:rPr>
        <w:tab/>
      </w:r>
      <w:r w:rsidRPr="00FF7643">
        <w:rPr>
          <w:rFonts w:cs="Cambria"/>
          <w:b/>
          <w:bCs/>
          <w:color w:val="000000"/>
          <w:szCs w:val="20"/>
        </w:rPr>
        <w:tab/>
      </w:r>
      <w:r w:rsidRPr="00FF7643">
        <w:rPr>
          <w:rFonts w:cs="Cambria"/>
          <w:b/>
          <w:bCs/>
          <w:color w:val="000000"/>
          <w:szCs w:val="20"/>
        </w:rPr>
        <w:tab/>
      </w:r>
      <w:r w:rsidRPr="00FF7643">
        <w:rPr>
          <w:rFonts w:cs="Cambria"/>
          <w:b/>
          <w:bCs/>
          <w:color w:val="000000"/>
          <w:szCs w:val="20"/>
        </w:rPr>
        <w:tab/>
        <w:t xml:space="preserve">           SDP</w:t>
      </w:r>
      <w:r w:rsidRPr="00FF7643">
        <w:rPr>
          <w:rFonts w:cs="Cambria"/>
          <w:b/>
          <w:bCs/>
          <w:color w:val="000000"/>
          <w:szCs w:val="20"/>
        </w:rPr>
        <w:br/>
        <w:t xml:space="preserve">RECOMENDACIÓN DE ICCAT QUE ENMIENDA LA RECOMENDACIÓN 22-16 </w:t>
      </w:r>
      <w:r w:rsidR="00251CC6" w:rsidRPr="00FF7643">
        <w:rPr>
          <w:rFonts w:cs="Cambria"/>
          <w:b/>
          <w:bCs/>
          <w:color w:val="000000"/>
          <w:szCs w:val="20"/>
        </w:rPr>
        <w:br/>
      </w:r>
      <w:r w:rsidR="005445F3" w:rsidRPr="00FF7643">
        <w:rPr>
          <w:rFonts w:cs="Cambria"/>
          <w:b/>
          <w:bCs/>
          <w:color w:val="000000"/>
          <w:szCs w:val="20"/>
        </w:rPr>
        <w:t>QUE ENMIENDA LA RECOMENDACIÓN 21-18 S</w:t>
      </w:r>
      <w:r w:rsidRPr="00FF7643">
        <w:rPr>
          <w:rFonts w:cs="Cambria"/>
          <w:b/>
          <w:bCs/>
          <w:color w:val="000000"/>
          <w:szCs w:val="20"/>
        </w:rPr>
        <w:t>OBRE LA APLICACIÓN DEL SISTEMA EBCD</w:t>
      </w:r>
    </w:p>
    <w:p w14:paraId="2A16C7AB" w14:textId="77777777" w:rsidR="00B2588C" w:rsidRPr="00FF7643" w:rsidRDefault="00B2588C" w:rsidP="009570F0">
      <w:pPr>
        <w:framePr w:wrap="auto" w:vAnchor="margin" w:yAlign="inline"/>
        <w:widowControl w:val="0"/>
        <w:ind w:right="-1"/>
        <w:jc w:val="center"/>
        <w:rPr>
          <w:rFonts w:cs="Cambria"/>
          <w:b/>
          <w:bCs/>
          <w:color w:val="000000"/>
          <w:szCs w:val="20"/>
        </w:rPr>
      </w:pPr>
    </w:p>
    <w:p w14:paraId="5E0308F6" w14:textId="77777777" w:rsidR="009570F0" w:rsidRPr="00FF7643" w:rsidRDefault="009570F0" w:rsidP="004846D3">
      <w:pPr>
        <w:framePr w:wrap="auto" w:vAnchor="margin" w:yAlign="inline"/>
        <w:widowControl w:val="0"/>
        <w:ind w:right="-1"/>
        <w:jc w:val="left"/>
        <w:rPr>
          <w:rFonts w:cs="Cambria"/>
          <w:i/>
          <w:iCs/>
          <w:color w:val="000000"/>
          <w:szCs w:val="20"/>
        </w:rPr>
      </w:pPr>
    </w:p>
    <w:p w14:paraId="50717889"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TENIENDO EN CUENTA</w:t>
      </w:r>
      <w:r w:rsidRPr="00FF7643">
        <w:rPr>
          <w:rFonts w:eastAsia="MS PGothic"/>
          <w:color w:val="000000"/>
          <w:szCs w:val="20"/>
          <w:lang w:eastAsia="es-ES" w:bidi="es-ES"/>
        </w:rPr>
        <w:t xml:space="preserve"> el plan de recuperación plurianual para el atún rojo del Atlántico este y Mediterráneo y el compromiso de desarrollar un sistema electrónico de documentación de capturas de atún rojo (eBCD);</w:t>
      </w:r>
    </w:p>
    <w:p w14:paraId="2C29FF14" w14:textId="77777777" w:rsidR="00A6045D" w:rsidRPr="00FF7643" w:rsidRDefault="00A6045D" w:rsidP="00A6045D">
      <w:pPr>
        <w:framePr w:wrap="auto" w:vAnchor="margin" w:yAlign="inline"/>
        <w:ind w:firstLine="284"/>
        <w:rPr>
          <w:rFonts w:eastAsia="MS PGothic"/>
          <w:color w:val="000000"/>
          <w:szCs w:val="20"/>
          <w:lang w:eastAsia="es-ES" w:bidi="es-ES"/>
        </w:rPr>
      </w:pPr>
    </w:p>
    <w:p w14:paraId="622B7DE7"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RECONOCIENDO</w:t>
      </w:r>
      <w:r w:rsidRPr="00FF7643">
        <w:rPr>
          <w:rFonts w:eastAsia="MS PGothic"/>
          <w:color w:val="000000"/>
          <w:szCs w:val="20"/>
          <w:lang w:eastAsia="es-ES" w:bidi="es-ES"/>
        </w:rPr>
        <w:t xml:space="preserve"> los avances que se han producido en el intercambio de información electrónica y los beneficios de una comunicación rápida en relación con el procesamiento y gestión de la información sobre captura;</w:t>
      </w:r>
    </w:p>
    <w:p w14:paraId="3989E661" w14:textId="77777777" w:rsidR="00A6045D" w:rsidRPr="00FF7643" w:rsidRDefault="00A6045D" w:rsidP="00A6045D">
      <w:pPr>
        <w:framePr w:wrap="auto" w:vAnchor="margin" w:yAlign="inline"/>
        <w:ind w:firstLine="284"/>
        <w:rPr>
          <w:rFonts w:eastAsia="MS PGothic"/>
          <w:color w:val="000000"/>
          <w:szCs w:val="20"/>
          <w:lang w:eastAsia="es-ES" w:bidi="es-ES"/>
        </w:rPr>
      </w:pPr>
    </w:p>
    <w:p w14:paraId="7A57DA72" w14:textId="77777777" w:rsidR="00A6045D" w:rsidRPr="00FF7643" w:rsidRDefault="00A6045D" w:rsidP="00A6045D">
      <w:pPr>
        <w:framePr w:wrap="auto" w:vAnchor="margin" w:yAlign="inline"/>
        <w:ind w:firstLine="425"/>
        <w:rPr>
          <w:rFonts w:eastAsia="MS PGothic"/>
          <w:color w:val="000000"/>
          <w:szCs w:val="20"/>
          <w:lang w:eastAsia="es-ES" w:bidi="es-ES"/>
        </w:rPr>
      </w:pPr>
      <w:r w:rsidRPr="00FF7643">
        <w:rPr>
          <w:rFonts w:eastAsia="MS PGothic"/>
          <w:i/>
          <w:color w:val="000000"/>
          <w:szCs w:val="20"/>
          <w:lang w:eastAsia="es-ES" w:bidi="es-ES"/>
        </w:rPr>
        <w:t>OBSERVANDO</w:t>
      </w:r>
      <w:r w:rsidRPr="00FF7643">
        <w:rPr>
          <w:rFonts w:eastAsia="MS PGothic"/>
          <w:color w:val="000000"/>
          <w:szCs w:val="20"/>
          <w:lang w:eastAsia="es-ES" w:bidi="es-ES"/>
        </w:rPr>
        <w:t xml:space="preserve"> la capacidad de los sistemas electrónicos de documentación de capturas para detectar el fraude e impedir los cargamentos IUU, para agilizar el proceso de validación/verificación de los documentos de captura de atún rojo (BCD), para evitar la introducción de información errónea, para reducir cargas de trabajo de un modo pragmático y para crear vínculos automatizados entre las Partes, lo que incluye a las autoridades exportadoras e importadoras;</w:t>
      </w:r>
    </w:p>
    <w:p w14:paraId="176444FF" w14:textId="77777777" w:rsidR="00A6045D" w:rsidRPr="00FF7643" w:rsidRDefault="00A6045D" w:rsidP="00A6045D">
      <w:pPr>
        <w:framePr w:wrap="auto" w:vAnchor="margin" w:yAlign="inline"/>
        <w:ind w:firstLine="284"/>
        <w:rPr>
          <w:rFonts w:eastAsia="MS PGothic"/>
          <w:color w:val="000000"/>
          <w:szCs w:val="20"/>
          <w:lang w:eastAsia="es-ES" w:bidi="es-ES"/>
        </w:rPr>
      </w:pPr>
    </w:p>
    <w:p w14:paraId="7CB7AE98"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RECONOCIENDO</w:t>
      </w:r>
      <w:r w:rsidRPr="00FF7643">
        <w:rPr>
          <w:rFonts w:eastAsia="MS PGothic"/>
          <w:color w:val="000000"/>
          <w:szCs w:val="20"/>
          <w:lang w:eastAsia="es-ES" w:bidi="es-ES"/>
        </w:rPr>
        <w:t xml:space="preserve"> la necesidad de implementar el sistema eBCD para reforzar la implementación del programa de documentación de capturas de atún rojo;</w:t>
      </w:r>
    </w:p>
    <w:p w14:paraId="2DB1F3C2" w14:textId="77777777" w:rsidR="00A6045D" w:rsidRPr="00FF7643" w:rsidRDefault="00A6045D" w:rsidP="00A6045D">
      <w:pPr>
        <w:framePr w:wrap="auto" w:vAnchor="margin" w:yAlign="inline"/>
        <w:ind w:firstLine="284"/>
        <w:rPr>
          <w:rFonts w:eastAsia="MS PGothic"/>
          <w:color w:val="000000"/>
          <w:szCs w:val="20"/>
          <w:lang w:eastAsia="es-ES" w:bidi="es-ES"/>
        </w:rPr>
      </w:pPr>
    </w:p>
    <w:p w14:paraId="1EE11ABE"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COMO CONTINUACIÓN</w:t>
      </w:r>
      <w:r w:rsidRPr="00FF7643">
        <w:rPr>
          <w:rFonts w:eastAsia="MS PGothic"/>
          <w:color w:val="000000"/>
          <w:szCs w:val="20"/>
          <w:lang w:eastAsia="es-ES" w:bidi="es-ES"/>
        </w:rPr>
        <w:t xml:space="preserve"> del trabajo llevado a cabo por el Grupo de trabajo técnico sobre eBCD (TWG), así como del diseño del sistema y las estimaciones de costes presentadas en el estudio de viabilidad;</w:t>
      </w:r>
    </w:p>
    <w:p w14:paraId="3CCBA684" w14:textId="77777777" w:rsidR="00A6045D" w:rsidRPr="00FF7643" w:rsidRDefault="00A6045D" w:rsidP="00A6045D">
      <w:pPr>
        <w:framePr w:wrap="auto" w:vAnchor="margin" w:yAlign="inline"/>
        <w:ind w:firstLine="284"/>
        <w:rPr>
          <w:rFonts w:eastAsia="MS PGothic"/>
          <w:color w:val="000000"/>
          <w:szCs w:val="20"/>
          <w:lang w:eastAsia="es-ES" w:bidi="es-ES"/>
        </w:rPr>
      </w:pPr>
    </w:p>
    <w:p w14:paraId="6BBFF855"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CONSIDERANDO</w:t>
      </w:r>
      <w:r w:rsidRPr="00FF7643">
        <w:rPr>
          <w:rFonts w:eastAsia="MS PGothic"/>
          <w:color w:val="000000"/>
          <w:szCs w:val="20"/>
          <w:lang w:eastAsia="es-ES" w:bidi="es-ES"/>
        </w:rPr>
        <w:t xml:space="preserve"> los compromisos previamente contraídos en la </w:t>
      </w:r>
      <w:r w:rsidRPr="00FF7643">
        <w:rPr>
          <w:rFonts w:eastAsia="MS PGothic"/>
          <w:i/>
          <w:color w:val="000000"/>
          <w:szCs w:val="20"/>
          <w:lang w:eastAsia="es-ES" w:bidi="es-ES"/>
        </w:rPr>
        <w:t>Recomendación de ICCAT que complementa la Recomendación sobre un sistema electrónico de documentación de capturas de atún rojo (eBCD</w:t>
      </w:r>
      <w:r w:rsidRPr="00FF7643">
        <w:rPr>
          <w:rFonts w:eastAsia="MS PGothic"/>
          <w:color w:val="000000"/>
          <w:szCs w:val="20"/>
          <w:lang w:eastAsia="es-ES" w:bidi="es-ES"/>
        </w:rPr>
        <w:t>) (Rec. 13-17) y la decisión tomada durante la 19ª reunión extraordinaria sobre el estado de implementación del programa;</w:t>
      </w:r>
    </w:p>
    <w:p w14:paraId="3EA6C1AD" w14:textId="77777777" w:rsidR="00A6045D" w:rsidRPr="00FF7643" w:rsidRDefault="00A6045D" w:rsidP="00A6045D">
      <w:pPr>
        <w:framePr w:wrap="auto" w:vAnchor="margin" w:yAlign="inline"/>
        <w:ind w:firstLine="284"/>
        <w:rPr>
          <w:rFonts w:eastAsia="MS PGothic"/>
          <w:color w:val="000000"/>
          <w:szCs w:val="20"/>
          <w:lang w:eastAsia="es-ES" w:bidi="es-ES"/>
        </w:rPr>
      </w:pPr>
    </w:p>
    <w:p w14:paraId="1E60D9CC"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RECONOCIENDO</w:t>
      </w:r>
      <w:r w:rsidRPr="00FF7643">
        <w:rPr>
          <w:rFonts w:eastAsia="MS PGothic"/>
          <w:color w:val="000000"/>
          <w:szCs w:val="20"/>
          <w:lang w:eastAsia="es-ES" w:bidi="es-ES"/>
        </w:rPr>
        <w:t xml:space="preserve"> </w:t>
      </w:r>
      <w:r w:rsidRPr="00FF7643">
        <w:rPr>
          <w:rFonts w:eastAsia="MS PGothic"/>
          <w:i/>
          <w:color w:val="000000"/>
          <w:szCs w:val="20"/>
          <w:lang w:eastAsia="es-ES" w:bidi="es-ES"/>
        </w:rPr>
        <w:t>ADEMÁS</w:t>
      </w:r>
      <w:r w:rsidRPr="00FF7643">
        <w:rPr>
          <w:rFonts w:eastAsia="MS PGothic"/>
          <w:color w:val="000000"/>
          <w:szCs w:val="20"/>
          <w:lang w:eastAsia="es-ES" w:bidi="es-ES"/>
        </w:rPr>
        <w:t xml:space="preserve"> la complejidad técnica del sistema y la necesidad de continuar desarrollando y resolviendo las cuestiones técnicas pendientes;</w:t>
      </w:r>
    </w:p>
    <w:p w14:paraId="049039AF" w14:textId="77777777" w:rsidR="00A6045D" w:rsidRPr="00FF7643" w:rsidRDefault="00A6045D" w:rsidP="00A6045D">
      <w:pPr>
        <w:framePr w:wrap="auto" w:vAnchor="margin" w:yAlign="inline"/>
        <w:ind w:firstLine="284"/>
        <w:rPr>
          <w:rFonts w:eastAsia="MS PGothic"/>
          <w:color w:val="000000"/>
          <w:szCs w:val="20"/>
          <w:lang w:eastAsia="es-ES" w:bidi="es-ES"/>
        </w:rPr>
      </w:pPr>
    </w:p>
    <w:p w14:paraId="2C01A87F"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RECONOCIENDO</w:t>
      </w:r>
      <w:r w:rsidRPr="00FF7643">
        <w:rPr>
          <w:rFonts w:eastAsia="MS PGothic"/>
          <w:color w:val="000000"/>
          <w:szCs w:val="20"/>
          <w:lang w:eastAsia="es-ES" w:bidi="es-ES"/>
        </w:rPr>
        <w:t xml:space="preserve"> la plena implementación del sistema eBCD desde 2016;</w:t>
      </w:r>
    </w:p>
    <w:p w14:paraId="56A9D345" w14:textId="77777777" w:rsidR="00A6045D" w:rsidRPr="00FF7643" w:rsidRDefault="00A6045D" w:rsidP="00A6045D">
      <w:pPr>
        <w:framePr w:wrap="auto" w:vAnchor="margin" w:yAlign="inline"/>
        <w:rPr>
          <w:rFonts w:eastAsia="MS PGothic"/>
          <w:color w:val="000000"/>
          <w:szCs w:val="20"/>
          <w:lang w:eastAsia="es-ES" w:bidi="es-ES"/>
        </w:rPr>
      </w:pPr>
    </w:p>
    <w:p w14:paraId="4C1AF4AD" w14:textId="77777777" w:rsidR="00A6045D" w:rsidRPr="00FF7643" w:rsidRDefault="00A6045D" w:rsidP="00A6045D">
      <w:pPr>
        <w:framePr w:wrap="auto" w:vAnchor="margin" w:yAlign="inline"/>
        <w:ind w:firstLine="426"/>
        <w:rPr>
          <w:rFonts w:eastAsia="MS PGothic"/>
          <w:color w:val="000000"/>
          <w:szCs w:val="20"/>
          <w:lang w:eastAsia="es-ES" w:bidi="es-ES"/>
        </w:rPr>
      </w:pPr>
      <w:r w:rsidRPr="00FF7643">
        <w:rPr>
          <w:rFonts w:eastAsia="MS PGothic"/>
          <w:i/>
          <w:color w:val="000000"/>
          <w:szCs w:val="20"/>
          <w:lang w:eastAsia="es-ES" w:bidi="es-ES"/>
        </w:rPr>
        <w:t>CONSTATANDO</w:t>
      </w:r>
      <w:r w:rsidRPr="00FF7643">
        <w:rPr>
          <w:rFonts w:eastAsia="MS PGothic"/>
          <w:color w:val="000000"/>
          <w:szCs w:val="20"/>
          <w:lang w:eastAsia="es-ES" w:bidi="es-ES"/>
        </w:rPr>
        <w:t xml:space="preserve"> la revisión de 2017 de la pertinencia de derogaciones específicas y sus plazos asociados;</w:t>
      </w:r>
    </w:p>
    <w:p w14:paraId="41297F4B" w14:textId="77777777" w:rsidR="00A6045D" w:rsidRPr="00FF7643" w:rsidRDefault="00A6045D" w:rsidP="00A6045D">
      <w:pPr>
        <w:framePr w:wrap="auto" w:vAnchor="margin" w:yAlign="inline"/>
        <w:ind w:firstLine="426"/>
        <w:rPr>
          <w:rFonts w:eastAsia="MS PGothic"/>
          <w:color w:val="000000"/>
          <w:szCs w:val="20"/>
          <w:lang w:eastAsia="es-ES" w:bidi="es-ES"/>
        </w:rPr>
      </w:pPr>
    </w:p>
    <w:p w14:paraId="7005300B" w14:textId="037DC817" w:rsidR="00A6045D" w:rsidRPr="00FF7643" w:rsidRDefault="00A6045D" w:rsidP="00A6045D">
      <w:pPr>
        <w:framePr w:wrap="auto" w:vAnchor="margin" w:yAlign="inline"/>
        <w:ind w:firstLine="425"/>
        <w:rPr>
          <w:rFonts w:eastAsia="MS PGothic"/>
          <w:color w:val="000000"/>
          <w:szCs w:val="20"/>
          <w:lang w:eastAsia="es-ES" w:bidi="es-ES"/>
        </w:rPr>
      </w:pPr>
      <w:r w:rsidRPr="00FF7643">
        <w:rPr>
          <w:rFonts w:eastAsia="MS PGothic"/>
          <w:i/>
          <w:iCs/>
          <w:color w:val="000000"/>
          <w:szCs w:val="20"/>
          <w:lang w:eastAsia="es-ES" w:bidi="es-ES"/>
        </w:rPr>
        <w:t>RECONOCIENDO</w:t>
      </w:r>
      <w:r w:rsidRPr="00FF7643">
        <w:rPr>
          <w:rFonts w:eastAsia="MS PGothic"/>
          <w:color w:val="000000"/>
          <w:szCs w:val="20"/>
          <w:lang w:eastAsia="es-ES" w:bidi="es-ES"/>
        </w:rPr>
        <w:t xml:space="preserve"> que debido a la pandemia causada por el COVID-19</w:t>
      </w:r>
      <w:r w:rsidR="005E60BC" w:rsidRPr="00FF7643">
        <w:rPr>
          <w:rFonts w:eastAsia="MS PGothic"/>
          <w:color w:val="000000"/>
          <w:szCs w:val="20"/>
          <w:lang w:eastAsia="es-ES" w:bidi="es-ES"/>
        </w:rPr>
        <w:t xml:space="preserve"> ha sido</w:t>
      </w:r>
      <w:r w:rsidRPr="00FF7643">
        <w:rPr>
          <w:rFonts w:eastAsia="MS PGothic"/>
          <w:color w:val="000000"/>
          <w:szCs w:val="20"/>
          <w:lang w:eastAsia="es-ES" w:bidi="es-ES"/>
        </w:rPr>
        <w:t xml:space="preserve"> difícil celebrar debates de fondo sobre las medidas de conservación y ordenación y, en particular, proceder a una revisión significativa de las disposiciones establecidas en los párrafos 5</w:t>
      </w:r>
      <w:r w:rsidR="0016006B" w:rsidRPr="00FF7643">
        <w:rPr>
          <w:rFonts w:eastAsia="MS PGothic"/>
          <w:color w:val="000000"/>
          <w:szCs w:val="20"/>
          <w:lang w:eastAsia="es-ES" w:bidi="es-ES"/>
        </w:rPr>
        <w:t xml:space="preserve"> </w:t>
      </w:r>
      <w:r w:rsidRPr="00FF7643">
        <w:rPr>
          <w:rFonts w:eastAsia="MS PGothic"/>
          <w:color w:val="000000"/>
          <w:szCs w:val="20"/>
          <w:lang w:eastAsia="es-ES" w:bidi="es-ES"/>
        </w:rPr>
        <w:t>b</w:t>
      </w:r>
      <w:r w:rsidR="0016006B" w:rsidRPr="00FF7643">
        <w:rPr>
          <w:rFonts w:eastAsia="MS PGothic"/>
          <w:color w:val="000000"/>
          <w:szCs w:val="20"/>
          <w:lang w:eastAsia="es-ES" w:bidi="es-ES"/>
        </w:rPr>
        <w:t>)</w:t>
      </w:r>
      <w:r w:rsidRPr="00FF7643">
        <w:rPr>
          <w:rFonts w:eastAsia="MS PGothic"/>
          <w:color w:val="000000"/>
          <w:szCs w:val="20"/>
          <w:lang w:eastAsia="es-ES" w:bidi="es-ES"/>
        </w:rPr>
        <w:t xml:space="preserve"> y 5</w:t>
      </w:r>
      <w:r w:rsidR="0016006B" w:rsidRPr="00FF7643">
        <w:rPr>
          <w:rFonts w:eastAsia="MS PGothic"/>
          <w:color w:val="000000"/>
          <w:szCs w:val="20"/>
          <w:lang w:eastAsia="es-ES" w:bidi="es-ES"/>
        </w:rPr>
        <w:t xml:space="preserve"> </w:t>
      </w:r>
      <w:r w:rsidRPr="00FF7643">
        <w:rPr>
          <w:rFonts w:eastAsia="MS PGothic"/>
          <w:color w:val="000000"/>
          <w:szCs w:val="20"/>
          <w:lang w:eastAsia="es-ES" w:bidi="es-ES"/>
        </w:rPr>
        <w:t>d</w:t>
      </w:r>
      <w:r w:rsidR="0016006B" w:rsidRPr="00FF7643">
        <w:rPr>
          <w:rFonts w:eastAsia="MS PGothic"/>
          <w:color w:val="000000"/>
          <w:szCs w:val="20"/>
          <w:lang w:eastAsia="es-ES" w:bidi="es-ES"/>
        </w:rPr>
        <w:t>)</w:t>
      </w:r>
      <w:r w:rsidRPr="00FF7643">
        <w:rPr>
          <w:rFonts w:eastAsia="MS PGothic"/>
          <w:color w:val="000000"/>
          <w:szCs w:val="20"/>
          <w:lang w:eastAsia="es-ES" w:bidi="es-ES"/>
        </w:rPr>
        <w:t xml:space="preserve"> de la presente Recomendación, que expiran el 31</w:t>
      </w:r>
      <w:r w:rsidR="00733399" w:rsidRPr="00FF7643">
        <w:rPr>
          <w:rFonts w:eastAsia="MS PGothic"/>
          <w:color w:val="000000"/>
          <w:szCs w:val="20"/>
          <w:lang w:eastAsia="es-ES" w:bidi="es-ES"/>
        </w:rPr>
        <w:t> </w:t>
      </w:r>
      <w:r w:rsidRPr="00FF7643">
        <w:rPr>
          <w:rFonts w:eastAsia="MS PGothic"/>
          <w:color w:val="000000"/>
          <w:szCs w:val="20"/>
          <w:lang w:eastAsia="es-ES" w:bidi="es-ES"/>
        </w:rPr>
        <w:t xml:space="preserve">de diciembre de </w:t>
      </w:r>
      <w:r w:rsidR="004846D3" w:rsidRPr="00FF7643">
        <w:rPr>
          <w:rFonts w:eastAsia="MS PGothic"/>
          <w:color w:val="000000"/>
          <w:szCs w:val="20"/>
          <w:lang w:eastAsia="es-ES" w:bidi="es-ES"/>
        </w:rPr>
        <w:t>2024</w:t>
      </w:r>
      <w:r w:rsidRPr="00FF7643">
        <w:rPr>
          <w:rFonts w:eastAsia="MS PGothic"/>
          <w:color w:val="000000"/>
          <w:szCs w:val="20"/>
          <w:lang w:eastAsia="es-ES" w:bidi="es-ES"/>
        </w:rPr>
        <w:t>;</w:t>
      </w:r>
    </w:p>
    <w:p w14:paraId="121100FF" w14:textId="77777777" w:rsidR="00A6045D" w:rsidRPr="00FF7643" w:rsidRDefault="00A6045D" w:rsidP="00A6045D">
      <w:pPr>
        <w:framePr w:wrap="auto" w:vAnchor="margin" w:yAlign="inline"/>
        <w:ind w:firstLine="426"/>
        <w:rPr>
          <w:rFonts w:eastAsia="MS PGothic"/>
          <w:color w:val="000000"/>
          <w:szCs w:val="20"/>
          <w:lang w:eastAsia="es-ES" w:bidi="es-ES"/>
        </w:rPr>
      </w:pPr>
    </w:p>
    <w:p w14:paraId="286B079D" w14:textId="77777777" w:rsidR="004846D3" w:rsidRPr="00FF7643" w:rsidRDefault="004846D3" w:rsidP="004846D3">
      <w:pPr>
        <w:framePr w:wrap="auto" w:vAnchor="margin" w:yAlign="inline"/>
        <w:widowControl w:val="0"/>
        <w:ind w:firstLine="426"/>
        <w:rPr>
          <w:rFonts w:cs="Cambria"/>
          <w:color w:val="000000"/>
          <w:szCs w:val="20"/>
        </w:rPr>
      </w:pPr>
      <w:r w:rsidRPr="00FF7643">
        <w:rPr>
          <w:rFonts w:eastAsia="Aptos"/>
          <w:i/>
          <w:iCs/>
          <w:color w:val="000000"/>
          <w:kern w:val="2"/>
          <w:szCs w:val="20"/>
          <w14:ligatures w14:val="standardContextual"/>
        </w:rPr>
        <w:t>CONSIDERANDO ADEMÁS</w:t>
      </w:r>
      <w:r w:rsidRPr="00FF7643">
        <w:rPr>
          <w:rFonts w:eastAsia="Aptos"/>
          <w:color w:val="000000"/>
          <w:kern w:val="2"/>
          <w:szCs w:val="20"/>
          <w14:ligatures w14:val="standardContextual"/>
        </w:rPr>
        <w:t xml:space="preserve"> los debates mantenidos durante las Reuniones anuales de 2017 a 2024, en las que la Unión Europea presentó el informe anual a los Grupos de trabajo de ICCAT, facilitando la información requerida sobre la derogación especificada de la Unión Europea, lo que demuestra la excesiva carga administrativa y la desigualdad de condiciones que crearían estos requisitos de validación.</w:t>
      </w:r>
    </w:p>
    <w:p w14:paraId="315FF8CD" w14:textId="0B71D0FC" w:rsidR="00A6045D" w:rsidRPr="00FF7643" w:rsidRDefault="00A6045D" w:rsidP="00A6045D">
      <w:pPr>
        <w:framePr w:wrap="auto" w:vAnchor="margin" w:yAlign="inline"/>
        <w:ind w:firstLine="426"/>
        <w:rPr>
          <w:rFonts w:eastAsia="MS PGothic"/>
          <w:color w:val="000000"/>
          <w:szCs w:val="20"/>
          <w:lang w:eastAsia="es-ES" w:bidi="es-ES"/>
        </w:rPr>
      </w:pPr>
    </w:p>
    <w:p w14:paraId="01B41768" w14:textId="6C1CF60A" w:rsidR="00804825" w:rsidRPr="00FF7643" w:rsidRDefault="00A6045D" w:rsidP="00804825">
      <w:pPr>
        <w:framePr w:wrap="auto" w:vAnchor="margin" w:yAlign="inline"/>
        <w:jc w:val="center"/>
        <w:rPr>
          <w:rFonts w:eastAsia="MS PGothic"/>
          <w:color w:val="000000"/>
          <w:szCs w:val="20"/>
          <w:lang w:eastAsia="es-ES" w:bidi="es-ES"/>
        </w:rPr>
      </w:pPr>
      <w:r w:rsidRPr="00FF7643">
        <w:rPr>
          <w:rFonts w:eastAsia="MS PGothic"/>
          <w:color w:val="000000"/>
          <w:szCs w:val="20"/>
          <w:lang w:eastAsia="es-ES" w:bidi="es-ES"/>
        </w:rPr>
        <w:t xml:space="preserve">LA COMISIÓN </w:t>
      </w:r>
      <w:r w:rsidR="00804825" w:rsidRPr="00FF7643">
        <w:rPr>
          <w:szCs w:val="20"/>
        </w:rPr>
        <w:t xml:space="preserve">INTERNACIONAL </w:t>
      </w:r>
      <w:r w:rsidRPr="00FF7643">
        <w:rPr>
          <w:rFonts w:eastAsia="MS PGothic"/>
          <w:color w:val="000000"/>
          <w:szCs w:val="20"/>
          <w:lang w:eastAsia="es-ES" w:bidi="es-ES"/>
        </w:rPr>
        <w:t xml:space="preserve">PARA LA CONSERVACIÓN </w:t>
      </w:r>
    </w:p>
    <w:p w14:paraId="1447DDE9" w14:textId="35B1D138" w:rsidR="00A6045D" w:rsidRPr="00FF7643" w:rsidRDefault="00A6045D" w:rsidP="00804825">
      <w:pPr>
        <w:framePr w:wrap="auto" w:vAnchor="margin" w:yAlign="inline"/>
        <w:jc w:val="center"/>
        <w:rPr>
          <w:rFonts w:eastAsia="MS PGothic"/>
          <w:color w:val="000000"/>
          <w:szCs w:val="20"/>
          <w:lang w:eastAsia="es-ES" w:bidi="es-ES"/>
        </w:rPr>
      </w:pPr>
      <w:r w:rsidRPr="00FF7643">
        <w:rPr>
          <w:rFonts w:eastAsia="MS PGothic"/>
          <w:color w:val="000000"/>
          <w:szCs w:val="20"/>
          <w:lang w:eastAsia="es-ES" w:bidi="es-ES"/>
        </w:rPr>
        <w:t>DEL ATÚN ATLÁNTICO (ICCAT)</w:t>
      </w:r>
      <w:r w:rsidR="00804825" w:rsidRPr="00FF7643">
        <w:rPr>
          <w:rFonts w:eastAsia="MS PGothic"/>
          <w:color w:val="000000"/>
          <w:szCs w:val="20"/>
          <w:lang w:eastAsia="es-ES" w:bidi="es-ES"/>
        </w:rPr>
        <w:t xml:space="preserve"> </w:t>
      </w:r>
      <w:r w:rsidRPr="00FF7643">
        <w:rPr>
          <w:rFonts w:eastAsia="MS PGothic"/>
          <w:color w:val="000000"/>
          <w:szCs w:val="20"/>
          <w:lang w:eastAsia="es-ES" w:bidi="es-ES"/>
        </w:rPr>
        <w:t>RECOMIENDA LO SIGUIENTE:</w:t>
      </w:r>
    </w:p>
    <w:p w14:paraId="2418FFB3" w14:textId="77777777" w:rsidR="00A6045D" w:rsidRPr="00FF7643" w:rsidRDefault="00A6045D" w:rsidP="00251CC6">
      <w:pPr>
        <w:framePr w:wrap="auto" w:vAnchor="margin" w:yAlign="inline"/>
        <w:ind w:left="240" w:hanging="240"/>
        <w:rPr>
          <w:rFonts w:eastAsia="MS PGothic"/>
          <w:color w:val="000000"/>
          <w:szCs w:val="20"/>
          <w:lang w:eastAsia="es-ES" w:bidi="es-ES"/>
        </w:rPr>
      </w:pPr>
    </w:p>
    <w:p w14:paraId="6E163783" w14:textId="168D5CB8" w:rsidR="00A6045D" w:rsidRPr="00FF7643" w:rsidRDefault="00A6045D" w:rsidP="00251CC6">
      <w:pPr>
        <w:framePr w:wrap="auto" w:vAnchor="margin" w:yAlign="inline"/>
        <w:numPr>
          <w:ilvl w:val="0"/>
          <w:numId w:val="9"/>
        </w:numPr>
        <w:ind w:left="425" w:hanging="425"/>
        <w:rPr>
          <w:rFonts w:eastAsia="MS PGothic"/>
          <w:color w:val="000000"/>
          <w:szCs w:val="20"/>
          <w:lang w:eastAsia="es-ES" w:bidi="es-ES"/>
        </w:rPr>
      </w:pPr>
      <w:r w:rsidRPr="00FF7643">
        <w:rPr>
          <w:rFonts w:eastAsia="MS PGothic"/>
          <w:color w:val="000000"/>
          <w:szCs w:val="20"/>
          <w:lang w:eastAsia="es-ES" w:bidi="es-ES"/>
        </w:rPr>
        <w:t>Todas las CPC afectadas presentarán a la Secretaría, lo antes posible para la implementación del sistema eBCD, los datos necesarios para garantizar el registro de sus usuarios en el sistema eBCD. No se podrá garantizar el acceso al sistema ni su utilización para aquellos que no faciliten y no mantengan los datos requeridos por el sistema eBCD.</w:t>
      </w:r>
    </w:p>
    <w:p w14:paraId="655C9359" w14:textId="77777777" w:rsidR="00A6045D" w:rsidRPr="00FF7643" w:rsidRDefault="00A6045D" w:rsidP="00251CC6">
      <w:pPr>
        <w:framePr w:wrap="auto" w:vAnchor="margin" w:yAlign="inline"/>
        <w:ind w:left="425"/>
        <w:rPr>
          <w:rFonts w:eastAsia="MS PGothic"/>
          <w:color w:val="000000"/>
          <w:szCs w:val="20"/>
          <w:lang w:eastAsia="es-ES" w:bidi="es-ES"/>
        </w:rPr>
      </w:pPr>
    </w:p>
    <w:p w14:paraId="2B8DB9CA" w14:textId="77777777" w:rsidR="00A6045D" w:rsidRPr="00FF7643" w:rsidRDefault="00A6045D" w:rsidP="00251CC6">
      <w:pPr>
        <w:framePr w:wrap="auto" w:vAnchor="margin" w:yAlign="inline"/>
        <w:numPr>
          <w:ilvl w:val="0"/>
          <w:numId w:val="9"/>
        </w:numPr>
        <w:ind w:left="425" w:hanging="425"/>
        <w:rPr>
          <w:rFonts w:eastAsia="MS PGothic"/>
          <w:color w:val="000000"/>
          <w:szCs w:val="20"/>
          <w:lang w:eastAsia="es-ES" w:bidi="es-ES"/>
        </w:rPr>
      </w:pPr>
      <w:r w:rsidRPr="00FF7643">
        <w:rPr>
          <w:rFonts w:eastAsia="MS PGothic"/>
          <w:color w:val="000000"/>
          <w:szCs w:val="20"/>
          <w:lang w:eastAsia="es-ES" w:bidi="es-ES"/>
        </w:rPr>
        <w:lastRenderedPageBreak/>
        <w:t xml:space="preserve">El uso del sistema eBCD es obligatorio para todas las CPC y ya no se aceptarán BCD en papel, excepto en las circunstancias limitadas especificadas en el párrafo 6, posterior. </w:t>
      </w:r>
    </w:p>
    <w:p w14:paraId="771D48E8" w14:textId="77777777" w:rsidR="00A6045D" w:rsidRPr="00FF7643" w:rsidRDefault="00A6045D" w:rsidP="00251CC6">
      <w:pPr>
        <w:framePr w:wrap="auto" w:vAnchor="margin" w:yAlign="inline"/>
        <w:tabs>
          <w:tab w:val="left" w:pos="1311"/>
        </w:tabs>
        <w:rPr>
          <w:rFonts w:eastAsia="MS PGothic"/>
          <w:color w:val="000000"/>
          <w:szCs w:val="20"/>
          <w:lang w:eastAsia="es-ES" w:bidi="es-ES"/>
        </w:rPr>
      </w:pPr>
      <w:r w:rsidRPr="00FF7643">
        <w:rPr>
          <w:rFonts w:eastAsia="MS PGothic"/>
          <w:color w:val="000000"/>
          <w:szCs w:val="20"/>
          <w:lang w:eastAsia="es-ES" w:bidi="es-ES"/>
        </w:rPr>
        <w:tab/>
      </w:r>
    </w:p>
    <w:p w14:paraId="3982D3E8" w14:textId="6BA7B4B4" w:rsidR="00A6045D" w:rsidRPr="00FF7643" w:rsidRDefault="00A6045D" w:rsidP="00251CC6">
      <w:pPr>
        <w:framePr w:wrap="auto" w:vAnchor="margin" w:yAlign="inline"/>
        <w:numPr>
          <w:ilvl w:val="0"/>
          <w:numId w:val="9"/>
        </w:numPr>
        <w:ind w:left="425" w:hanging="425"/>
        <w:rPr>
          <w:rFonts w:eastAsia="MS PGothic"/>
          <w:color w:val="000000"/>
          <w:szCs w:val="20"/>
          <w:lang w:eastAsia="es-ES" w:bidi="es-ES"/>
        </w:rPr>
      </w:pPr>
      <w:r w:rsidRPr="00FF7643">
        <w:rPr>
          <w:rFonts w:eastAsia="MS PGothic"/>
          <w:color w:val="000000"/>
          <w:szCs w:val="20"/>
          <w:lang w:eastAsia="es-ES" w:bidi="es-ES"/>
        </w:rPr>
        <w:t xml:space="preserve">Las CPC podrían comunicar a la Secretaría y al </w:t>
      </w:r>
      <w:r w:rsidR="00F754F7" w:rsidRPr="00FF7643">
        <w:rPr>
          <w:rFonts w:eastAsia="MS PGothic"/>
          <w:color w:val="000000"/>
          <w:szCs w:val="20"/>
          <w:lang w:eastAsia="es-ES" w:bidi="es-ES"/>
        </w:rPr>
        <w:t>Grupo de trabajo permanente sobre sistemas de documentación de capturas (CDS WG)</w:t>
      </w:r>
      <w:r w:rsidRPr="00FF7643">
        <w:rPr>
          <w:rFonts w:eastAsia="MS PGothic"/>
          <w:color w:val="000000"/>
          <w:szCs w:val="20"/>
          <w:lang w:eastAsia="es-ES" w:bidi="es-ES"/>
        </w:rPr>
        <w:t xml:space="preserve"> su experiencia con los aspectos técnicos de la implementación del sistema, lo que incluye cualquier dificultad que haya surgido y la identificación de las mejoras en las funciones con el fin de mejorar el desempeño y la implementación del eBCD. La Comisión podría considerar estas recomendaciones, así como un apoyo financiero para continuar el desarrollo del sistema.</w:t>
      </w:r>
    </w:p>
    <w:p w14:paraId="5EAE860C" w14:textId="77777777" w:rsidR="00251CC6" w:rsidRPr="00FF7643" w:rsidRDefault="00251CC6" w:rsidP="00251CC6">
      <w:pPr>
        <w:pStyle w:val="ListParagraph"/>
        <w:framePr w:wrap="notBeside"/>
        <w:rPr>
          <w:rFonts w:eastAsia="MS PGothic"/>
          <w:color w:val="000000"/>
          <w:szCs w:val="20"/>
          <w:lang w:eastAsia="es-ES" w:bidi="es-ES"/>
        </w:rPr>
      </w:pPr>
    </w:p>
    <w:p w14:paraId="6B084D36" w14:textId="65D5D6C7" w:rsidR="00A6045D" w:rsidRPr="00FF7643" w:rsidRDefault="00A6045D" w:rsidP="00251CC6">
      <w:pPr>
        <w:framePr w:wrap="auto" w:vAnchor="margin" w:yAlign="inline"/>
        <w:numPr>
          <w:ilvl w:val="0"/>
          <w:numId w:val="9"/>
        </w:numPr>
        <w:ind w:left="426" w:hanging="426"/>
        <w:rPr>
          <w:rFonts w:eastAsia="MS PGothic"/>
          <w:color w:val="000000"/>
          <w:szCs w:val="20"/>
          <w:lang w:eastAsia="es-ES" w:bidi="es-ES"/>
        </w:rPr>
      </w:pPr>
      <w:r w:rsidRPr="00FF7643">
        <w:rPr>
          <w:rFonts w:eastAsia="MS PGothic"/>
          <w:color w:val="000000"/>
          <w:szCs w:val="20"/>
          <w:lang w:eastAsia="es-ES" w:bidi="es-ES"/>
        </w:rPr>
        <w:t xml:space="preserve">Las disposiciones </w:t>
      </w:r>
      <w:r w:rsidR="00736231" w:rsidRPr="00FF7643">
        <w:rPr>
          <w:rFonts w:eastAsia="MS PGothic"/>
          <w:color w:val="000000"/>
          <w:szCs w:val="20"/>
          <w:lang w:eastAsia="es-ES" w:bidi="es-ES"/>
        </w:rPr>
        <w:t>importantes</w:t>
      </w:r>
      <w:r w:rsidRPr="00FF7643">
        <w:rPr>
          <w:rFonts w:eastAsia="MS PGothic"/>
          <w:color w:val="000000"/>
          <w:szCs w:val="20"/>
          <w:lang w:eastAsia="es-ES" w:bidi="es-ES"/>
        </w:rPr>
        <w:t xml:space="preserve"> de la </w:t>
      </w:r>
      <w:r w:rsidR="0073286D" w:rsidRPr="00FF7643">
        <w:rPr>
          <w:rFonts w:eastAsia="MS PGothic"/>
          <w:i/>
          <w:iCs/>
          <w:color w:val="000000"/>
          <w:szCs w:val="20"/>
          <w:lang w:eastAsia="es-ES" w:bidi="es-ES"/>
        </w:rPr>
        <w:t>Recomendación de ICCAT que enmienda y reemplaza la Recomendación 18-13 sobre el programa ICCAT de documentación de capturas de atún rojo</w:t>
      </w:r>
      <w:r w:rsidR="0073286D" w:rsidRPr="00FF7643">
        <w:rPr>
          <w:rFonts w:eastAsia="MS PGothic"/>
          <w:color w:val="000000"/>
          <w:szCs w:val="20"/>
          <w:lang w:eastAsia="es-ES" w:bidi="es-ES"/>
        </w:rPr>
        <w:t xml:space="preserve"> (Rec. </w:t>
      </w:r>
      <w:r w:rsidR="004846D3" w:rsidRPr="00FF7643">
        <w:rPr>
          <w:rFonts w:eastAsia="MS PGothic"/>
          <w:color w:val="000000"/>
          <w:szCs w:val="20"/>
          <w:lang w:eastAsia="es-ES" w:bidi="es-ES"/>
        </w:rPr>
        <w:t>23-21</w:t>
      </w:r>
      <w:r w:rsidR="0073286D" w:rsidRPr="00FF7643">
        <w:rPr>
          <w:rFonts w:eastAsia="MS PGothic"/>
          <w:color w:val="000000"/>
          <w:szCs w:val="20"/>
          <w:lang w:eastAsia="es-ES" w:bidi="es-ES"/>
        </w:rPr>
        <w:t xml:space="preserve">) </w:t>
      </w:r>
      <w:r w:rsidRPr="00FF7643">
        <w:rPr>
          <w:rFonts w:eastAsia="MS PGothic"/>
          <w:color w:val="000000"/>
          <w:szCs w:val="20"/>
          <w:lang w:eastAsia="es-ES" w:bidi="es-ES"/>
        </w:rPr>
        <w:t xml:space="preserve">se aplicarán </w:t>
      </w:r>
      <w:r w:rsidRPr="00FF7643">
        <w:rPr>
          <w:rFonts w:eastAsia="MS PGothic"/>
          <w:i/>
          <w:color w:val="000000"/>
          <w:szCs w:val="20"/>
          <w:lang w:eastAsia="es-ES" w:bidi="es-ES"/>
        </w:rPr>
        <w:t>mutatis mutandis</w:t>
      </w:r>
      <w:r w:rsidRPr="00FF7643">
        <w:rPr>
          <w:rFonts w:eastAsia="MS PGothic"/>
          <w:color w:val="000000"/>
          <w:szCs w:val="20"/>
          <w:lang w:eastAsia="es-ES" w:bidi="es-ES"/>
        </w:rPr>
        <w:t xml:space="preserve"> a los BCD electrónicos (eBCD). </w:t>
      </w:r>
    </w:p>
    <w:p w14:paraId="52E2707B" w14:textId="77777777" w:rsidR="00251CC6" w:rsidRPr="00FF7643" w:rsidRDefault="00251CC6" w:rsidP="00251CC6">
      <w:pPr>
        <w:pStyle w:val="ListParagraph"/>
        <w:framePr w:wrap="notBeside"/>
        <w:rPr>
          <w:rFonts w:eastAsia="MS PGothic"/>
          <w:color w:val="000000"/>
          <w:szCs w:val="20"/>
          <w:lang w:eastAsia="es-ES" w:bidi="es-ES"/>
        </w:rPr>
      </w:pPr>
    </w:p>
    <w:p w14:paraId="3886F9F8" w14:textId="77777777" w:rsidR="00A6045D" w:rsidRPr="00FF7643" w:rsidRDefault="00A6045D" w:rsidP="00251CC6">
      <w:pPr>
        <w:framePr w:wrap="auto" w:vAnchor="margin" w:yAlign="inline"/>
        <w:numPr>
          <w:ilvl w:val="0"/>
          <w:numId w:val="9"/>
        </w:numPr>
        <w:ind w:left="426" w:hanging="426"/>
        <w:rPr>
          <w:rFonts w:eastAsia="MS PGothic"/>
          <w:color w:val="000000"/>
          <w:szCs w:val="20"/>
          <w:lang w:eastAsia="es-ES" w:bidi="es-ES"/>
        </w:rPr>
      </w:pPr>
      <w:r w:rsidRPr="00FF7643">
        <w:rPr>
          <w:rFonts w:eastAsia="MS PGothic"/>
          <w:color w:val="000000"/>
          <w:szCs w:val="20"/>
          <w:lang w:eastAsia="es-ES" w:bidi="es-ES"/>
        </w:rPr>
        <w:t>No obstante las disposiciones del párrafo 4 de esta Recomendación, se aplicarán las siguientes disposiciones con respecto al programa BCD y su implementación mediante el sistema eBCD:</w:t>
      </w:r>
    </w:p>
    <w:p w14:paraId="7AB821DB" w14:textId="77777777" w:rsidR="00251CC6" w:rsidRPr="00FF7643" w:rsidRDefault="00251CC6" w:rsidP="00251CC6">
      <w:pPr>
        <w:pStyle w:val="ListParagraph"/>
        <w:framePr w:wrap="notBeside"/>
        <w:rPr>
          <w:rFonts w:eastAsia="MS PGothic"/>
          <w:color w:val="000000"/>
          <w:szCs w:val="20"/>
          <w:lang w:eastAsia="es-ES" w:bidi="es-ES"/>
        </w:rPr>
      </w:pPr>
    </w:p>
    <w:p w14:paraId="2D30618E" w14:textId="3541F5D7" w:rsidR="00A6045D" w:rsidRPr="00FF7643" w:rsidRDefault="00A6045D" w:rsidP="00251CC6">
      <w:pPr>
        <w:framePr w:wrap="auto" w:vAnchor="margin" w:yAlign="inline"/>
        <w:numPr>
          <w:ilvl w:val="1"/>
          <w:numId w:val="1"/>
        </w:numPr>
        <w:rPr>
          <w:rFonts w:eastAsia="MS PGothic"/>
          <w:color w:val="000000"/>
          <w:szCs w:val="20"/>
          <w:lang w:eastAsia="es-ES" w:bidi="es-ES"/>
        </w:rPr>
      </w:pPr>
      <w:r w:rsidRPr="00FF7643">
        <w:rPr>
          <w:rFonts w:eastAsia="MS PGothic"/>
          <w:color w:val="000000"/>
          <w:szCs w:val="20"/>
          <w:lang w:eastAsia="es-ES" w:bidi="es-ES"/>
        </w:rPr>
        <w:t xml:space="preserve">Tras el registro y validación de la captura y primera comercialización en el sistema eBCD de conformidad con la parte II de la Recomendación </w:t>
      </w:r>
      <w:r w:rsidR="00DD69EA" w:rsidRPr="00FF7643">
        <w:rPr>
          <w:rFonts w:eastAsia="MS PGothic"/>
          <w:color w:val="000000"/>
          <w:szCs w:val="20"/>
          <w:lang w:eastAsia="es-ES" w:bidi="es-ES"/>
        </w:rPr>
        <w:t>23-21</w:t>
      </w:r>
      <w:r w:rsidRPr="00FF7643">
        <w:rPr>
          <w:rFonts w:eastAsia="MS PGothic"/>
          <w:color w:val="000000"/>
          <w:szCs w:val="20"/>
          <w:lang w:eastAsia="es-ES" w:bidi="es-ES"/>
        </w:rPr>
        <w:t xml:space="preserve">, no se requiere el registro de información sobre ventas internas de atún rojo en el eBCD (a saber, ventas que se producen en el interior de una Parte contratante o Parte, entidad o entidad pesquera no contratante colaboradora (CPC) o, en el caso de la Unión Europea, en el interior de uno de sus Estados miembros). </w:t>
      </w:r>
    </w:p>
    <w:p w14:paraId="341B62D9" w14:textId="77777777" w:rsidR="00A6045D" w:rsidRPr="00FF7643" w:rsidRDefault="00A6045D" w:rsidP="00251CC6">
      <w:pPr>
        <w:framePr w:wrap="auto" w:vAnchor="margin" w:yAlign="inline"/>
        <w:ind w:left="838"/>
        <w:rPr>
          <w:rFonts w:eastAsia="MS PGothic"/>
          <w:color w:val="000000"/>
          <w:szCs w:val="20"/>
          <w:lang w:eastAsia="es-ES" w:bidi="es-ES"/>
        </w:rPr>
      </w:pPr>
    </w:p>
    <w:p w14:paraId="19ABE5A4" w14:textId="2BE8DAEF" w:rsidR="00A6045D" w:rsidRPr="00FF7643" w:rsidRDefault="00A6045D" w:rsidP="00251CC6">
      <w:pPr>
        <w:framePr w:wrap="auto" w:vAnchor="margin" w:yAlign="inline"/>
        <w:ind w:left="851" w:hanging="425"/>
        <w:rPr>
          <w:rFonts w:eastAsia="MS PGothic"/>
          <w:color w:val="000000"/>
          <w:szCs w:val="20"/>
          <w:lang w:eastAsia="es-ES" w:bidi="es-ES"/>
        </w:rPr>
      </w:pPr>
      <w:r w:rsidRPr="00FF7643">
        <w:rPr>
          <w:rFonts w:eastAsia="MS PGothic"/>
          <w:color w:val="000000"/>
          <w:szCs w:val="20"/>
          <w:lang w:eastAsia="es-ES" w:bidi="es-ES"/>
        </w:rPr>
        <w:t xml:space="preserve">b) </w:t>
      </w:r>
      <w:r w:rsidRPr="00FF7643">
        <w:rPr>
          <w:rFonts w:eastAsia="MS PGothic"/>
          <w:color w:val="000000"/>
          <w:szCs w:val="20"/>
          <w:lang w:eastAsia="es-ES" w:bidi="es-ES"/>
        </w:rPr>
        <w:tab/>
        <w:t xml:space="preserve">Tras consignar y validar la captura y el primer comercio en el eBCD, el comercio interno entre los Estados miembros de la Unión Europea deberá ser consignado en el sistema eBCD por el vendedor, de conformidad con el párrafo 13 de la Rec. </w:t>
      </w:r>
      <w:r w:rsidR="00DD69EA" w:rsidRPr="00FF7643">
        <w:rPr>
          <w:rFonts w:eastAsia="MS PGothic"/>
          <w:color w:val="000000"/>
          <w:szCs w:val="20"/>
          <w:lang w:eastAsia="es-ES" w:bidi="es-ES"/>
        </w:rPr>
        <w:t>23-21</w:t>
      </w:r>
      <w:r w:rsidRPr="00FF7643">
        <w:rPr>
          <w:rFonts w:eastAsia="MS PGothic"/>
          <w:color w:val="000000"/>
          <w:szCs w:val="20"/>
          <w:lang w:eastAsia="es-ES" w:bidi="es-ES"/>
        </w:rPr>
        <w:t xml:space="preserve">. Sin embargo, por derogación de la Recomendación </w:t>
      </w:r>
      <w:r w:rsidR="005445F3" w:rsidRPr="00FF7643">
        <w:rPr>
          <w:rFonts w:eastAsia="MS PGothic"/>
          <w:color w:val="000000"/>
          <w:szCs w:val="20"/>
          <w:lang w:eastAsia="es-ES" w:bidi="es-ES"/>
        </w:rPr>
        <w:t>23-21</w:t>
      </w:r>
      <w:r w:rsidRPr="00FF7643">
        <w:rPr>
          <w:rFonts w:eastAsia="MS PGothic"/>
          <w:color w:val="000000"/>
          <w:szCs w:val="20"/>
          <w:lang w:eastAsia="es-ES" w:bidi="es-ES"/>
        </w:rPr>
        <w:t xml:space="preserve">, no será necesaria la validación cuando dicho comercio sea de atún rojo en alguna de las siguientes formas de producto enumeradas en el eBCD: “filetes” (FL) u “otros, especificar” (OT). Las formas de producto “eviscerado y sin agallas” (GG), “canal” (DR) y “vivo” (RD) requerirán validación. Sin embargo, cuando dicho producto (FL y OT) esté empaquetado para el transporte, el número de eBCD asociado deberá estar escrito de manera legible e indeleble en la parte exterior de cualquier paquete que contenga alguna parte del atún, excepto para los productos exentos especificados en el párrafo 10 de la Recomendación </w:t>
      </w:r>
      <w:r w:rsidR="00DD69EA" w:rsidRPr="00FF7643">
        <w:rPr>
          <w:rFonts w:eastAsia="MS PGothic"/>
          <w:color w:val="000000"/>
          <w:szCs w:val="20"/>
          <w:lang w:eastAsia="es-ES" w:bidi="es-ES"/>
        </w:rPr>
        <w:t>23-21</w:t>
      </w:r>
      <w:r w:rsidRPr="00FF7643">
        <w:rPr>
          <w:rFonts w:eastAsia="MS PGothic"/>
          <w:color w:val="000000"/>
          <w:szCs w:val="20"/>
          <w:lang w:eastAsia="es-ES" w:bidi="es-ES"/>
        </w:rPr>
        <w:t xml:space="preserve">. </w:t>
      </w:r>
    </w:p>
    <w:p w14:paraId="72959101" w14:textId="77777777" w:rsidR="00A6045D" w:rsidRPr="00FF7643" w:rsidRDefault="00A6045D" w:rsidP="00251CC6">
      <w:pPr>
        <w:framePr w:wrap="auto" w:vAnchor="margin" w:yAlign="inline"/>
        <w:ind w:left="670" w:hanging="386"/>
        <w:rPr>
          <w:rFonts w:eastAsia="MS PGothic"/>
          <w:color w:val="000000"/>
          <w:szCs w:val="20"/>
          <w:lang w:eastAsia="es-ES" w:bidi="es-ES"/>
        </w:rPr>
      </w:pPr>
    </w:p>
    <w:p w14:paraId="6EE8B7B1" w14:textId="6D83DB10" w:rsidR="00A6045D" w:rsidRPr="00FF7643" w:rsidRDefault="00A6045D" w:rsidP="00251CC6">
      <w:pPr>
        <w:framePr w:wrap="auto" w:vAnchor="margin" w:yAlign="inline"/>
        <w:ind w:left="851" w:hanging="3"/>
        <w:rPr>
          <w:rFonts w:eastAsia="MS PGothic"/>
          <w:color w:val="000000"/>
          <w:szCs w:val="20"/>
          <w:lang w:eastAsia="es-ES" w:bidi="es-ES"/>
        </w:rPr>
      </w:pPr>
      <w:r w:rsidRPr="00FF7643">
        <w:rPr>
          <w:rFonts w:eastAsia="MS PGothic"/>
          <w:color w:val="000000"/>
          <w:szCs w:val="20"/>
          <w:lang w:eastAsia="es-ES" w:bidi="es-ES"/>
        </w:rPr>
        <w:t xml:space="preserve">Para dichas formas de producto (FL y OT), además de los requisitos del párrafo anterior, el comercio interno posterior a otro Estado miembro solo tendrá lugar cuando la información comercial del Estado miembro previo haya sido consignada en el sistema eBCD. La exportación desde la Unión Europea solo tendrá lugar si el comercio anterior entre Estados miembros ha sido adecuadamente consignado y dicha exportación continuará requiriendo la validación en el sistema eBCD de conformidad con el párrafo 13 de la Rec. </w:t>
      </w:r>
      <w:r w:rsidR="00DD69EA" w:rsidRPr="00FF7643">
        <w:rPr>
          <w:rFonts w:eastAsia="MS PGothic"/>
          <w:color w:val="000000"/>
          <w:szCs w:val="20"/>
          <w:lang w:eastAsia="es-ES" w:bidi="es-ES"/>
        </w:rPr>
        <w:t>23-21</w:t>
      </w:r>
      <w:r w:rsidRPr="00FF7643">
        <w:rPr>
          <w:rFonts w:eastAsia="MS PGothic"/>
          <w:color w:val="000000"/>
          <w:szCs w:val="20"/>
          <w:lang w:eastAsia="es-ES" w:bidi="es-ES"/>
        </w:rPr>
        <w:t xml:space="preserve">. </w:t>
      </w:r>
    </w:p>
    <w:p w14:paraId="70DBE387" w14:textId="77777777" w:rsidR="00A6045D" w:rsidRPr="00FF7643" w:rsidRDefault="00A6045D" w:rsidP="00251CC6">
      <w:pPr>
        <w:framePr w:wrap="auto" w:vAnchor="margin" w:yAlign="inline"/>
        <w:ind w:leftChars="116" w:left="235" w:hanging="3"/>
        <w:rPr>
          <w:rFonts w:eastAsia="MS PGothic"/>
          <w:color w:val="000000"/>
          <w:szCs w:val="20"/>
          <w:lang w:eastAsia="es-ES" w:bidi="es-ES"/>
        </w:rPr>
      </w:pPr>
    </w:p>
    <w:p w14:paraId="3EB4B757" w14:textId="7F0A3BEB" w:rsidR="00A6045D" w:rsidRPr="00FF7643" w:rsidRDefault="00A6045D" w:rsidP="00251CC6">
      <w:pPr>
        <w:framePr w:wrap="auto" w:vAnchor="margin" w:yAlign="inline"/>
        <w:ind w:left="851" w:hanging="3"/>
        <w:rPr>
          <w:rFonts w:eastAsia="MS PGothic"/>
          <w:color w:val="000000"/>
          <w:szCs w:val="20"/>
          <w:lang w:eastAsia="es-ES" w:bidi="es-ES"/>
        </w:rPr>
      </w:pPr>
      <w:r w:rsidRPr="00FF7643">
        <w:rPr>
          <w:rFonts w:eastAsia="MS PGothic"/>
          <w:color w:val="000000"/>
          <w:szCs w:val="20"/>
          <w:lang w:eastAsia="es-ES" w:bidi="es-ES"/>
        </w:rPr>
        <w:t xml:space="preserve">La derogación prevista en este párrafo </w:t>
      </w:r>
      <w:r w:rsidR="00DD69EA" w:rsidRPr="00FF7643">
        <w:rPr>
          <w:rFonts w:eastAsia="MS PGothic"/>
          <w:color w:val="000000"/>
          <w:szCs w:val="20"/>
          <w:lang w:eastAsia="es-ES" w:bidi="es-ES"/>
        </w:rPr>
        <w:t>será aplicable a partir del 1 de enero de 2025</w:t>
      </w:r>
      <w:r w:rsidRPr="00FF7643">
        <w:rPr>
          <w:rFonts w:eastAsia="MS PGothic"/>
          <w:color w:val="000000"/>
          <w:szCs w:val="20"/>
          <w:lang w:eastAsia="es-ES" w:bidi="es-ES"/>
        </w:rPr>
        <w:t>. La Unión Europea informará a la Comisión sobre la implementación de esta derogación antes del 1 de octubre de cada año de la derogación</w:t>
      </w:r>
      <w:r w:rsidR="00DD69EA" w:rsidRPr="00FF7643">
        <w:rPr>
          <w:rFonts w:eastAsia="MS PGothic"/>
          <w:color w:val="000000"/>
          <w:szCs w:val="20"/>
          <w:lang w:eastAsia="es-ES" w:bidi="es-ES"/>
        </w:rPr>
        <w:t xml:space="preserve"> y mientras las estadísticas contenidas en este informe no puedan ser generadas por el sistema eBCD, y puestas automáticamente a disposición de toda la Comisión de ICCAT y las CPC para su consulta.</w:t>
      </w:r>
      <w:r w:rsidRPr="00FF7643">
        <w:rPr>
          <w:rFonts w:eastAsia="MS PGothic"/>
          <w:color w:val="000000"/>
          <w:szCs w:val="20"/>
          <w:lang w:eastAsia="es-ES" w:bidi="es-ES"/>
        </w:rPr>
        <w:t xml:space="preserve"> Este informe incluirá información sobre su proceso de verificación y los resultados de dicho proceso, así como datos sobre estas operaciones comerciales, lo que incluye la información estadística pertinente. </w:t>
      </w:r>
    </w:p>
    <w:p w14:paraId="35EA63D7" w14:textId="77777777" w:rsidR="00A6045D" w:rsidRPr="00FF7643" w:rsidRDefault="00A6045D" w:rsidP="00251CC6">
      <w:pPr>
        <w:framePr w:wrap="auto" w:vAnchor="margin" w:yAlign="inline"/>
        <w:ind w:leftChars="116" w:left="235" w:hanging="3"/>
        <w:rPr>
          <w:rFonts w:eastAsia="MS UI Gothic"/>
          <w:color w:val="000000"/>
          <w:szCs w:val="20"/>
          <w:lang w:eastAsia="es-ES" w:bidi="es-ES"/>
        </w:rPr>
      </w:pPr>
    </w:p>
    <w:p w14:paraId="4BF21948" w14:textId="77777777" w:rsidR="00762D43" w:rsidRPr="00762D43" w:rsidRDefault="00762D43" w:rsidP="00762D43">
      <w:pPr>
        <w:framePr w:wrap="auto" w:vAnchor="margin" w:yAlign="inline"/>
        <w:ind w:left="851" w:hanging="3"/>
        <w:rPr>
          <w:rFonts w:eastAsia="MS PGothic"/>
          <w:color w:val="000000"/>
          <w:szCs w:val="20"/>
          <w:lang w:eastAsia="es-ES" w:bidi="es-ES"/>
        </w:rPr>
      </w:pPr>
      <w:r w:rsidRPr="00762D43">
        <w:rPr>
          <w:rFonts w:eastAsia="MS PGothic"/>
          <w:color w:val="000000"/>
          <w:szCs w:val="20"/>
          <w:lang w:eastAsia="es-ES" w:bidi="es-ES"/>
        </w:rPr>
        <w:t xml:space="preserve">El comercio de ejemplares vivos de atún rojo, lo que incluye todas las operaciones comerciales a y desde las granjas de atún rojo, debe ser consignado y validado en el sistema eBCD de conformidad con las disposiciones de la Recomendación 23-21, a menos que esta Recomendación especifique otra cosa. La validación de las secciones 2 (captura) y 3 (comercio de ejemplares vivos) en el eBCD podrá ser realizada simultáneamente por derogación del párrafo 3 de la Recomendación 23-21. La modificación y revalidación de las secciones 2 y 3 en el eBCD, como requiere el párrafo 99 de la </w:t>
      </w:r>
      <w:r w:rsidRPr="00762D43">
        <w:rPr>
          <w:rFonts w:eastAsia="MS PGothic"/>
          <w:i/>
          <w:color w:val="000000"/>
          <w:szCs w:val="20"/>
          <w:lang w:eastAsia="es-ES" w:bidi="es-ES"/>
        </w:rPr>
        <w:t xml:space="preserve">Recomendación de ICCAT que establece un Plan de ordenación </w:t>
      </w:r>
      <w:r w:rsidRPr="00762D43">
        <w:rPr>
          <w:rFonts w:eastAsia="MS PGothic"/>
          <w:i/>
          <w:color w:val="000000"/>
          <w:szCs w:val="20"/>
          <w:lang w:eastAsia="es-ES" w:bidi="es-ES"/>
        </w:rPr>
        <w:lastRenderedPageBreak/>
        <w:t>plurianual para el atún rojo en el Atlántico este y mar Mediterráneo</w:t>
      </w:r>
      <w:r w:rsidRPr="00762D43">
        <w:rPr>
          <w:rFonts w:eastAsia="MS PGothic"/>
          <w:color w:val="000000"/>
          <w:szCs w:val="20"/>
          <w:lang w:eastAsia="es-ES" w:bidi="es-ES"/>
        </w:rPr>
        <w:t xml:space="preserve"> (Rec. 18-02)</w:t>
      </w:r>
      <w:r w:rsidRPr="00762D43">
        <w:rPr>
          <w:rFonts w:eastAsia="MS PGothic"/>
          <w:color w:val="000000"/>
          <w:szCs w:val="20"/>
          <w:vertAlign w:val="superscript"/>
          <w:lang w:eastAsia="es-ES" w:bidi="es-ES"/>
        </w:rPr>
        <w:footnoteReference w:id="1"/>
      </w:r>
      <w:r w:rsidRPr="00762D43">
        <w:rPr>
          <w:rFonts w:eastAsia="MS PGothic"/>
          <w:color w:val="000000"/>
          <w:szCs w:val="20"/>
          <w:lang w:eastAsia="es-ES" w:bidi="es-ES"/>
        </w:rPr>
        <w:t>, podrá realizarse después de la operación de introducción en jaulas.</w:t>
      </w:r>
    </w:p>
    <w:p w14:paraId="21C0AC2F" w14:textId="77777777" w:rsidR="00762D43" w:rsidRPr="00762D43" w:rsidRDefault="00762D43" w:rsidP="00762D43">
      <w:pPr>
        <w:framePr w:wrap="auto" w:vAnchor="margin" w:yAlign="inline"/>
        <w:rPr>
          <w:rFonts w:eastAsia="MS PGothic"/>
          <w:szCs w:val="20"/>
          <w:lang w:eastAsia="es-ES" w:bidi="es-ES"/>
        </w:rPr>
      </w:pPr>
    </w:p>
    <w:p w14:paraId="779A566C" w14:textId="77777777" w:rsidR="00762D43" w:rsidRPr="00762D43" w:rsidRDefault="00762D43" w:rsidP="00762D43">
      <w:pPr>
        <w:framePr w:wrap="auto" w:vAnchor="margin" w:yAlign="inline"/>
        <w:ind w:left="851" w:hanging="425"/>
        <w:rPr>
          <w:rFonts w:eastAsia="MS PGothic"/>
          <w:szCs w:val="20"/>
          <w:lang w:eastAsia="es-ES" w:bidi="es-ES"/>
        </w:rPr>
      </w:pPr>
      <w:r w:rsidRPr="00762D43">
        <w:rPr>
          <w:rFonts w:eastAsia="MS PGothic"/>
          <w:szCs w:val="20"/>
          <w:lang w:eastAsia="es-ES" w:bidi="es-ES"/>
        </w:rPr>
        <w:t xml:space="preserve">c) </w:t>
      </w:r>
      <w:r w:rsidRPr="00762D43">
        <w:rPr>
          <w:rFonts w:eastAsia="MS PGothic"/>
          <w:szCs w:val="20"/>
          <w:lang w:eastAsia="es-ES" w:bidi="es-ES"/>
        </w:rPr>
        <w:tab/>
        <w:t xml:space="preserve">El atún rojo </w:t>
      </w:r>
      <w:r w:rsidRPr="00762D43">
        <w:rPr>
          <w:rFonts w:eastAsia="MS PGothic"/>
          <w:color w:val="000000"/>
          <w:szCs w:val="20"/>
          <w:lang w:eastAsia="es-ES" w:bidi="es-ES"/>
        </w:rPr>
        <w:t>capturado</w:t>
      </w:r>
      <w:r w:rsidRPr="00762D43">
        <w:rPr>
          <w:rFonts w:eastAsia="MS PGothic"/>
          <w:szCs w:val="20"/>
          <w:lang w:eastAsia="es-ES" w:bidi="es-ES"/>
        </w:rPr>
        <w:t xml:space="preserve"> en las pesquerías deportivas y de recreo, y cuya venta está prohibida, no está sujeto a los términos de la Recomendación 23-21 y no tiene que consignarse en el sistema eBCD. </w:t>
      </w:r>
    </w:p>
    <w:p w14:paraId="76F254C8" w14:textId="77777777" w:rsidR="00762D43" w:rsidRPr="00762D43" w:rsidRDefault="00762D43" w:rsidP="00762D43">
      <w:pPr>
        <w:framePr w:wrap="auto" w:vAnchor="margin" w:yAlign="inline"/>
        <w:ind w:left="851" w:hanging="425"/>
        <w:rPr>
          <w:rFonts w:eastAsia="MS PGothic"/>
          <w:szCs w:val="20"/>
          <w:lang w:eastAsia="es-ES" w:bidi="es-ES"/>
        </w:rPr>
      </w:pPr>
    </w:p>
    <w:p w14:paraId="49AB7E0F"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t xml:space="preserve">d) </w:t>
      </w:r>
      <w:r w:rsidRPr="00762D43">
        <w:rPr>
          <w:rFonts w:eastAsia="MS PGothic"/>
          <w:color w:val="000000"/>
          <w:szCs w:val="20"/>
          <w:lang w:eastAsia="es-ES" w:bidi="es-ES"/>
        </w:rPr>
        <w:tab/>
        <w:t xml:space="preserve">Las disposiciones del párrafo 13 de la Rec. 23-21 que eximen de la validación gubernamental a los peces marcados solo se aplican cuando los programas internos de marcado comercial de la CPC del pabellón del buque o almadraba que capturó el atún rojo, y en el marco de los cuales se han marcado los peces, se ajustan a los requisitos del párrafo 21 de dicha Recomendación y cumplen los siguientes criterios: </w:t>
      </w:r>
    </w:p>
    <w:p w14:paraId="530FD399" w14:textId="77777777" w:rsidR="00762D43" w:rsidRPr="00762D43" w:rsidRDefault="00762D43" w:rsidP="00762D43">
      <w:pPr>
        <w:framePr w:wrap="auto" w:vAnchor="margin" w:yAlign="inline"/>
        <w:rPr>
          <w:rFonts w:eastAsia="MS PGothic"/>
          <w:color w:val="000000"/>
          <w:szCs w:val="20"/>
          <w:lang w:eastAsia="es-ES" w:bidi="es-ES"/>
        </w:rPr>
      </w:pPr>
    </w:p>
    <w:p w14:paraId="21357FBB" w14:textId="77777777" w:rsidR="00762D43" w:rsidRPr="00762D43" w:rsidRDefault="00762D43" w:rsidP="00762D43">
      <w:pPr>
        <w:framePr w:wrap="auto" w:vAnchor="margin" w:yAlign="inline"/>
        <w:numPr>
          <w:ilvl w:val="0"/>
          <w:numId w:val="11"/>
        </w:numPr>
        <w:tabs>
          <w:tab w:val="left" w:pos="1530"/>
        </w:tabs>
        <w:ind w:left="1440" w:hanging="360"/>
        <w:contextualSpacing/>
        <w:rPr>
          <w:rFonts w:eastAsia="MS PGothic"/>
          <w:color w:val="000000"/>
          <w:szCs w:val="20"/>
          <w:lang w:eastAsia="es-ES" w:bidi="es-ES"/>
        </w:rPr>
      </w:pPr>
      <w:r w:rsidRPr="00762D43">
        <w:rPr>
          <w:rFonts w:eastAsia="MS PGothic"/>
          <w:color w:val="000000"/>
          <w:szCs w:val="20"/>
          <w:lang w:eastAsia="es-ES" w:bidi="es-ES"/>
        </w:rPr>
        <w:t xml:space="preserve"> Todo el atún rojo que figura en el eBCD afectado está marcado individualmente; </w:t>
      </w:r>
    </w:p>
    <w:p w14:paraId="1C71F909" w14:textId="77777777" w:rsidR="00762D43" w:rsidRPr="00762D43" w:rsidRDefault="00762D43" w:rsidP="00762D43">
      <w:pPr>
        <w:framePr w:wrap="auto" w:vAnchor="margin" w:yAlign="inline"/>
        <w:tabs>
          <w:tab w:val="left" w:pos="1530"/>
        </w:tabs>
        <w:ind w:left="851"/>
        <w:contextualSpacing/>
        <w:rPr>
          <w:rFonts w:eastAsia="MS PGothic"/>
          <w:color w:val="000000"/>
          <w:szCs w:val="20"/>
          <w:lang w:eastAsia="es-ES" w:bidi="es-ES"/>
        </w:rPr>
      </w:pPr>
    </w:p>
    <w:p w14:paraId="5B6B886A" w14:textId="77777777" w:rsidR="00762D43" w:rsidRPr="00762D43" w:rsidRDefault="00762D43" w:rsidP="00762D43">
      <w:pPr>
        <w:framePr w:wrap="auto" w:vAnchor="margin" w:yAlign="inline"/>
        <w:numPr>
          <w:ilvl w:val="0"/>
          <w:numId w:val="11"/>
        </w:numPr>
        <w:tabs>
          <w:tab w:val="left" w:pos="1530"/>
        </w:tabs>
        <w:ind w:left="1440" w:hanging="360"/>
        <w:contextualSpacing/>
        <w:rPr>
          <w:rFonts w:eastAsia="MS PGothic"/>
          <w:color w:val="000000"/>
          <w:szCs w:val="20"/>
          <w:lang w:eastAsia="es-ES" w:bidi="es-ES"/>
        </w:rPr>
      </w:pPr>
      <w:r w:rsidRPr="00762D43">
        <w:rPr>
          <w:rFonts w:eastAsia="MS PGothic"/>
          <w:color w:val="000000"/>
          <w:szCs w:val="20"/>
          <w:lang w:eastAsia="es-ES" w:bidi="es-ES"/>
        </w:rPr>
        <w:t xml:space="preserve">La información mínima relacionada con la marca incluye: </w:t>
      </w:r>
    </w:p>
    <w:p w14:paraId="475D228C" w14:textId="77777777" w:rsidR="00762D43" w:rsidRPr="00762D43" w:rsidRDefault="00762D43" w:rsidP="00762D43">
      <w:pPr>
        <w:framePr w:wrap="auto" w:vAnchor="margin" w:yAlign="inline"/>
        <w:ind w:leftChars="177" w:left="354"/>
        <w:rPr>
          <w:rFonts w:eastAsia="MS PGothic"/>
          <w:color w:val="000000"/>
          <w:szCs w:val="20"/>
          <w:lang w:eastAsia="es-ES" w:bidi="es-ES"/>
        </w:rPr>
      </w:pPr>
    </w:p>
    <w:p w14:paraId="5B033F1B"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Información identificativa sobre el buque de captura o almadraba. </w:t>
      </w:r>
    </w:p>
    <w:p w14:paraId="2698DE61"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Fecha de captura o desembarque. </w:t>
      </w:r>
    </w:p>
    <w:p w14:paraId="5197F479"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El área de captura de los peces del cargamento. </w:t>
      </w:r>
    </w:p>
    <w:p w14:paraId="4D8A9980"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El arte utilizado para capturar los peces. </w:t>
      </w:r>
    </w:p>
    <w:p w14:paraId="592FB1A5"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El tipo de producto y el peso individual del atún rojo marcado, que podría indicarse adjuntando un anexo. Como alternativa, para aquellas pesquerías afectadas por las derogaciones de la talla mínima en el marco de la Rec. 18-02, las CPC podrían en su lugar proporcionar el peso aproximado de los peces individuales en la captura después del desembarque, que se determinará dividiendo el peso total en el desembarque entre el número de peces individuales;</w:t>
      </w:r>
    </w:p>
    <w:p w14:paraId="15BEE13C"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Información sobre el exportador y el importador (cuando proceda). </w:t>
      </w:r>
    </w:p>
    <w:p w14:paraId="56D3698D" w14:textId="77777777" w:rsidR="00762D43" w:rsidRPr="00762D43" w:rsidRDefault="00762D43" w:rsidP="00762D43">
      <w:pPr>
        <w:framePr w:wrap="auto" w:vAnchor="margin" w:yAlign="inline"/>
        <w:numPr>
          <w:ilvl w:val="0"/>
          <w:numId w:val="12"/>
        </w:numPr>
        <w:ind w:left="1800"/>
        <w:rPr>
          <w:rFonts w:eastAsia="MS PGothic"/>
          <w:color w:val="000000"/>
          <w:szCs w:val="20"/>
          <w:lang w:eastAsia="es-ES" w:bidi="es-ES"/>
        </w:rPr>
      </w:pPr>
      <w:r w:rsidRPr="00762D43">
        <w:rPr>
          <w:rFonts w:eastAsia="MS PGothic"/>
          <w:color w:val="000000"/>
          <w:szCs w:val="20"/>
          <w:lang w:eastAsia="es-ES" w:bidi="es-ES"/>
        </w:rPr>
        <w:t xml:space="preserve">Punto de exportación (cuando proceda). </w:t>
      </w:r>
    </w:p>
    <w:p w14:paraId="07852D41" w14:textId="77777777" w:rsidR="00762D43" w:rsidRPr="00762D43" w:rsidRDefault="00762D43" w:rsidP="00762D43">
      <w:pPr>
        <w:framePr w:wrap="auto" w:vAnchor="margin" w:yAlign="inline"/>
        <w:numPr>
          <w:ilvl w:val="0"/>
          <w:numId w:val="11"/>
        </w:numPr>
        <w:tabs>
          <w:tab w:val="left" w:pos="1530"/>
        </w:tabs>
        <w:ind w:left="1440" w:hanging="360"/>
        <w:contextualSpacing/>
        <w:rPr>
          <w:rFonts w:eastAsia="MS PGothic"/>
          <w:color w:val="000000"/>
          <w:szCs w:val="20"/>
          <w:lang w:eastAsia="es-ES" w:bidi="es-ES"/>
        </w:rPr>
      </w:pPr>
      <w:r w:rsidRPr="00762D43">
        <w:rPr>
          <w:rFonts w:eastAsia="MS PGothic"/>
          <w:color w:val="000000"/>
          <w:szCs w:val="20"/>
          <w:lang w:eastAsia="es-ES" w:bidi="es-ES"/>
        </w:rPr>
        <w:t xml:space="preserve">La información sobre los peces marcados es recopilada por la CPC responsable. </w:t>
      </w:r>
    </w:p>
    <w:p w14:paraId="1B25C0BA" w14:textId="77777777" w:rsidR="00762D43" w:rsidRPr="00762D43" w:rsidRDefault="00762D43" w:rsidP="00762D43">
      <w:pPr>
        <w:framePr w:wrap="auto" w:vAnchor="margin" w:yAlign="inline"/>
        <w:rPr>
          <w:rFonts w:eastAsia="MS PGothic"/>
          <w:color w:val="000000"/>
          <w:szCs w:val="20"/>
          <w:lang w:eastAsia="es-ES" w:bidi="es-ES"/>
        </w:rPr>
      </w:pPr>
    </w:p>
    <w:p w14:paraId="125F5632"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t xml:space="preserve">e) </w:t>
      </w:r>
      <w:r w:rsidRPr="00762D43">
        <w:rPr>
          <w:rFonts w:eastAsia="MS PGothic"/>
          <w:color w:val="000000"/>
          <w:szCs w:val="20"/>
          <w:lang w:eastAsia="es-ES" w:bidi="es-ES"/>
        </w:rPr>
        <w:tab/>
        <w:t xml:space="preserve">El atún rojo que muera durante las operaciones de transferencia, remolque o introducción en jaulas previstas por los párrafos 86 a 102 de la Recomendación 18-02 antes del sacrificio podrá ser comercializado por los representantes del cerquero, buques auxiliares/de apoyo, y/o los de la granja, cuando proceda. </w:t>
      </w:r>
    </w:p>
    <w:p w14:paraId="6E7A7F99"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6C7DFCB4"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t xml:space="preserve">f) </w:t>
      </w:r>
      <w:r w:rsidRPr="00762D43">
        <w:rPr>
          <w:rFonts w:eastAsia="MS PGothic"/>
          <w:color w:val="000000"/>
          <w:szCs w:val="20"/>
          <w:lang w:eastAsia="es-ES" w:bidi="es-ES"/>
        </w:rPr>
        <w:tab/>
        <w:t xml:space="preserve">El atún rojo capturado de forma fortuita en el Atlántico este y Mediterráneo por buques no autorizados a pescar activamente atún rojo de conformidad con la Recomendación 18-02 podría ser comercializado. </w:t>
      </w:r>
      <w:r w:rsidRPr="00762D43">
        <w:rPr>
          <w:rFonts w:eastAsia="Calibri"/>
          <w:color w:val="000000"/>
          <w:szCs w:val="20"/>
          <w:lang w:eastAsia="es-ES" w:bidi="es-ES"/>
        </w:rPr>
        <w:t xml:space="preserve">Con miras a mejorar el funcionamiento del sistema eBCD debe facilitarse el acceso al sistema a las autoridades de la CPC, a las autoridades del puerto y/o el autorregistro autorizado, lo que incluye mediante su número de registro nacional. Dicho registro solo permitirá acceso al sistema eBCD y no supone una autorización por parte de ICCAT, por consiguiente, no se expedirá ningún número ICCAT. </w:t>
      </w:r>
      <w:r w:rsidRPr="00762D43">
        <w:rPr>
          <w:rFonts w:eastAsia="MS PGothic"/>
          <w:color w:val="000000"/>
          <w:szCs w:val="20"/>
          <w:lang w:eastAsia="es-ES" w:bidi="es-ES"/>
        </w:rPr>
        <w:t xml:space="preserve">Las CPC del pabellón de los buques afectados no tienen la obligación de presentar una lista de dichos buques a la Secretaría de ICCAT. </w:t>
      </w:r>
    </w:p>
    <w:p w14:paraId="3854636D" w14:textId="77777777" w:rsidR="00762D43" w:rsidRPr="00762D43" w:rsidRDefault="00762D43" w:rsidP="00762D43">
      <w:pPr>
        <w:framePr w:wrap="auto" w:vAnchor="margin" w:yAlign="inline"/>
        <w:ind w:left="851" w:hanging="425"/>
        <w:rPr>
          <w:rFonts w:eastAsia="MS PGothic"/>
          <w:color w:val="000000"/>
          <w:szCs w:val="20"/>
          <w:lang w:eastAsia="es-ES" w:bidi="es-ES"/>
        </w:rPr>
      </w:pPr>
    </w:p>
    <w:p w14:paraId="187724F1" w14:textId="77777777" w:rsidR="00762D43" w:rsidRPr="00762D43" w:rsidRDefault="00762D43" w:rsidP="00762D43">
      <w:pPr>
        <w:framePr w:wrap="auto" w:vAnchor="margin" w:yAlign="inline"/>
        <w:ind w:left="851" w:hanging="425"/>
        <w:rPr>
          <w:rFonts w:eastAsia="Calibri"/>
          <w:color w:val="000000"/>
          <w:szCs w:val="22"/>
          <w:lang w:eastAsia="es-ES" w:bidi="es-ES"/>
        </w:rPr>
      </w:pPr>
      <w:r w:rsidRPr="00762D43">
        <w:rPr>
          <w:rFonts w:eastAsia="Calibri"/>
          <w:color w:val="000000"/>
          <w:szCs w:val="22"/>
          <w:lang w:eastAsia="es-ES" w:bidi="es-ES"/>
        </w:rPr>
        <w:t xml:space="preserve">g) </w:t>
      </w:r>
      <w:r w:rsidRPr="00762D43">
        <w:rPr>
          <w:rFonts w:eastAsia="Calibri"/>
          <w:color w:val="000000"/>
          <w:szCs w:val="22"/>
          <w:lang w:eastAsia="es-ES" w:bidi="es-ES"/>
        </w:rPr>
        <w:tab/>
        <w:t xml:space="preserve">El requisito del párrafo 13 b) de la Recomendación </w:t>
      </w:r>
      <w:r w:rsidRPr="00762D43">
        <w:rPr>
          <w:rFonts w:eastAsia="MS PGothic"/>
          <w:color w:val="000000"/>
          <w:szCs w:val="20"/>
          <w:lang w:eastAsia="es-ES" w:bidi="es-ES"/>
        </w:rPr>
        <w:t>23-21</w:t>
      </w:r>
      <w:r w:rsidRPr="00762D43">
        <w:rPr>
          <w:rFonts w:eastAsia="Calibri"/>
          <w:color w:val="000000"/>
          <w:szCs w:val="22"/>
          <w:lang w:eastAsia="es-ES" w:bidi="es-ES"/>
        </w:rPr>
        <w:t xml:space="preserve"> que establece que los BCD solo podrían </w:t>
      </w:r>
      <w:r w:rsidRPr="00762D43">
        <w:rPr>
          <w:rFonts w:eastAsia="MS PGothic"/>
          <w:color w:val="000000"/>
          <w:szCs w:val="22"/>
          <w:lang w:eastAsia="es-ES" w:bidi="es-ES"/>
        </w:rPr>
        <w:t>expedirse</w:t>
      </w:r>
      <w:r w:rsidRPr="00762D43">
        <w:rPr>
          <w:rFonts w:eastAsia="Calibri"/>
          <w:color w:val="000000"/>
          <w:szCs w:val="22"/>
          <w:lang w:eastAsia="es-ES" w:bidi="es-ES"/>
        </w:rPr>
        <w:t xml:space="preserve"> cuando las cantidades acumuladas validadas se inscriban dentro de las cuotas o límites de captura de cada </w:t>
      </w:r>
      <w:r w:rsidRPr="00762D43">
        <w:rPr>
          <w:rFonts w:eastAsia="MS PGothic"/>
          <w:color w:val="000000"/>
          <w:szCs w:val="22"/>
          <w:lang w:eastAsia="es-ES" w:bidi="es-ES"/>
        </w:rPr>
        <w:t>año</w:t>
      </w:r>
      <w:r w:rsidRPr="00762D43">
        <w:rPr>
          <w:rFonts w:eastAsia="Calibri"/>
          <w:color w:val="000000"/>
          <w:szCs w:val="22"/>
          <w:lang w:eastAsia="es-ES" w:bidi="es-ES"/>
        </w:rPr>
        <w:t xml:space="preserve"> de ordenación, no se aplica a las CPC cuya legislación interna requiera que se desembarquen todos los peces muertos o moribundos, siempre y cuando el valor de la captura sea confiscado para evitar que los pescadores obtengan beneficios comerciales de dichos peces. La CPC adoptará las medidas necesarias para impedir que los peces confiscados sean exportados a otras CPC.</w:t>
      </w:r>
    </w:p>
    <w:p w14:paraId="2DD0EAF3" w14:textId="77777777" w:rsidR="00762D43" w:rsidRPr="00762D43" w:rsidRDefault="00762D43" w:rsidP="00762D43">
      <w:pPr>
        <w:framePr w:wrap="auto" w:vAnchor="margin" w:yAlign="inline"/>
        <w:ind w:left="851" w:hanging="425"/>
        <w:rPr>
          <w:rFonts w:eastAsia="Calibri"/>
          <w:color w:val="000000"/>
          <w:szCs w:val="22"/>
          <w:lang w:eastAsia="es-ES" w:bidi="es-ES"/>
        </w:rPr>
      </w:pPr>
    </w:p>
    <w:p w14:paraId="42D22500" w14:textId="77777777" w:rsidR="00762D43" w:rsidRPr="00762D43" w:rsidRDefault="00762D43" w:rsidP="00762D43">
      <w:pPr>
        <w:framePr w:wrap="auto" w:vAnchor="margin" w:yAlign="inline"/>
        <w:ind w:left="851" w:hanging="425"/>
        <w:rPr>
          <w:rFonts w:eastAsia="MS PGothic"/>
          <w:color w:val="000000"/>
          <w:szCs w:val="21"/>
          <w:lang w:eastAsia="es-ES" w:bidi="es-ES"/>
        </w:rPr>
      </w:pPr>
      <w:r w:rsidRPr="00762D43">
        <w:rPr>
          <w:rFonts w:eastAsia="MS PGothic"/>
          <w:color w:val="000000"/>
          <w:lang w:eastAsia="es-ES" w:bidi="es-ES"/>
        </w:rPr>
        <w:t>h)</w:t>
      </w:r>
      <w:r w:rsidRPr="00762D43">
        <w:rPr>
          <w:rFonts w:eastAsia="MS PGothic"/>
          <w:color w:val="000000"/>
          <w:lang w:eastAsia="es-ES" w:bidi="es-ES"/>
        </w:rPr>
        <w:tab/>
        <w:t xml:space="preserve">Se </w:t>
      </w:r>
      <w:r w:rsidRPr="00762D43">
        <w:rPr>
          <w:rFonts w:eastAsia="Calibri"/>
          <w:color w:val="000000"/>
          <w:szCs w:val="22"/>
          <w:lang w:eastAsia="es-ES" w:bidi="es-ES"/>
        </w:rPr>
        <w:t>continuarán</w:t>
      </w:r>
      <w:r w:rsidRPr="00762D43">
        <w:rPr>
          <w:rFonts w:eastAsia="MS PGothic"/>
          <w:color w:val="000000"/>
          <w:lang w:eastAsia="es-ES" w:bidi="es-ES"/>
        </w:rPr>
        <w:t xml:space="preserve"> utilizando los BCD en papel para el comercio de atún rojo del Pacífico hasta que se desarrolle una función para dicha trazabilidad dentro del sistema eBCD. Dicha función incluirá los elementos de datos enumerados en el </w:t>
      </w:r>
      <w:r w:rsidRPr="00762D43">
        <w:rPr>
          <w:rFonts w:eastAsia="MS PGothic"/>
          <w:b/>
          <w:color w:val="000000"/>
          <w:lang w:eastAsia="es-ES" w:bidi="es-ES"/>
        </w:rPr>
        <w:t>Anexo 1</w:t>
      </w:r>
      <w:r w:rsidRPr="00762D43">
        <w:rPr>
          <w:rFonts w:eastAsia="MS PGothic"/>
          <w:color w:val="000000"/>
          <w:lang w:eastAsia="es-ES" w:bidi="es-ES"/>
        </w:rPr>
        <w:t xml:space="preserve"> y en el </w:t>
      </w:r>
      <w:r w:rsidRPr="00762D43">
        <w:rPr>
          <w:rFonts w:eastAsia="MS PGothic"/>
          <w:b/>
          <w:color w:val="000000"/>
          <w:lang w:eastAsia="es-ES" w:bidi="es-ES"/>
        </w:rPr>
        <w:t>Anexo 2</w:t>
      </w:r>
      <w:r w:rsidRPr="00762D43">
        <w:rPr>
          <w:rFonts w:eastAsia="MS PGothic"/>
          <w:color w:val="000000"/>
          <w:lang w:eastAsia="es-ES" w:bidi="es-ES"/>
        </w:rPr>
        <w:t>¸ a menos que se decida otra cosa, para responder a futuras necesidades de recopilación de datos.</w:t>
      </w:r>
    </w:p>
    <w:p w14:paraId="0B80ECC2"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lastRenderedPageBreak/>
        <w:t xml:space="preserve">i) </w:t>
      </w:r>
      <w:r w:rsidRPr="00762D43">
        <w:rPr>
          <w:rFonts w:eastAsia="MS PGothic"/>
          <w:color w:val="000000"/>
          <w:szCs w:val="20"/>
          <w:lang w:eastAsia="es-ES" w:bidi="es-ES"/>
        </w:rPr>
        <w:tab/>
        <w:t xml:space="preserve">La sección de comercio de un eBCD se validará antes de la exportación. La información sobre el comprador en la sección de comercio debe introducirse en el sistema eBCD en cuanto esté disponible y antes de la reexportación. </w:t>
      </w:r>
    </w:p>
    <w:p w14:paraId="6C079090"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7941C617"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t xml:space="preserve">j) </w:t>
      </w:r>
      <w:r w:rsidRPr="00762D43">
        <w:rPr>
          <w:rFonts w:eastAsia="MS PGothic"/>
          <w:color w:val="000000"/>
          <w:szCs w:val="20"/>
          <w:lang w:eastAsia="es-ES" w:bidi="es-ES"/>
        </w:rPr>
        <w:tab/>
        <w:t>Deberá concederse el acceso al sistema eBCD a las no CPC de ICCAT para facilitar el comercio de atún rojo. Hasta que se desarrolle una función que permita el acceso de las no CPC al sistema, esto se realizará mediante la cumplimentación de la no CPC de los documentos del programa BCD en papel de conformidad con los términos del párrafo 6 y su envío a la Secretaría de ICCAT para que los introduzca en el sistema eBCD. La Secretaría se pondrá en contacto sin demora con las no CPC que se sabe que comercian con atún rojo del Atlántico para que sean conscientes del sistema eBCD y de las disposiciones del programa BCD que se les aplican.</w:t>
      </w:r>
    </w:p>
    <w:p w14:paraId="6B596234"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5F195CD9" w14:textId="77777777" w:rsidR="00762D43" w:rsidRPr="00762D43" w:rsidRDefault="00762D43" w:rsidP="00762D43">
      <w:pPr>
        <w:framePr w:wrap="auto" w:vAnchor="margin" w:yAlign="inline"/>
        <w:ind w:left="851" w:hanging="425"/>
        <w:rPr>
          <w:rFonts w:eastAsia="MS PGothic"/>
          <w:color w:val="000000"/>
          <w:szCs w:val="20"/>
          <w:lang w:eastAsia="es-ES" w:bidi="es-ES"/>
        </w:rPr>
      </w:pPr>
      <w:r w:rsidRPr="00762D43">
        <w:rPr>
          <w:rFonts w:eastAsia="MS PGothic"/>
          <w:color w:val="000000"/>
          <w:szCs w:val="20"/>
          <w:lang w:eastAsia="es-ES" w:bidi="es-ES"/>
        </w:rPr>
        <w:t>k)</w:t>
      </w:r>
      <w:r w:rsidRPr="00762D43">
        <w:rPr>
          <w:rFonts w:eastAsia="MS PGothic"/>
          <w:color w:val="000000"/>
          <w:szCs w:val="20"/>
          <w:lang w:eastAsia="es-ES" w:bidi="es-ES"/>
        </w:rPr>
        <w:tab/>
        <w:t xml:space="preserve">En la medida de lo posible los informes generados por el sistema eBCD cumplirán los requisitos de comunicación anuales especificados en el párrafo 34 de la Recomendación 23-21. Las CPC también seguirán presentando aquellos elementos del informe anual que no pueden producirse a partir del sistema eBCD. El formato y contenido de cualquier informe adicional los determinará la Comisión, teniendo en cuenta las consideraciones y normas adecuadas de confidencialidad. Como mínimo, los informes incluirán datos de captura y comercio de las CPC que estén agregados de forma adecuada. Las CPC continuarán informando sobre su implementación del sistema eBCD en sus informes anuales. </w:t>
      </w:r>
    </w:p>
    <w:p w14:paraId="6B0BE9B0"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4311049E" w14:textId="77777777" w:rsidR="00762D43" w:rsidRPr="00762D43" w:rsidRDefault="00762D43" w:rsidP="00762D43">
      <w:pPr>
        <w:framePr w:wrap="auto" w:vAnchor="margin" w:yAlign="inline"/>
        <w:numPr>
          <w:ilvl w:val="0"/>
          <w:numId w:val="9"/>
        </w:numPr>
        <w:ind w:left="426" w:hanging="426"/>
        <w:rPr>
          <w:rFonts w:eastAsia="MS PGothic"/>
          <w:color w:val="000000"/>
          <w:szCs w:val="20"/>
          <w:lang w:eastAsia="es-ES" w:bidi="es-ES"/>
        </w:rPr>
      </w:pPr>
      <w:r w:rsidRPr="00762D43">
        <w:rPr>
          <w:rFonts w:eastAsia="MS PGothic"/>
          <w:color w:val="000000"/>
          <w:szCs w:val="20"/>
          <w:lang w:eastAsia="es-ES" w:bidi="es-ES"/>
        </w:rPr>
        <w:t>Los documentos de BCD en papel (expedidos de conformidad con la Recomendación 23-21) o los eBCD impresos podrían utilizarse en los siguientes casos:</w:t>
      </w:r>
    </w:p>
    <w:p w14:paraId="7EEAE8A7"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14EC44E8"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r w:rsidRPr="00762D43">
        <w:rPr>
          <w:rFonts w:eastAsia="MS PGothic"/>
          <w:color w:val="000000"/>
          <w:szCs w:val="20"/>
          <w:lang w:eastAsia="es-ES" w:bidi="es-ES"/>
        </w:rPr>
        <w:t>a)</w:t>
      </w:r>
      <w:r w:rsidRPr="00762D43">
        <w:rPr>
          <w:rFonts w:eastAsia="MS PGothic"/>
          <w:color w:val="000000"/>
          <w:szCs w:val="20"/>
          <w:lang w:eastAsia="es-ES" w:bidi="es-ES"/>
        </w:rPr>
        <w:tab/>
        <w:t xml:space="preserve">Para los desembarques de cantidades de atún rojo de menos de 1 t o de tres ejemplares, dichos BCD en papel se convertirán a eBCD en un plazo de siete días laborables o antes de la exportación, lo que suceda en primer lugar. </w:t>
      </w:r>
    </w:p>
    <w:p w14:paraId="471C4409"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p>
    <w:p w14:paraId="226AD940" w14:textId="77777777" w:rsidR="00762D43" w:rsidRPr="00762D43" w:rsidRDefault="00762D43" w:rsidP="00762D43">
      <w:pPr>
        <w:framePr w:wrap="auto" w:vAnchor="margin" w:yAlign="inline"/>
        <w:ind w:leftChars="219" w:left="720" w:hanging="282"/>
        <w:rPr>
          <w:rFonts w:eastAsia="MS PGothic"/>
          <w:color w:val="000000"/>
          <w:spacing w:val="2"/>
          <w:szCs w:val="20"/>
          <w:lang w:eastAsia="es-ES" w:bidi="es-ES"/>
        </w:rPr>
      </w:pPr>
      <w:r w:rsidRPr="00762D43">
        <w:rPr>
          <w:rFonts w:eastAsia="MS PGothic"/>
          <w:color w:val="000000"/>
          <w:szCs w:val="20"/>
          <w:lang w:eastAsia="es-ES" w:bidi="es-ES"/>
        </w:rPr>
        <w:t>b)</w:t>
      </w:r>
      <w:r w:rsidRPr="00762D43">
        <w:rPr>
          <w:rFonts w:eastAsia="MS PGothic"/>
          <w:color w:val="000000"/>
          <w:spacing w:val="2"/>
          <w:szCs w:val="20"/>
          <w:lang w:eastAsia="es-ES" w:bidi="es-ES"/>
        </w:rPr>
        <w:tab/>
        <w:t xml:space="preserve">Para el </w:t>
      </w:r>
      <w:r w:rsidRPr="00762D43">
        <w:rPr>
          <w:rFonts w:eastAsia="MS PGothic"/>
          <w:color w:val="000000"/>
          <w:szCs w:val="20"/>
          <w:lang w:eastAsia="es-ES" w:bidi="es-ES"/>
        </w:rPr>
        <w:t>atún</w:t>
      </w:r>
      <w:r w:rsidRPr="00762D43">
        <w:rPr>
          <w:rFonts w:eastAsia="MS PGothic"/>
          <w:color w:val="000000"/>
          <w:spacing w:val="2"/>
          <w:szCs w:val="20"/>
          <w:lang w:eastAsia="es-ES" w:bidi="es-ES"/>
        </w:rPr>
        <w:t xml:space="preserve"> rojo capturado antes de la plena implementación del sistema eBCD, especificada en el párrafo 2.</w:t>
      </w:r>
    </w:p>
    <w:p w14:paraId="781D26C4"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p>
    <w:p w14:paraId="11652817" w14:textId="77777777" w:rsidR="00762D43" w:rsidRPr="00762D43" w:rsidRDefault="00762D43" w:rsidP="00762D43">
      <w:pPr>
        <w:framePr w:wrap="auto" w:vAnchor="margin" w:yAlign="inline"/>
        <w:ind w:leftChars="219" w:left="722" w:hanging="284"/>
        <w:rPr>
          <w:rFonts w:eastAsia="MS PGothic"/>
          <w:color w:val="000000"/>
          <w:szCs w:val="20"/>
          <w:lang w:eastAsia="es-ES" w:bidi="es-ES"/>
        </w:rPr>
      </w:pPr>
      <w:r w:rsidRPr="00762D43">
        <w:rPr>
          <w:rFonts w:eastAsia="MS PGothic"/>
          <w:color w:val="000000"/>
          <w:szCs w:val="20"/>
          <w:lang w:eastAsia="es-ES" w:bidi="es-ES"/>
        </w:rPr>
        <w:t>c)</w:t>
      </w:r>
      <w:r w:rsidRPr="00762D43">
        <w:rPr>
          <w:rFonts w:eastAsia="MS PGothic"/>
          <w:color w:val="000000"/>
          <w:szCs w:val="20"/>
          <w:lang w:eastAsia="es-ES" w:bidi="es-ES"/>
        </w:rPr>
        <w:tab/>
        <w:t xml:space="preserve">No obstante el requisito de utilizar el sistema eBCD establecido en el párrafo 2, los BCD en papel o eBCD impresos podrán usarse como alternativa en el caso poco probable de que surjan dificultades técnicas con el sistema que impidan a una CPC utilizar el sistema eBCD, siguiendo los procedimientos establecidos en el </w:t>
      </w:r>
      <w:r w:rsidRPr="00762D43">
        <w:rPr>
          <w:rFonts w:eastAsia="MS PGothic"/>
          <w:b/>
          <w:color w:val="000000"/>
          <w:szCs w:val="20"/>
          <w:lang w:eastAsia="es-ES" w:bidi="es-ES"/>
        </w:rPr>
        <w:t xml:space="preserve">Anexo 3. </w:t>
      </w:r>
      <w:r w:rsidRPr="00762D43">
        <w:rPr>
          <w:rFonts w:eastAsia="MS PGothic"/>
          <w:color w:val="000000"/>
          <w:szCs w:val="20"/>
          <w:lang w:eastAsia="es-ES" w:bidi="es-ES"/>
        </w:rPr>
        <w:t>Los retrasos de las CPC al emprender las acciones necesarias, como por ejemplo a la hora de facilitar los datos necesarios para garantizar el registro de usuarios en el sistema eBCD u otras situaciones evitables, no constituyen una dificultad técnica aceptable.</w:t>
      </w:r>
    </w:p>
    <w:p w14:paraId="70BFA9A2"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p>
    <w:p w14:paraId="03DB9D4C"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r w:rsidRPr="00762D43">
        <w:rPr>
          <w:rFonts w:eastAsia="MS PGothic"/>
          <w:color w:val="000000"/>
          <w:szCs w:val="20"/>
          <w:lang w:eastAsia="es-ES" w:bidi="es-ES"/>
        </w:rPr>
        <w:t>d)</w:t>
      </w:r>
      <w:r w:rsidRPr="00762D43">
        <w:rPr>
          <w:rFonts w:eastAsia="MS PGothic"/>
          <w:color w:val="000000"/>
          <w:szCs w:val="20"/>
          <w:lang w:eastAsia="es-ES" w:bidi="es-ES"/>
        </w:rPr>
        <w:tab/>
        <w:t>En el caso de comercio de atún rojo del Pacífico especificado en el párrafo 5 h).</w:t>
      </w:r>
    </w:p>
    <w:p w14:paraId="1B2E2063"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p>
    <w:p w14:paraId="539D3D25" w14:textId="77777777" w:rsidR="00762D43" w:rsidRPr="00762D43" w:rsidRDefault="00762D43" w:rsidP="00762D43">
      <w:pPr>
        <w:framePr w:wrap="auto" w:vAnchor="margin" w:yAlign="inline"/>
        <w:ind w:leftChars="219" w:left="720" w:hanging="282"/>
        <w:rPr>
          <w:rFonts w:eastAsia="MS PGothic"/>
          <w:color w:val="000000"/>
          <w:szCs w:val="20"/>
          <w:lang w:eastAsia="es-ES" w:bidi="es-ES"/>
        </w:rPr>
      </w:pPr>
      <w:r w:rsidRPr="00762D43">
        <w:rPr>
          <w:rFonts w:eastAsia="MS PGothic"/>
          <w:color w:val="000000"/>
          <w:szCs w:val="20"/>
          <w:lang w:eastAsia="es-ES" w:bidi="es-ES"/>
        </w:rPr>
        <w:t>e)</w:t>
      </w:r>
      <w:r w:rsidRPr="00762D43">
        <w:rPr>
          <w:rFonts w:eastAsia="MS PGothic"/>
          <w:color w:val="000000"/>
          <w:szCs w:val="20"/>
          <w:lang w:eastAsia="es-ES" w:bidi="es-ES"/>
        </w:rPr>
        <w:tab/>
        <w:t>En el caso de comercio entre CPC de ICCAT y no CPC, cuando no sea posible el acceso al sistema eBCD a través de la Secretaría de ICCAT de conformidad con el párrafo 5 j) anterior o no se pueda realizar con tiempo suficiente para garantizar que el comercio no se retrasa o interrumpe indebidamente.</w:t>
      </w:r>
    </w:p>
    <w:p w14:paraId="523FA3B6" w14:textId="77777777" w:rsidR="00762D43" w:rsidRPr="00762D43" w:rsidRDefault="00762D43" w:rsidP="00762D43">
      <w:pPr>
        <w:framePr w:wrap="auto" w:vAnchor="margin" w:yAlign="inline"/>
        <w:ind w:leftChars="118" w:left="518" w:hanging="282"/>
        <w:rPr>
          <w:rFonts w:eastAsia="MS PGothic"/>
          <w:color w:val="000000"/>
          <w:szCs w:val="20"/>
          <w:lang w:eastAsia="es-ES" w:bidi="es-ES"/>
        </w:rPr>
      </w:pPr>
    </w:p>
    <w:p w14:paraId="6E784CD7" w14:textId="77777777" w:rsidR="00762D43" w:rsidRPr="00762D43" w:rsidRDefault="00762D43" w:rsidP="00762D43">
      <w:pPr>
        <w:framePr w:wrap="auto" w:vAnchor="margin" w:yAlign="inline"/>
        <w:ind w:left="426"/>
        <w:rPr>
          <w:rFonts w:eastAsia="Calibri"/>
          <w:szCs w:val="20"/>
          <w:lang w:eastAsia="es-ES" w:bidi="es-ES"/>
        </w:rPr>
      </w:pPr>
      <w:r w:rsidRPr="00762D43">
        <w:rPr>
          <w:rFonts w:eastAsia="MS PGothic"/>
          <w:color w:val="000000"/>
          <w:szCs w:val="20"/>
          <w:lang w:eastAsia="es-ES" w:bidi="es-ES"/>
        </w:rPr>
        <w:t xml:space="preserve">En los casos especificados en los subpárrafos a) a e) inclusive, las CPC importadoras no esgrimirán la utilización de un documento BCD en papel como una razón para retrasar o rechazar la importación de un cargamento de atún rojo, siempre y cuando cumpla las disposiciones existentes de la Recomendación 23-21 y las disposiciones pertinentes de esta Recomendación. </w:t>
      </w:r>
      <w:r w:rsidRPr="00762D43">
        <w:rPr>
          <w:rFonts w:eastAsia="Calibri"/>
          <w:szCs w:val="20"/>
          <w:lang w:eastAsia="es-ES" w:bidi="es-ES"/>
        </w:rPr>
        <w:t xml:space="preserve">Los eBCD impresos, que están validados en el sistema eBCD, cumplen el requisito de validación establecido en el párrafo 3 de la Recomendación </w:t>
      </w:r>
      <w:r w:rsidRPr="00762D43">
        <w:rPr>
          <w:rFonts w:eastAsia="MS PGothic"/>
          <w:color w:val="000000"/>
          <w:szCs w:val="20"/>
          <w:lang w:eastAsia="es-ES" w:bidi="es-ES"/>
        </w:rPr>
        <w:t>23-21</w:t>
      </w:r>
      <w:r w:rsidRPr="00762D43">
        <w:rPr>
          <w:rFonts w:eastAsia="Calibri"/>
          <w:szCs w:val="20"/>
          <w:lang w:eastAsia="es-ES" w:bidi="es-ES"/>
        </w:rPr>
        <w:t>.</w:t>
      </w:r>
    </w:p>
    <w:p w14:paraId="1828B823" w14:textId="77777777" w:rsidR="00762D43" w:rsidRPr="00762D43" w:rsidRDefault="00762D43" w:rsidP="00762D43">
      <w:pPr>
        <w:framePr w:wrap="auto" w:vAnchor="margin" w:yAlign="inline"/>
        <w:ind w:leftChars="118" w:left="236"/>
        <w:rPr>
          <w:rFonts w:eastAsia="MS PGothic"/>
          <w:color w:val="000000"/>
          <w:szCs w:val="20"/>
          <w:lang w:eastAsia="es-ES" w:bidi="es-ES"/>
        </w:rPr>
      </w:pPr>
    </w:p>
    <w:p w14:paraId="6D2CDD12" w14:textId="77777777" w:rsidR="00762D43" w:rsidRPr="00762D43" w:rsidRDefault="00762D43" w:rsidP="00762D43">
      <w:pPr>
        <w:framePr w:wrap="auto" w:vAnchor="margin" w:yAlign="inline"/>
        <w:ind w:left="426"/>
        <w:rPr>
          <w:rFonts w:eastAsia="MS PGothic"/>
          <w:color w:val="000000"/>
          <w:szCs w:val="20"/>
          <w:lang w:eastAsia="es-ES" w:bidi="es-ES"/>
        </w:rPr>
      </w:pPr>
      <w:r w:rsidRPr="00762D43">
        <w:rPr>
          <w:rFonts w:eastAsia="MS PGothic"/>
          <w:color w:val="000000"/>
          <w:szCs w:val="20"/>
          <w:lang w:eastAsia="es-ES" w:bidi="es-ES"/>
        </w:rPr>
        <w:t xml:space="preserve">Cuando lo solicite una CPC, la conversión de los BCD en papel a eBCD será facilitada por la Secretaría de ICCAT o se realizará, cuando proceda, mediante la creación en el sistema eBCD de perfiles de usuario a este efecto para las autoridades de las CPC cuando así lo soliciten. </w:t>
      </w:r>
    </w:p>
    <w:p w14:paraId="6D29EAE1" w14:textId="77777777" w:rsidR="00762D43" w:rsidRPr="00762D43" w:rsidRDefault="00762D43" w:rsidP="00762D43">
      <w:pPr>
        <w:framePr w:wrap="auto" w:vAnchor="margin" w:yAlign="inline"/>
        <w:ind w:left="426"/>
        <w:rPr>
          <w:rFonts w:eastAsia="MS PGothic"/>
          <w:color w:val="000000"/>
          <w:szCs w:val="20"/>
          <w:lang w:eastAsia="es-ES" w:bidi="es-ES"/>
        </w:rPr>
      </w:pPr>
    </w:p>
    <w:p w14:paraId="7C24B6F1" w14:textId="77777777" w:rsidR="00762D43" w:rsidRPr="00762D43" w:rsidRDefault="00762D43" w:rsidP="00762D43">
      <w:pPr>
        <w:framePr w:wrap="auto" w:vAnchor="margin" w:yAlign="inline"/>
        <w:numPr>
          <w:ilvl w:val="0"/>
          <w:numId w:val="9"/>
        </w:numPr>
        <w:ind w:left="426" w:hanging="426"/>
        <w:rPr>
          <w:rFonts w:eastAsia="MS PGothic"/>
          <w:color w:val="000000"/>
          <w:szCs w:val="20"/>
          <w:lang w:eastAsia="es-ES" w:bidi="es-ES"/>
        </w:rPr>
      </w:pPr>
      <w:r w:rsidRPr="00762D43">
        <w:rPr>
          <w:rFonts w:eastAsia="MS PGothic"/>
          <w:color w:val="000000"/>
          <w:szCs w:val="20"/>
          <w:lang w:eastAsia="es-ES" w:bidi="es-ES"/>
        </w:rPr>
        <w:lastRenderedPageBreak/>
        <w:t>El CDS WG se encargará de continuar su trabajo y, a través de la Secretaría de ICCAT, informará al Consorcio que desarrolla el sistema de las especificaciones relacionadas con todos los desarrollos y ajustes requeridos por el sistema y dirigirá su implementación.</w:t>
      </w:r>
    </w:p>
    <w:p w14:paraId="278B2979" w14:textId="77777777" w:rsidR="00762D43" w:rsidRPr="00762D43" w:rsidRDefault="00762D43" w:rsidP="00762D43">
      <w:pPr>
        <w:framePr w:wrap="auto" w:vAnchor="margin" w:yAlign="inline"/>
        <w:ind w:left="426"/>
        <w:rPr>
          <w:rFonts w:eastAsia="MS PGothic"/>
          <w:color w:val="000000"/>
          <w:szCs w:val="20"/>
          <w:lang w:eastAsia="es-ES" w:bidi="es-ES"/>
        </w:rPr>
      </w:pPr>
    </w:p>
    <w:p w14:paraId="20C2CC6B" w14:textId="77777777" w:rsidR="00762D43" w:rsidRPr="00762D43" w:rsidRDefault="00762D43" w:rsidP="00762D43">
      <w:pPr>
        <w:framePr w:wrap="auto" w:vAnchor="margin" w:yAlign="inline"/>
        <w:numPr>
          <w:ilvl w:val="0"/>
          <w:numId w:val="9"/>
        </w:numPr>
        <w:ind w:left="426" w:hanging="426"/>
        <w:rPr>
          <w:rFonts w:eastAsia="MS PGothic"/>
          <w:color w:val="000000"/>
          <w:szCs w:val="20"/>
          <w:lang w:eastAsia="es-ES" w:bidi="es-ES"/>
        </w:rPr>
      </w:pPr>
      <w:r w:rsidRPr="00762D43">
        <w:rPr>
          <w:rFonts w:eastAsia="MS PGothic"/>
          <w:color w:val="000000"/>
          <w:szCs w:val="20"/>
          <w:lang w:eastAsia="es-ES" w:bidi="es-ES"/>
        </w:rPr>
        <w:t xml:space="preserve">Esta Recomendación aclara la Recomendación 18-02 y aclara y enmienda la Recomendación 23-21. </w:t>
      </w:r>
    </w:p>
    <w:p w14:paraId="6C28E6F5" w14:textId="77777777" w:rsidR="00762D43" w:rsidRPr="00762D43" w:rsidRDefault="00762D43" w:rsidP="00762D43">
      <w:pPr>
        <w:framePr w:wrap="notBeside"/>
        <w:ind w:left="720"/>
        <w:contextualSpacing/>
        <w:rPr>
          <w:rFonts w:eastAsia="MS PGothic"/>
          <w:color w:val="000000"/>
          <w:szCs w:val="20"/>
          <w:lang w:eastAsia="es-ES" w:bidi="es-ES"/>
        </w:rPr>
      </w:pPr>
    </w:p>
    <w:p w14:paraId="783126C8" w14:textId="77777777" w:rsidR="00762D43" w:rsidRPr="00762D43" w:rsidRDefault="00762D43" w:rsidP="00762D43">
      <w:pPr>
        <w:framePr w:wrap="auto" w:vAnchor="margin" w:yAlign="inline"/>
        <w:numPr>
          <w:ilvl w:val="0"/>
          <w:numId w:val="9"/>
        </w:numPr>
        <w:ind w:left="426" w:hanging="426"/>
        <w:rPr>
          <w:rFonts w:eastAsia="MS PGothic"/>
          <w:color w:val="000000"/>
          <w:szCs w:val="20"/>
          <w:lang w:eastAsia="es-ES" w:bidi="es-ES"/>
        </w:rPr>
      </w:pPr>
      <w:r w:rsidRPr="00762D43">
        <w:rPr>
          <w:rFonts w:eastAsia="MS PGothic"/>
          <w:color w:val="000000"/>
          <w:szCs w:val="20"/>
          <w:lang w:eastAsia="es-ES" w:bidi="es-ES"/>
        </w:rPr>
        <w:t xml:space="preserve">Esta Recomendación revoca la </w:t>
      </w:r>
      <w:r w:rsidRPr="00762D43">
        <w:rPr>
          <w:rFonts w:eastAsia="MS PGothic"/>
          <w:i/>
          <w:color w:val="000000"/>
          <w:szCs w:val="20"/>
          <w:lang w:eastAsia="es-ES" w:bidi="es-ES"/>
        </w:rPr>
        <w:t xml:space="preserve">Recomendación de ICCAT que enmienda la Recomendación 21-18 sobre la aplicación del sistema eBCD </w:t>
      </w:r>
      <w:r w:rsidRPr="00762D43">
        <w:rPr>
          <w:rFonts w:eastAsia="MS PGothic"/>
          <w:iCs/>
          <w:color w:val="000000"/>
          <w:szCs w:val="20"/>
          <w:lang w:eastAsia="es-ES" w:bidi="es-ES"/>
        </w:rPr>
        <w:t>(</w:t>
      </w:r>
      <w:r w:rsidRPr="00762D43">
        <w:rPr>
          <w:rFonts w:eastAsia="MS PGothic"/>
          <w:color w:val="000000"/>
          <w:szCs w:val="20"/>
          <w:lang w:eastAsia="es-ES" w:bidi="es-ES"/>
        </w:rPr>
        <w:t>Rec. 22-16) y la sustituye</w:t>
      </w:r>
      <w:r w:rsidRPr="00762D43">
        <w:rPr>
          <w:rFonts w:eastAsia="MS PGothic"/>
          <w:i/>
          <w:color w:val="000000"/>
          <w:szCs w:val="20"/>
          <w:lang w:eastAsia="es-ES" w:bidi="es-ES"/>
        </w:rPr>
        <w:t>.</w:t>
      </w:r>
    </w:p>
    <w:p w14:paraId="10A9C883" w14:textId="77777777" w:rsidR="00762D43" w:rsidRPr="00762D43" w:rsidRDefault="00762D43" w:rsidP="00762D43">
      <w:pPr>
        <w:framePr w:wrap="auto" w:vAnchor="margin" w:yAlign="inline"/>
        <w:ind w:left="284" w:hanging="284"/>
        <w:rPr>
          <w:rFonts w:eastAsia="MS PGothic"/>
          <w:b/>
          <w:color w:val="000000"/>
          <w:szCs w:val="20"/>
          <w:lang w:eastAsia="es-ES" w:bidi="es-ES"/>
        </w:rPr>
      </w:pPr>
    </w:p>
    <w:p w14:paraId="6B7D25B7" w14:textId="77777777" w:rsidR="00A6045D" w:rsidRPr="00FF7643" w:rsidRDefault="00A6045D" w:rsidP="00251CC6">
      <w:pPr>
        <w:framePr w:wrap="auto" w:vAnchor="margin" w:yAlign="inline"/>
        <w:ind w:left="284" w:hanging="284"/>
        <w:rPr>
          <w:rFonts w:eastAsia="MS PGothic"/>
          <w:b/>
          <w:color w:val="000000"/>
          <w:szCs w:val="20"/>
          <w:lang w:eastAsia="es-ES" w:bidi="es-ES"/>
        </w:rPr>
      </w:pPr>
    </w:p>
    <w:p w14:paraId="55413493" w14:textId="21390354" w:rsidR="00845A47" w:rsidRPr="00FF7643" w:rsidRDefault="00845A47" w:rsidP="00251CC6">
      <w:pPr>
        <w:framePr w:wrap="auto" w:vAnchor="margin" w:yAlign="inline"/>
        <w:jc w:val="left"/>
        <w:rPr>
          <w:b/>
        </w:rPr>
      </w:pPr>
      <w:r w:rsidRPr="00FF7643">
        <w:rPr>
          <w:b/>
        </w:rPr>
        <w:br w:type="page"/>
      </w:r>
    </w:p>
    <w:p w14:paraId="143FBC8E" w14:textId="77777777" w:rsidR="00845A47" w:rsidRPr="00FF7643" w:rsidRDefault="00845A47" w:rsidP="00845A47">
      <w:pPr>
        <w:framePr w:wrap="auto" w:vAnchor="margin" w:yAlign="inline"/>
        <w:jc w:val="right"/>
        <w:rPr>
          <w:rFonts w:eastAsia="MS PGothic"/>
          <w:b/>
          <w:color w:val="000000"/>
          <w:szCs w:val="20"/>
          <w:lang w:eastAsia="es-ES" w:bidi="es-ES"/>
        </w:rPr>
      </w:pPr>
      <w:r w:rsidRPr="00FF7643">
        <w:rPr>
          <w:rFonts w:eastAsia="MS PGothic"/>
          <w:b/>
          <w:color w:val="000000"/>
          <w:szCs w:val="20"/>
          <w:lang w:eastAsia="es-ES" w:bidi="es-ES"/>
        </w:rPr>
        <w:lastRenderedPageBreak/>
        <w:t xml:space="preserve">Anexo 1 </w:t>
      </w:r>
    </w:p>
    <w:p w14:paraId="6C314D21" w14:textId="77777777" w:rsidR="00845A47" w:rsidRPr="00FF7643" w:rsidRDefault="00845A47" w:rsidP="00845A47">
      <w:pPr>
        <w:framePr w:wrap="auto" w:vAnchor="margin" w:yAlign="inline"/>
        <w:jc w:val="center"/>
        <w:rPr>
          <w:rFonts w:eastAsia="MS PGothic"/>
          <w:b/>
          <w:color w:val="000000"/>
          <w:szCs w:val="20"/>
          <w:lang w:eastAsia="es-ES" w:bidi="es-ES"/>
        </w:rPr>
      </w:pPr>
      <w:r w:rsidRPr="00FF7643">
        <w:rPr>
          <w:rFonts w:eastAsia="MS PGothic"/>
          <w:b/>
          <w:color w:val="000000"/>
          <w:szCs w:val="20"/>
          <w:lang w:eastAsia="es-ES" w:bidi="es-ES"/>
        </w:rPr>
        <w:t xml:space="preserve">Requisitos de datos para el comercio de atún rojo del Pacífico </w:t>
      </w:r>
    </w:p>
    <w:p w14:paraId="3A68D802" w14:textId="77777777" w:rsidR="00845A47" w:rsidRPr="00FF7643" w:rsidRDefault="00845A47" w:rsidP="00845A47">
      <w:pPr>
        <w:framePr w:wrap="auto" w:vAnchor="margin" w:yAlign="inline"/>
        <w:jc w:val="center"/>
        <w:rPr>
          <w:rFonts w:eastAsia="MS PGothic"/>
          <w:color w:val="000000"/>
          <w:szCs w:val="20"/>
          <w:lang w:eastAsia="es-ES" w:bidi="es-ES"/>
        </w:rPr>
      </w:pPr>
      <w:r w:rsidRPr="00FF7643">
        <w:rPr>
          <w:rFonts w:eastAsia="MS PGothic"/>
          <w:b/>
          <w:color w:val="000000"/>
          <w:szCs w:val="20"/>
          <w:lang w:eastAsia="es-ES" w:bidi="es-ES"/>
        </w:rPr>
        <w:t xml:space="preserve">en el marco del programa BCD </w:t>
      </w:r>
    </w:p>
    <w:p w14:paraId="6333A9A7" w14:textId="77777777" w:rsidR="00845A47" w:rsidRPr="00FF7643" w:rsidRDefault="00845A47" w:rsidP="00845A47">
      <w:pPr>
        <w:framePr w:wrap="auto" w:vAnchor="margin" w:yAlign="inline"/>
        <w:rPr>
          <w:rFonts w:eastAsia="MS PGothic"/>
          <w:color w:val="000000"/>
          <w:szCs w:val="20"/>
          <w:lang w:eastAsia="es-ES" w:bidi="es-ES"/>
        </w:rPr>
      </w:pPr>
    </w:p>
    <w:p w14:paraId="50005F35"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1: Número de documento de captura de atún rojo </w:t>
      </w:r>
    </w:p>
    <w:p w14:paraId="3951518A" w14:textId="77777777" w:rsidR="00845A47" w:rsidRPr="00FF7643" w:rsidRDefault="00845A47" w:rsidP="00845A47">
      <w:pPr>
        <w:framePr w:wrap="auto" w:vAnchor="margin" w:yAlign="inline"/>
        <w:rPr>
          <w:rFonts w:eastAsia="MS PGothic"/>
          <w:color w:val="000000"/>
          <w:szCs w:val="20"/>
          <w:lang w:eastAsia="es-ES" w:bidi="es-ES"/>
        </w:rPr>
      </w:pPr>
    </w:p>
    <w:p w14:paraId="7FB1FA70"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2: Información de captura </w:t>
      </w:r>
    </w:p>
    <w:p w14:paraId="69E19CB0"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Nombre del buque de captura/almadraba </w:t>
      </w:r>
    </w:p>
    <w:p w14:paraId="0F44EB79"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Pabellón/CPC </w:t>
      </w:r>
    </w:p>
    <w:p w14:paraId="620A4B22"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Área </w:t>
      </w:r>
    </w:p>
    <w:p w14:paraId="3FF150D0"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Peso total (kg) </w:t>
      </w:r>
    </w:p>
    <w:p w14:paraId="27B5FFE6" w14:textId="77777777" w:rsidR="00845A47" w:rsidRPr="00FF7643" w:rsidRDefault="00845A47" w:rsidP="00845A47">
      <w:pPr>
        <w:framePr w:wrap="auto" w:vAnchor="margin" w:yAlign="inline"/>
        <w:rPr>
          <w:rFonts w:eastAsia="MS PGothic"/>
          <w:color w:val="000000"/>
          <w:szCs w:val="20"/>
          <w:lang w:eastAsia="es-ES" w:bidi="es-ES"/>
        </w:rPr>
      </w:pPr>
    </w:p>
    <w:p w14:paraId="0C26E736"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Sección 8: Información sobre comercio</w:t>
      </w:r>
    </w:p>
    <w:p w14:paraId="4B80AF20"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 </w:t>
      </w:r>
    </w:p>
    <w:p w14:paraId="22CB346C"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Descripción del producto </w:t>
      </w:r>
    </w:p>
    <w:p w14:paraId="68A6C5E2" w14:textId="77777777" w:rsidR="00845A47" w:rsidRPr="00FF7643" w:rsidRDefault="00845A47" w:rsidP="00845A47">
      <w:pPr>
        <w:framePr w:wrap="auto" w:vAnchor="margin" w:yAlign="inline"/>
        <w:numPr>
          <w:ilvl w:val="0"/>
          <w:numId w:val="2"/>
        </w:numPr>
        <w:spacing w:line="259" w:lineRule="auto"/>
        <w:rPr>
          <w:rFonts w:eastAsia="MS PGothic"/>
          <w:color w:val="000000"/>
          <w:szCs w:val="20"/>
          <w:lang w:val="en-US" w:eastAsia="es-ES" w:bidi="es-ES"/>
        </w:rPr>
      </w:pPr>
      <w:r w:rsidRPr="00FF7643">
        <w:rPr>
          <w:rFonts w:eastAsia="MS PGothic"/>
          <w:color w:val="000000"/>
          <w:szCs w:val="20"/>
          <w:lang w:val="en-US" w:eastAsia="es-ES" w:bidi="es-ES"/>
        </w:rPr>
        <w:t xml:space="preserve">(F/FR; RD/GG/DR/FL/OT) </w:t>
      </w:r>
    </w:p>
    <w:p w14:paraId="61026736" w14:textId="77777777" w:rsidR="00845A47" w:rsidRPr="00FF7643" w:rsidRDefault="00845A47" w:rsidP="00845A47">
      <w:pPr>
        <w:framePr w:wrap="auto" w:vAnchor="margin" w:yAlign="inline"/>
        <w:numPr>
          <w:ilvl w:val="0"/>
          <w:numId w:val="2"/>
        </w:numPr>
        <w:spacing w:after="160" w:line="259" w:lineRule="auto"/>
        <w:rPr>
          <w:rFonts w:eastAsia="MS PGothic"/>
          <w:color w:val="000000"/>
          <w:szCs w:val="20"/>
          <w:lang w:eastAsia="es-ES" w:bidi="es-ES"/>
        </w:rPr>
      </w:pPr>
      <w:r w:rsidRPr="00FF7643">
        <w:rPr>
          <w:rFonts w:eastAsia="MS PGothic"/>
          <w:color w:val="000000"/>
          <w:szCs w:val="20"/>
          <w:lang w:eastAsia="es-ES" w:bidi="es-ES"/>
        </w:rPr>
        <w:t xml:space="preserve">Peso total (NET) </w:t>
      </w:r>
    </w:p>
    <w:p w14:paraId="343E62FA"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Información del exportador/vendedor </w:t>
      </w:r>
    </w:p>
    <w:p w14:paraId="5867DAEC" w14:textId="77777777" w:rsidR="00845A47" w:rsidRPr="00FF7643" w:rsidRDefault="00845A47" w:rsidP="00845A47">
      <w:pPr>
        <w:framePr w:wrap="auto" w:vAnchor="margin" w:yAlign="inline"/>
        <w:numPr>
          <w:ilvl w:val="0"/>
          <w:numId w:val="2"/>
        </w:numPr>
        <w:spacing w:line="259" w:lineRule="auto"/>
        <w:rPr>
          <w:rFonts w:eastAsia="MS PGothic"/>
          <w:color w:val="000000"/>
          <w:szCs w:val="20"/>
          <w:lang w:eastAsia="es-ES" w:bidi="es-ES"/>
        </w:rPr>
      </w:pPr>
      <w:r w:rsidRPr="00FF7643">
        <w:rPr>
          <w:rFonts w:eastAsia="MS PGothic"/>
          <w:color w:val="000000"/>
          <w:szCs w:val="20"/>
          <w:lang w:eastAsia="es-ES" w:bidi="es-ES"/>
        </w:rPr>
        <w:t xml:space="preserve">Nombre de la empresa </w:t>
      </w:r>
    </w:p>
    <w:p w14:paraId="2346823A" w14:textId="77777777" w:rsidR="00845A47" w:rsidRPr="00FF7643" w:rsidRDefault="00845A47" w:rsidP="00845A47">
      <w:pPr>
        <w:framePr w:wrap="auto" w:vAnchor="margin" w:yAlign="inline"/>
        <w:numPr>
          <w:ilvl w:val="0"/>
          <w:numId w:val="2"/>
        </w:numPr>
        <w:spacing w:line="259" w:lineRule="auto"/>
        <w:rPr>
          <w:rFonts w:eastAsia="MS PGothic"/>
          <w:color w:val="000000"/>
          <w:szCs w:val="20"/>
          <w:lang w:eastAsia="es-ES" w:bidi="es-ES"/>
        </w:rPr>
      </w:pPr>
      <w:r w:rsidRPr="00FF7643">
        <w:rPr>
          <w:rFonts w:eastAsia="MS PGothic"/>
          <w:color w:val="000000"/>
          <w:szCs w:val="20"/>
          <w:lang w:eastAsia="es-ES" w:bidi="es-ES"/>
        </w:rPr>
        <w:t xml:space="preserve">Punto de exportación/salida </w:t>
      </w:r>
    </w:p>
    <w:p w14:paraId="62FEB386" w14:textId="77777777" w:rsidR="00845A47" w:rsidRPr="00FF7643" w:rsidRDefault="00845A47" w:rsidP="00845A47">
      <w:pPr>
        <w:framePr w:wrap="auto" w:vAnchor="margin" w:yAlign="inline"/>
        <w:numPr>
          <w:ilvl w:val="0"/>
          <w:numId w:val="2"/>
        </w:numPr>
        <w:spacing w:after="160" w:line="259" w:lineRule="auto"/>
        <w:rPr>
          <w:rFonts w:eastAsia="MS PGothic"/>
          <w:color w:val="000000"/>
          <w:szCs w:val="20"/>
          <w:lang w:eastAsia="es-ES" w:bidi="es-ES"/>
        </w:rPr>
      </w:pPr>
      <w:r w:rsidRPr="00FF7643">
        <w:rPr>
          <w:rFonts w:eastAsia="MS PGothic"/>
          <w:color w:val="000000"/>
          <w:szCs w:val="20"/>
          <w:lang w:eastAsia="es-ES" w:bidi="es-ES"/>
        </w:rPr>
        <w:t xml:space="preserve">Estado de destino </w:t>
      </w:r>
    </w:p>
    <w:p w14:paraId="603A0E51"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Descripción del transporte </w:t>
      </w:r>
    </w:p>
    <w:p w14:paraId="2E44362F" w14:textId="77777777" w:rsidR="00845A47" w:rsidRPr="00FF7643" w:rsidRDefault="00845A47" w:rsidP="00845A47">
      <w:pPr>
        <w:framePr w:wrap="auto" w:vAnchor="margin" w:yAlign="inline"/>
        <w:rPr>
          <w:rFonts w:eastAsia="MS PGothic"/>
          <w:color w:val="000000"/>
          <w:szCs w:val="20"/>
          <w:lang w:eastAsia="es-ES" w:bidi="es-ES"/>
        </w:rPr>
      </w:pPr>
    </w:p>
    <w:p w14:paraId="09DF6D1D"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Validación gubernamental </w:t>
      </w:r>
    </w:p>
    <w:p w14:paraId="5B69A250" w14:textId="77777777" w:rsidR="00845A47" w:rsidRPr="00FF7643" w:rsidRDefault="00845A47" w:rsidP="00845A47">
      <w:pPr>
        <w:framePr w:wrap="auto" w:vAnchor="margin" w:yAlign="inline"/>
        <w:rPr>
          <w:rFonts w:eastAsia="MS PGothic"/>
          <w:color w:val="000000"/>
          <w:szCs w:val="20"/>
          <w:lang w:eastAsia="es-ES" w:bidi="es-ES"/>
        </w:rPr>
      </w:pPr>
    </w:p>
    <w:p w14:paraId="7E84BA6A"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Importador/comprador </w:t>
      </w:r>
    </w:p>
    <w:p w14:paraId="44F06F2A" w14:textId="77777777" w:rsidR="00845A47" w:rsidRPr="00FF7643" w:rsidRDefault="00845A47" w:rsidP="00845A47">
      <w:pPr>
        <w:framePr w:wrap="auto" w:vAnchor="margin" w:yAlign="inline"/>
        <w:numPr>
          <w:ilvl w:val="0"/>
          <w:numId w:val="2"/>
        </w:numPr>
        <w:spacing w:line="259" w:lineRule="auto"/>
        <w:rPr>
          <w:rFonts w:eastAsia="MS PGothic"/>
          <w:color w:val="000000"/>
          <w:szCs w:val="20"/>
          <w:lang w:eastAsia="es-ES" w:bidi="es-ES"/>
        </w:rPr>
      </w:pPr>
      <w:r w:rsidRPr="00FF7643">
        <w:rPr>
          <w:rFonts w:eastAsia="MS PGothic"/>
          <w:color w:val="000000"/>
          <w:szCs w:val="20"/>
          <w:lang w:eastAsia="es-ES" w:bidi="es-ES"/>
        </w:rPr>
        <w:t xml:space="preserve">Nombre de la empresa, número de licencia </w:t>
      </w:r>
    </w:p>
    <w:p w14:paraId="56E5856F" w14:textId="77777777" w:rsidR="00845A47" w:rsidRPr="00FF7643" w:rsidRDefault="00845A47" w:rsidP="00845A47">
      <w:pPr>
        <w:framePr w:wrap="auto" w:vAnchor="margin" w:yAlign="inline"/>
        <w:numPr>
          <w:ilvl w:val="0"/>
          <w:numId w:val="2"/>
        </w:numPr>
        <w:spacing w:after="160" w:line="259" w:lineRule="auto"/>
        <w:rPr>
          <w:rFonts w:eastAsia="MS PGothic"/>
          <w:color w:val="000000"/>
          <w:szCs w:val="20"/>
          <w:lang w:eastAsia="es-ES" w:bidi="es-ES"/>
        </w:rPr>
      </w:pPr>
      <w:r w:rsidRPr="00FF7643">
        <w:rPr>
          <w:rFonts w:eastAsia="MS PGothic"/>
          <w:color w:val="000000"/>
          <w:szCs w:val="20"/>
          <w:lang w:eastAsia="es-ES" w:bidi="es-ES"/>
        </w:rPr>
        <w:t xml:space="preserve">Punto de importación o destino </w:t>
      </w:r>
    </w:p>
    <w:p w14:paraId="3E3CD1BC" w14:textId="77777777" w:rsidR="00845A47" w:rsidRPr="00FF7643" w:rsidRDefault="00845A47" w:rsidP="00845A47">
      <w:pPr>
        <w:framePr w:wrap="auto" w:vAnchor="margin" w:yAlign="inline"/>
        <w:ind w:left="720"/>
        <w:rPr>
          <w:rFonts w:eastAsia="MS PGothic"/>
          <w:color w:val="000000"/>
          <w:szCs w:val="20"/>
          <w:lang w:eastAsia="es-ES" w:bidi="es-ES"/>
        </w:rPr>
      </w:pPr>
    </w:p>
    <w:p w14:paraId="3E46EE0B" w14:textId="77777777" w:rsidR="00845A47" w:rsidRPr="00FF7643" w:rsidRDefault="00845A47" w:rsidP="00845A47">
      <w:pPr>
        <w:framePr w:wrap="auto" w:vAnchor="margin" w:yAlign="inline"/>
        <w:rPr>
          <w:rFonts w:eastAsia="MS PGothic"/>
          <w:color w:val="000000"/>
          <w:szCs w:val="20"/>
          <w:lang w:eastAsia="es-ES" w:bidi="es-ES"/>
        </w:rPr>
      </w:pPr>
    </w:p>
    <w:p w14:paraId="4226E02E" w14:textId="77777777" w:rsidR="00845A47" w:rsidRPr="00FF7643" w:rsidRDefault="00845A47" w:rsidP="00845A47">
      <w:pPr>
        <w:framePr w:wrap="auto" w:vAnchor="margin" w:yAlign="inline"/>
        <w:jc w:val="right"/>
        <w:rPr>
          <w:rFonts w:eastAsia="MS PGothic"/>
          <w:b/>
          <w:color w:val="000000"/>
          <w:szCs w:val="20"/>
          <w:lang w:eastAsia="es-ES" w:bidi="es-ES"/>
        </w:rPr>
      </w:pPr>
    </w:p>
    <w:p w14:paraId="687329C9" w14:textId="77777777" w:rsidR="00845A47" w:rsidRPr="00FF7643" w:rsidRDefault="00845A47" w:rsidP="00845A47">
      <w:pPr>
        <w:framePr w:wrap="auto" w:vAnchor="margin" w:yAlign="inline"/>
        <w:jc w:val="left"/>
        <w:rPr>
          <w:rFonts w:eastAsia="MS PGothic"/>
          <w:b/>
          <w:color w:val="000000"/>
          <w:szCs w:val="20"/>
          <w:lang w:eastAsia="es-ES" w:bidi="es-ES"/>
        </w:rPr>
      </w:pPr>
      <w:r w:rsidRPr="00FF7643">
        <w:rPr>
          <w:rFonts w:eastAsia="MS PGothic"/>
          <w:b/>
          <w:color w:val="000000"/>
          <w:szCs w:val="20"/>
          <w:lang w:eastAsia="es-ES" w:bidi="es-ES"/>
        </w:rPr>
        <w:br w:type="page"/>
      </w:r>
    </w:p>
    <w:p w14:paraId="2517057F" w14:textId="77777777" w:rsidR="00845A47" w:rsidRPr="00FF7643" w:rsidRDefault="00845A47" w:rsidP="00845A47">
      <w:pPr>
        <w:framePr w:wrap="auto" w:vAnchor="margin" w:yAlign="inline"/>
        <w:jc w:val="right"/>
        <w:rPr>
          <w:rFonts w:eastAsia="MS PGothic"/>
          <w:b/>
          <w:color w:val="000000"/>
          <w:szCs w:val="20"/>
          <w:lang w:eastAsia="es-ES" w:bidi="es-ES"/>
        </w:rPr>
      </w:pPr>
      <w:r w:rsidRPr="00FF7643">
        <w:rPr>
          <w:rFonts w:eastAsia="MS PGothic"/>
          <w:b/>
          <w:color w:val="000000"/>
          <w:szCs w:val="20"/>
          <w:lang w:eastAsia="es-ES" w:bidi="es-ES"/>
        </w:rPr>
        <w:lastRenderedPageBreak/>
        <w:t xml:space="preserve">Anexo 2 </w:t>
      </w:r>
    </w:p>
    <w:p w14:paraId="7F3AAE2D" w14:textId="77777777" w:rsidR="00845A47" w:rsidRPr="00FF7643" w:rsidRDefault="00845A47" w:rsidP="00845A47">
      <w:pPr>
        <w:framePr w:wrap="auto" w:vAnchor="margin" w:yAlign="inline"/>
        <w:jc w:val="center"/>
        <w:rPr>
          <w:rFonts w:eastAsia="MS PGothic"/>
          <w:b/>
          <w:color w:val="000000"/>
          <w:szCs w:val="20"/>
          <w:lang w:eastAsia="es-ES" w:bidi="es-ES"/>
        </w:rPr>
      </w:pPr>
      <w:r w:rsidRPr="00FF7643">
        <w:rPr>
          <w:rFonts w:eastAsia="MS PGothic"/>
          <w:b/>
          <w:color w:val="000000"/>
          <w:szCs w:val="20"/>
          <w:lang w:eastAsia="es-ES" w:bidi="es-ES"/>
        </w:rPr>
        <w:t>Certificado ICCAT de reexportación de atún rojo</w:t>
      </w:r>
    </w:p>
    <w:p w14:paraId="0938FAC6" w14:textId="77777777" w:rsidR="00845A47" w:rsidRPr="00FF7643" w:rsidRDefault="00845A47" w:rsidP="00845A47">
      <w:pPr>
        <w:framePr w:wrap="auto" w:vAnchor="margin" w:yAlign="inline"/>
        <w:rPr>
          <w:rFonts w:eastAsia="MS PGothic"/>
          <w:color w:val="000000"/>
          <w:szCs w:val="20"/>
          <w:lang w:eastAsia="es-ES" w:bidi="es-ES"/>
        </w:rPr>
      </w:pPr>
    </w:p>
    <w:p w14:paraId="69F92C4F"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1: Número de certificado de reexportación de atún rojo </w:t>
      </w:r>
    </w:p>
    <w:p w14:paraId="1725BD40" w14:textId="77777777" w:rsidR="00845A47" w:rsidRPr="00FF7643" w:rsidRDefault="00845A47" w:rsidP="00845A47">
      <w:pPr>
        <w:framePr w:wrap="auto" w:vAnchor="margin" w:yAlign="inline"/>
        <w:rPr>
          <w:rFonts w:eastAsia="MS PGothic"/>
          <w:color w:val="000000"/>
          <w:szCs w:val="20"/>
          <w:lang w:eastAsia="es-ES" w:bidi="es-ES"/>
        </w:rPr>
      </w:pPr>
    </w:p>
    <w:p w14:paraId="1DD9FEF8"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2: Sección de reexportación </w:t>
      </w:r>
    </w:p>
    <w:p w14:paraId="4F1724D8"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País/entidad/entidad pesquera de reexportación </w:t>
      </w:r>
    </w:p>
    <w:p w14:paraId="45ED4783"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Punto de reexportación </w:t>
      </w:r>
    </w:p>
    <w:p w14:paraId="3ADD4CA6" w14:textId="77777777" w:rsidR="00845A47" w:rsidRPr="00FF7643" w:rsidRDefault="00845A47" w:rsidP="00845A47">
      <w:pPr>
        <w:framePr w:wrap="auto" w:vAnchor="margin" w:yAlign="inline"/>
        <w:rPr>
          <w:rFonts w:eastAsia="MS PGothic"/>
          <w:color w:val="000000"/>
          <w:szCs w:val="20"/>
          <w:lang w:eastAsia="es-ES" w:bidi="es-ES"/>
        </w:rPr>
      </w:pPr>
    </w:p>
    <w:p w14:paraId="56D250E6"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3: Descripción del atún rojo importado </w:t>
      </w:r>
    </w:p>
    <w:p w14:paraId="5D76642A"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Peso neto (kg) </w:t>
      </w:r>
    </w:p>
    <w:p w14:paraId="21ED8C95"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Número de BCD (o eBCD) y fecha(s) de importación </w:t>
      </w:r>
    </w:p>
    <w:p w14:paraId="3136E421" w14:textId="77777777" w:rsidR="00845A47" w:rsidRPr="00FF7643" w:rsidRDefault="00845A47" w:rsidP="00845A47">
      <w:pPr>
        <w:framePr w:wrap="auto" w:vAnchor="margin" w:yAlign="inline"/>
        <w:rPr>
          <w:rFonts w:eastAsia="MS PGothic"/>
          <w:color w:val="000000"/>
          <w:szCs w:val="20"/>
          <w:lang w:eastAsia="es-ES" w:bidi="es-ES"/>
        </w:rPr>
      </w:pPr>
    </w:p>
    <w:p w14:paraId="21DAA214"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Sección 4: Descripción del atún rojo que va a ser reexportado </w:t>
      </w:r>
    </w:p>
    <w:p w14:paraId="5B8895CE"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Peso neto (kg) </w:t>
      </w:r>
    </w:p>
    <w:p w14:paraId="21E7F70D"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Número de BCD (o eBCD) correspondiente </w:t>
      </w:r>
    </w:p>
    <w:p w14:paraId="5AFD60D3"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 xml:space="preserve">Estado de destino </w:t>
      </w:r>
    </w:p>
    <w:p w14:paraId="457853D9" w14:textId="77777777" w:rsidR="00845A47" w:rsidRPr="00FF7643" w:rsidRDefault="00845A47" w:rsidP="00845A47">
      <w:pPr>
        <w:framePr w:wrap="auto" w:vAnchor="margin" w:yAlign="inline"/>
        <w:rPr>
          <w:rFonts w:eastAsia="MS PGothic"/>
          <w:color w:val="000000"/>
          <w:szCs w:val="20"/>
          <w:lang w:eastAsia="es-ES" w:bidi="es-ES"/>
        </w:rPr>
      </w:pPr>
    </w:p>
    <w:p w14:paraId="34357377" w14:textId="77777777" w:rsidR="00845A47" w:rsidRPr="00FF7643" w:rsidRDefault="00845A47" w:rsidP="00845A47">
      <w:pPr>
        <w:framePr w:wrap="auto" w:vAnchor="margin" w:yAlign="inline"/>
        <w:rPr>
          <w:rFonts w:eastAsia="MS PGothic"/>
          <w:color w:val="000000"/>
          <w:szCs w:val="20"/>
          <w:lang w:eastAsia="es-ES" w:bidi="es-ES"/>
        </w:rPr>
      </w:pPr>
      <w:r w:rsidRPr="00FF7643">
        <w:rPr>
          <w:rFonts w:eastAsia="MS PGothic"/>
          <w:color w:val="000000"/>
          <w:szCs w:val="20"/>
          <w:lang w:eastAsia="es-ES" w:bidi="es-ES"/>
        </w:rPr>
        <w:t>Sección 6: Validación gubernamental</w:t>
      </w:r>
    </w:p>
    <w:p w14:paraId="227A0235" w14:textId="77777777" w:rsidR="00762D43" w:rsidRPr="00762D43" w:rsidRDefault="00845A47" w:rsidP="00762D43">
      <w:pPr>
        <w:framePr w:wrap="notBeside"/>
        <w:ind w:left="1020" w:hanging="1020"/>
        <w:jc w:val="right"/>
        <w:rPr>
          <w:rFonts w:eastAsia="MS PGothic"/>
          <w:b/>
          <w:szCs w:val="20"/>
          <w:lang w:eastAsia="es-ES" w:bidi="es-ES"/>
        </w:rPr>
      </w:pPr>
      <w:r w:rsidRPr="00FF7643">
        <w:rPr>
          <w:rFonts w:eastAsia="MS PGothic"/>
          <w:color w:val="000000"/>
          <w:szCs w:val="20"/>
          <w:lang w:eastAsia="es-ES" w:bidi="es-ES"/>
        </w:rPr>
        <w:br w:type="page"/>
      </w:r>
      <w:r w:rsidR="00762D43" w:rsidRPr="00762D43">
        <w:rPr>
          <w:rFonts w:eastAsia="MS PGothic"/>
          <w:b/>
          <w:color w:val="000000"/>
          <w:szCs w:val="20"/>
          <w:lang w:eastAsia="es-ES" w:bidi="es-ES"/>
        </w:rPr>
        <w:t>Anexo</w:t>
      </w:r>
      <w:r w:rsidR="00762D43" w:rsidRPr="00762D43">
        <w:rPr>
          <w:rFonts w:eastAsia="MS PGothic"/>
          <w:b/>
          <w:szCs w:val="20"/>
          <w:lang w:eastAsia="es-ES" w:bidi="es-ES"/>
        </w:rPr>
        <w:t xml:space="preserve"> 3</w:t>
      </w:r>
    </w:p>
    <w:p w14:paraId="3DB376A2" w14:textId="77777777" w:rsidR="00762D43" w:rsidRPr="00762D43" w:rsidRDefault="00762D43" w:rsidP="00762D43">
      <w:pPr>
        <w:framePr w:wrap="auto" w:vAnchor="margin" w:yAlign="inline"/>
        <w:jc w:val="right"/>
        <w:rPr>
          <w:rFonts w:eastAsia="MS PGothic"/>
          <w:b/>
          <w:szCs w:val="20"/>
          <w:lang w:eastAsia="es-ES" w:bidi="es-ES"/>
        </w:rPr>
      </w:pPr>
    </w:p>
    <w:p w14:paraId="28DAF45A" w14:textId="77777777" w:rsidR="00762D43" w:rsidRPr="00762D43" w:rsidRDefault="00762D43" w:rsidP="00762D43">
      <w:pPr>
        <w:framePr w:wrap="auto" w:vAnchor="margin" w:yAlign="inline"/>
        <w:jc w:val="center"/>
        <w:rPr>
          <w:rFonts w:eastAsia="MS Mincho"/>
          <w:b/>
          <w:szCs w:val="20"/>
          <w:lang w:eastAsia="es-ES" w:bidi="es-ES"/>
        </w:rPr>
      </w:pPr>
      <w:r w:rsidRPr="00762D43">
        <w:rPr>
          <w:rFonts w:eastAsia="MS PGothic"/>
          <w:b/>
          <w:szCs w:val="20"/>
          <w:lang w:eastAsia="es-ES" w:bidi="es-ES"/>
        </w:rPr>
        <w:t>Procedimientos para permitir la emisión de BCD en papel o eBCD impresos</w:t>
      </w:r>
      <w:r w:rsidRPr="00762D43">
        <w:rPr>
          <w:rFonts w:eastAsia="MS PGothic"/>
          <w:b/>
          <w:szCs w:val="20"/>
          <w:lang w:eastAsia="es-ES" w:bidi="es-ES"/>
        </w:rPr>
        <w:br/>
        <w:t xml:space="preserve"> debido a dificultades técnicas en el sistema eBCD</w:t>
      </w:r>
    </w:p>
    <w:p w14:paraId="72DCEFD1" w14:textId="77777777" w:rsidR="00762D43" w:rsidRPr="00762D43" w:rsidRDefault="00762D43" w:rsidP="00762D43">
      <w:pPr>
        <w:framePr w:wrap="auto" w:vAnchor="margin" w:yAlign="inline"/>
        <w:rPr>
          <w:rFonts w:eastAsia="MS Mincho"/>
          <w:szCs w:val="20"/>
          <w:lang w:eastAsia="en-GB" w:bidi="es-ES"/>
        </w:rPr>
      </w:pPr>
    </w:p>
    <w:p w14:paraId="20E91DF0" w14:textId="77777777" w:rsidR="00762D43" w:rsidRPr="00762D43" w:rsidRDefault="00762D43" w:rsidP="00762D43">
      <w:pPr>
        <w:framePr w:wrap="auto" w:vAnchor="margin" w:yAlign="inline"/>
        <w:ind w:left="426" w:hanging="426"/>
        <w:rPr>
          <w:rFonts w:eastAsia="MS Mincho"/>
          <w:szCs w:val="20"/>
          <w:lang w:eastAsia="es-ES" w:bidi="es-ES"/>
        </w:rPr>
      </w:pPr>
      <w:r w:rsidRPr="00762D43">
        <w:rPr>
          <w:rFonts w:eastAsia="MS PGothic"/>
          <w:szCs w:val="20"/>
          <w:lang w:eastAsia="es-ES" w:bidi="es-ES"/>
        </w:rPr>
        <w:t xml:space="preserve">A. </w:t>
      </w:r>
      <w:r w:rsidRPr="00762D43">
        <w:rPr>
          <w:rFonts w:eastAsia="MS PGothic"/>
          <w:szCs w:val="20"/>
          <w:lang w:eastAsia="es-ES" w:bidi="es-ES"/>
        </w:rPr>
        <w:tab/>
        <w:t>Si la dificultad técnica se produce durante el horario laboral de la Secretaría y del consorcio encargado de la implementación del eBCD:</w:t>
      </w:r>
    </w:p>
    <w:p w14:paraId="2A2E4127" w14:textId="77777777" w:rsidR="00762D43" w:rsidRPr="00762D43" w:rsidRDefault="00762D43" w:rsidP="00762D43">
      <w:pPr>
        <w:framePr w:wrap="auto" w:vAnchor="margin" w:yAlign="inline"/>
        <w:rPr>
          <w:rFonts w:eastAsia="MS Mincho"/>
          <w:szCs w:val="20"/>
          <w:lang w:eastAsia="en-GB" w:bidi="es-ES"/>
        </w:rPr>
      </w:pPr>
    </w:p>
    <w:p w14:paraId="4B863B27" w14:textId="77777777" w:rsidR="00762D43" w:rsidRPr="00762D43" w:rsidRDefault="00762D43" w:rsidP="00762D43">
      <w:pPr>
        <w:framePr w:wrap="auto" w:vAnchor="margin" w:yAlign="inline"/>
        <w:numPr>
          <w:ilvl w:val="0"/>
          <w:numId w:val="7"/>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Como paso inicial, la CPC a la que le surja la dificultad técnica deberá contactar con el consorcio encargado de la implementación para confirmar y tratar de resolver la dificultad técnica, y también deberá incluir a la Secretaría en estas comunicaciones. El consorcio que implementa el eBCD proporcionará un acuse de recibo de la dificultad técnica a la CPC.</w:t>
      </w:r>
    </w:p>
    <w:p w14:paraId="779813AB"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2037726C" w14:textId="77777777" w:rsidR="00762D43" w:rsidRPr="00762D43" w:rsidRDefault="00762D43" w:rsidP="00762D43">
      <w:pPr>
        <w:framePr w:wrap="auto" w:vAnchor="margin" w:yAlign="inline"/>
        <w:numPr>
          <w:ilvl w:val="0"/>
          <w:numId w:val="7"/>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 xml:space="preserve">En el caso de que una dificultad técnica que ha sido confirmada por el consorcio encargado de la implementación no pueda resolverse antes del momento en que debe realizarse una operación comercial, la CPC deberá informar a la Secretaría de la naturaleza de la dificultad técnica y proporcionar la información establecida en el </w:t>
      </w:r>
      <w:r w:rsidRPr="00762D43">
        <w:rPr>
          <w:rFonts w:eastAsia="MS PGothic"/>
          <w:b/>
          <w:szCs w:val="20"/>
          <w:lang w:eastAsia="es-ES" w:bidi="es-ES"/>
        </w:rPr>
        <w:t>Apéndice</w:t>
      </w:r>
      <w:r w:rsidRPr="00762D43">
        <w:rPr>
          <w:rFonts w:eastAsia="MS PGothic"/>
          <w:szCs w:val="20"/>
          <w:lang w:eastAsia="es-ES" w:bidi="es-ES"/>
        </w:rPr>
        <w:t xml:space="preserve"> adjunto, así como una copia de la confirmación de la dificultad técnica del consorcio encargado de la implementación. </w:t>
      </w:r>
    </w:p>
    <w:p w14:paraId="0A2D50E9"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0785AC8D" w14:textId="77777777" w:rsidR="00762D43" w:rsidRPr="00762D43" w:rsidRDefault="00762D43" w:rsidP="00762D43">
      <w:pPr>
        <w:framePr w:wrap="auto" w:vAnchor="margin" w:yAlign="inline"/>
        <w:numPr>
          <w:ilvl w:val="0"/>
          <w:numId w:val="7"/>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La Secretaría notificará a las demás CPC que la CPC a la que le ha surgido una dificultad técnica puede utilizar temporalmente BCD en papel publicando, sin demora, la información proporcionada con arreglo al párrafo 2 anterior en una parte pública del sitio web de ICCAT. La CPC podría utilizar un BCD en papel o un eBCD impreso para la operación comercial.</w:t>
      </w:r>
    </w:p>
    <w:p w14:paraId="2E394FA7"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67B17682" w14:textId="77777777" w:rsidR="00762D43" w:rsidRPr="00762D43" w:rsidRDefault="00762D43" w:rsidP="00762D43">
      <w:pPr>
        <w:framePr w:wrap="auto" w:vAnchor="margin" w:yAlign="inline"/>
        <w:numPr>
          <w:ilvl w:val="0"/>
          <w:numId w:val="7"/>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Una CPC a la que le surjan dificultades técnicas deberá seguir trabajando con el consorcio encargado de la implementación y, cuando proceda, con la Secretaría para resolver el problema.</w:t>
      </w:r>
    </w:p>
    <w:p w14:paraId="1E1C45F3"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3DB44442" w14:textId="77777777" w:rsidR="00762D43" w:rsidRPr="00762D43" w:rsidRDefault="00762D43" w:rsidP="00762D43">
      <w:pPr>
        <w:framePr w:wrap="auto" w:vAnchor="margin" w:yAlign="inline"/>
        <w:numPr>
          <w:ilvl w:val="0"/>
          <w:numId w:val="7"/>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Las CPC comunicarán el momento en que se ha resuelto la dificultad técnica, ya sea a través del sitio de auto informe de incidencias del sistema eBCD o a la Secretaría, para que se publique esta información sin demora en el sitio web de ICCAT. La CPC seguirá entonces los procedimientos de la sección C, inferior.</w:t>
      </w:r>
    </w:p>
    <w:p w14:paraId="47AB6EAB" w14:textId="77777777" w:rsidR="00762D43" w:rsidRPr="00762D43" w:rsidRDefault="00762D43" w:rsidP="00762D43">
      <w:pPr>
        <w:framePr w:wrap="auto" w:vAnchor="margin" w:yAlign="inline"/>
        <w:rPr>
          <w:rFonts w:eastAsia="MS Mincho"/>
          <w:szCs w:val="20"/>
          <w:lang w:eastAsia="en-GB" w:bidi="es-ES"/>
        </w:rPr>
      </w:pPr>
    </w:p>
    <w:p w14:paraId="16C17608" w14:textId="77777777" w:rsidR="00762D43" w:rsidRPr="00762D43" w:rsidRDefault="00762D43" w:rsidP="00762D43">
      <w:pPr>
        <w:framePr w:wrap="auto" w:vAnchor="margin" w:yAlign="inline"/>
        <w:ind w:left="426" w:hanging="426"/>
        <w:rPr>
          <w:rFonts w:eastAsia="MS Mincho"/>
          <w:szCs w:val="20"/>
          <w:lang w:eastAsia="es-ES" w:bidi="es-ES"/>
        </w:rPr>
      </w:pPr>
      <w:r w:rsidRPr="00762D43">
        <w:rPr>
          <w:rFonts w:eastAsia="MS PGothic"/>
          <w:szCs w:val="20"/>
          <w:lang w:eastAsia="es-ES" w:bidi="es-ES"/>
        </w:rPr>
        <w:t xml:space="preserve">B. </w:t>
      </w:r>
      <w:r w:rsidRPr="00762D43">
        <w:rPr>
          <w:rFonts w:eastAsia="MS PGothic"/>
          <w:szCs w:val="20"/>
          <w:lang w:eastAsia="es-ES" w:bidi="es-ES"/>
        </w:rPr>
        <w:tab/>
        <w:t>Si la dificultad técnica se produce fuera del horario laboral de la Secretaría y del consorcio encargado de la implementación del eBCD:</w:t>
      </w:r>
    </w:p>
    <w:p w14:paraId="16D9D791" w14:textId="77777777" w:rsidR="00762D43" w:rsidRPr="00762D43" w:rsidRDefault="00762D43" w:rsidP="00762D43">
      <w:pPr>
        <w:framePr w:wrap="auto" w:vAnchor="margin" w:yAlign="inline"/>
        <w:rPr>
          <w:rFonts w:eastAsia="MS Mincho"/>
          <w:szCs w:val="20"/>
          <w:lang w:eastAsia="en-GB" w:bidi="es-ES"/>
        </w:rPr>
      </w:pPr>
    </w:p>
    <w:p w14:paraId="3E2F942B" w14:textId="77777777" w:rsidR="00762D43" w:rsidRPr="00762D43" w:rsidRDefault="00762D43" w:rsidP="00762D43">
      <w:pPr>
        <w:framePr w:wrap="auto" w:vAnchor="margin" w:yAlign="inline"/>
        <w:numPr>
          <w:ilvl w:val="0"/>
          <w:numId w:val="8"/>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 xml:space="preserve">La CPC a la que le surja la dificultad técnica comunicará inmediatamente a la Secretaría y al consorcio encargado de la implementación a través de correo electrónico que no es capaz de </w:t>
      </w:r>
      <w:r w:rsidRPr="00762D43">
        <w:rPr>
          <w:rFonts w:eastAsia="MS PGothic"/>
          <w:szCs w:val="20"/>
          <w:lang w:eastAsia="es-ES" w:bidi="es-ES"/>
        </w:rPr>
        <w:lastRenderedPageBreak/>
        <w:t xml:space="preserve">utilizar el sistema eBCD con una explicación de la dificultad técnica. Para poder realizar operaciones comerciales, la CPC debe acceder a continuación al sitio de auto informe de incidencias para introducir la información especificada en el </w:t>
      </w:r>
      <w:r w:rsidRPr="00762D43">
        <w:rPr>
          <w:rFonts w:eastAsia="MS PGothic"/>
          <w:b/>
          <w:szCs w:val="20"/>
          <w:lang w:eastAsia="es-ES" w:bidi="es-ES"/>
        </w:rPr>
        <w:t>Apéndice</w:t>
      </w:r>
      <w:r w:rsidRPr="00762D43">
        <w:rPr>
          <w:rFonts w:eastAsia="MS PGothic"/>
          <w:szCs w:val="20"/>
          <w:lang w:eastAsia="es-ES" w:bidi="es-ES"/>
        </w:rPr>
        <w:t xml:space="preserve"> adjunto. A través de este sitio, esta información se cargará automáticamente en el sitio web de ICCAT para notificar a otras CPC que los BCD en papel o los eBCD impresos podrían ser utilizados temporalmente por la CPC a la que le surgió la dificultad técnica. La CPC podría utilizar un BCD en papel o un eBCD impreso para la operación comercial.</w:t>
      </w:r>
    </w:p>
    <w:p w14:paraId="4253FBD4"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2AF0D56D" w14:textId="77777777" w:rsidR="00762D43" w:rsidRPr="00762D43" w:rsidRDefault="00762D43" w:rsidP="00762D43">
      <w:pPr>
        <w:framePr w:wrap="auto" w:vAnchor="margin" w:yAlign="inline"/>
        <w:numPr>
          <w:ilvl w:val="0"/>
          <w:numId w:val="8"/>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Si la dificultad técnica no se resuelve antes del principio del siguiente día hábil de la Secretaría y del consorcio encargado de la implementación, la CPC a la que le haya surgido la dificultad técnica deberá ponerse en contacto con el consorcio encargado de la implementación y, si es necesario, con la Secretaría tan pronto como sea posible durante dicho día hábil con el fin de resolver la dificultad técnica.</w:t>
      </w:r>
    </w:p>
    <w:p w14:paraId="74386F2A" w14:textId="77777777" w:rsidR="00762D43" w:rsidRPr="00762D43" w:rsidRDefault="00762D43" w:rsidP="00762D43">
      <w:pPr>
        <w:framePr w:wrap="auto" w:vAnchor="margin" w:yAlign="inline"/>
        <w:ind w:left="1134" w:hanging="567"/>
        <w:contextualSpacing/>
        <w:rPr>
          <w:rFonts w:eastAsia="MS Mincho"/>
          <w:szCs w:val="20"/>
          <w:lang w:eastAsia="en-GB" w:bidi="es-ES"/>
        </w:rPr>
      </w:pPr>
    </w:p>
    <w:p w14:paraId="340DA3C8" w14:textId="77777777" w:rsidR="00762D43" w:rsidRPr="00762D43" w:rsidRDefault="00762D43" w:rsidP="00762D43">
      <w:pPr>
        <w:framePr w:wrap="auto" w:vAnchor="margin" w:yAlign="inline"/>
        <w:numPr>
          <w:ilvl w:val="0"/>
          <w:numId w:val="8"/>
        </w:numPr>
        <w:spacing w:after="160" w:line="259" w:lineRule="auto"/>
        <w:ind w:left="1134" w:hanging="567"/>
        <w:contextualSpacing/>
        <w:rPr>
          <w:rFonts w:eastAsia="MS Mincho"/>
          <w:szCs w:val="20"/>
          <w:lang w:eastAsia="es-ES" w:bidi="es-ES"/>
        </w:rPr>
      </w:pPr>
      <w:r w:rsidRPr="00762D43">
        <w:rPr>
          <w:rFonts w:eastAsia="MS PGothic"/>
          <w:szCs w:val="20"/>
          <w:lang w:eastAsia="es-ES" w:bidi="es-ES"/>
        </w:rPr>
        <w:t>La CPC comunicará el momento en que se ha resuelto la dificultad técnica, ya sea a través del sitio de auto informe de incidencias o a la Secretaría, para que se publique esta información sin demora en la página web de ICCAT. La CPC seguirá entonces los procedimientos de la sección C, a continuación.</w:t>
      </w:r>
    </w:p>
    <w:p w14:paraId="0A50FD83" w14:textId="77777777" w:rsidR="00762D43" w:rsidRPr="00762D43" w:rsidRDefault="00762D43" w:rsidP="00762D43">
      <w:pPr>
        <w:framePr w:wrap="auto" w:vAnchor="margin" w:yAlign="inline"/>
        <w:ind w:left="426" w:hanging="426"/>
        <w:rPr>
          <w:rFonts w:eastAsia="MS Mincho"/>
          <w:szCs w:val="20"/>
          <w:lang w:eastAsia="es-ES" w:bidi="es-ES"/>
        </w:rPr>
      </w:pPr>
      <w:r w:rsidRPr="00762D43">
        <w:rPr>
          <w:rFonts w:eastAsia="MS PGothic"/>
          <w:szCs w:val="20"/>
          <w:lang w:eastAsia="es-ES" w:bidi="es-ES"/>
        </w:rPr>
        <w:t xml:space="preserve">C. </w:t>
      </w:r>
      <w:r w:rsidRPr="00762D43">
        <w:rPr>
          <w:rFonts w:eastAsia="MS PGothic"/>
          <w:szCs w:val="20"/>
          <w:lang w:eastAsia="es-ES" w:bidi="es-ES"/>
        </w:rPr>
        <w:tab/>
        <w:t>En todos los casos en los que un BCD en papel o un eBCD impreso se haya utilizado de conformidad con los procedimientos especificados en las secciones A o B anteriores, también se aplica lo siguiente:</w:t>
      </w:r>
    </w:p>
    <w:p w14:paraId="601A3380" w14:textId="77777777" w:rsidR="00762D43" w:rsidRPr="00762D43" w:rsidRDefault="00762D43" w:rsidP="00762D43">
      <w:pPr>
        <w:framePr w:wrap="auto" w:vAnchor="margin" w:yAlign="inline"/>
        <w:rPr>
          <w:rFonts w:eastAsia="MS Mincho"/>
          <w:szCs w:val="20"/>
          <w:lang w:eastAsia="en-GB" w:bidi="es-ES"/>
        </w:rPr>
      </w:pPr>
    </w:p>
    <w:p w14:paraId="68369615" w14:textId="77777777" w:rsidR="00762D43" w:rsidRPr="00762D43" w:rsidRDefault="00762D43" w:rsidP="00762D43">
      <w:pPr>
        <w:framePr w:wrap="auto" w:vAnchor="margin" w:yAlign="inline"/>
        <w:numPr>
          <w:ilvl w:val="0"/>
          <w:numId w:val="4"/>
        </w:numPr>
        <w:spacing w:after="80" w:line="259" w:lineRule="auto"/>
        <w:ind w:left="1134" w:hanging="567"/>
        <w:rPr>
          <w:rFonts w:eastAsia="MS Mincho"/>
          <w:szCs w:val="20"/>
          <w:lang w:eastAsia="es-ES" w:bidi="es-ES"/>
        </w:rPr>
      </w:pPr>
      <w:r w:rsidRPr="00762D43">
        <w:rPr>
          <w:rFonts w:eastAsia="MS PGothic"/>
          <w:szCs w:val="20"/>
          <w:lang w:eastAsia="es-ES" w:bidi="es-ES"/>
        </w:rPr>
        <w:t>La CPC deberá reanudar el uso del sistema eBCD tan pronto como se resuelvan las dificultades técnicas.</w:t>
      </w:r>
    </w:p>
    <w:p w14:paraId="112882A4" w14:textId="77777777" w:rsidR="00762D43" w:rsidRPr="00762D43" w:rsidRDefault="00762D43" w:rsidP="00762D43">
      <w:pPr>
        <w:framePr w:wrap="auto" w:vAnchor="margin" w:yAlign="inline"/>
        <w:numPr>
          <w:ilvl w:val="0"/>
          <w:numId w:val="4"/>
        </w:numPr>
        <w:spacing w:after="80" w:line="259" w:lineRule="auto"/>
        <w:ind w:left="1134" w:hanging="567"/>
        <w:rPr>
          <w:rFonts w:eastAsia="MS Mincho"/>
          <w:szCs w:val="20"/>
          <w:lang w:eastAsia="es-ES" w:bidi="es-ES"/>
        </w:rPr>
      </w:pPr>
      <w:r w:rsidRPr="00762D43">
        <w:rPr>
          <w:rFonts w:eastAsia="MS PGothic"/>
          <w:szCs w:val="20"/>
          <w:lang w:eastAsia="es-ES" w:bidi="es-ES"/>
        </w:rPr>
        <w:t xml:space="preserve">Los BCD en papel serán convertidos en eBCD por la CPC que utilizó el BCD en papel, o por la Secretaría de ICCAT si así lo solicita la CPC, tan pronto como sea posible tras la resolución de la dificultad técnica. En el caso de que la conversión no pueda ser realizada completamente por la CPC que utilizó el BCD en papel, dicha CPC contactará con aquellas CPC que recibieron el BCD en papel y solicitará su colaboración para finalizar la conversión para las secciones del eBCD que recaen bajo la responsabilidad directa de la CPC que recibió un BCD en papel. La CPC que llevó a cabo o solicitó la conversión del BCD en papel será responsable de comunicar a la Secretaría que la dificultad técnica ha sido resuelta y, cuando proceda, de publicar la información pertinente en el sitio de auto informe de incidencias. Lo antes posible tras la resolución de la dificultad técnica, cualquier CPC que haya recibido un BCD en papel emprenderá las acciones apropiadas para garantizar que el BCD en papel no se utiliza para posteriores operaciones comerciales.  </w:t>
      </w:r>
    </w:p>
    <w:p w14:paraId="5A288D57" w14:textId="77777777" w:rsidR="00762D43" w:rsidRPr="00762D43" w:rsidRDefault="00762D43" w:rsidP="00762D43">
      <w:pPr>
        <w:framePr w:wrap="auto" w:vAnchor="margin" w:yAlign="inline"/>
        <w:numPr>
          <w:ilvl w:val="0"/>
          <w:numId w:val="4"/>
        </w:numPr>
        <w:spacing w:after="80" w:line="259" w:lineRule="auto"/>
        <w:ind w:left="1134" w:hanging="567"/>
        <w:rPr>
          <w:rFonts w:eastAsia="MS Mincho"/>
          <w:szCs w:val="20"/>
          <w:lang w:eastAsia="es-ES" w:bidi="es-ES"/>
        </w:rPr>
      </w:pPr>
      <w:r w:rsidRPr="00762D43">
        <w:rPr>
          <w:rFonts w:eastAsia="MS PGothic"/>
          <w:szCs w:val="20"/>
          <w:lang w:eastAsia="es-ES" w:bidi="es-ES"/>
        </w:rPr>
        <w:t>Cuando se haya usado un eBCD impreso, las CPC se asegurarán de que cualquier dato que falte en el registro eBCD se consigna en el sistema eBCD en cuanto la dificultad técnica haya sido resuelta para las secciones que son su responsabilidad directa.</w:t>
      </w:r>
    </w:p>
    <w:p w14:paraId="60C3328C" w14:textId="77777777" w:rsidR="00762D43" w:rsidRPr="00762D43" w:rsidRDefault="00762D43" w:rsidP="00762D43">
      <w:pPr>
        <w:framePr w:wrap="auto" w:vAnchor="margin" w:yAlign="inline"/>
        <w:numPr>
          <w:ilvl w:val="0"/>
          <w:numId w:val="4"/>
        </w:numPr>
        <w:spacing w:after="80" w:line="259" w:lineRule="auto"/>
        <w:ind w:left="1134" w:hanging="567"/>
        <w:rPr>
          <w:rFonts w:eastAsia="MS Mincho"/>
          <w:szCs w:val="20"/>
          <w:lang w:eastAsia="es-ES" w:bidi="es-ES"/>
        </w:rPr>
      </w:pPr>
      <w:r w:rsidRPr="00762D43">
        <w:rPr>
          <w:rFonts w:eastAsia="MS PGothic"/>
          <w:szCs w:val="20"/>
          <w:lang w:eastAsia="es-ES" w:bidi="es-ES"/>
        </w:rPr>
        <w:t>Pueden seguir utilizándose los BCD en papel o los eBCD impresos hasta que se resuelva la dificultad técnica y los BCD en papel afectados se conviertan en eBCD de un modo acorde con el procedimiento anterior.</w:t>
      </w:r>
    </w:p>
    <w:p w14:paraId="3B770CEF" w14:textId="77777777" w:rsidR="00762D43" w:rsidRPr="00762D43" w:rsidRDefault="00762D43" w:rsidP="00762D43">
      <w:pPr>
        <w:framePr w:wrap="auto" w:vAnchor="margin" w:yAlign="inline"/>
        <w:numPr>
          <w:ilvl w:val="0"/>
          <w:numId w:val="4"/>
        </w:numPr>
        <w:spacing w:after="80" w:line="259" w:lineRule="auto"/>
        <w:ind w:left="1134" w:hanging="567"/>
        <w:rPr>
          <w:rFonts w:eastAsia="MS Mincho"/>
          <w:szCs w:val="20"/>
          <w:lang w:eastAsia="es-ES" w:bidi="es-ES"/>
        </w:rPr>
      </w:pPr>
      <w:r w:rsidRPr="00762D43">
        <w:rPr>
          <w:rFonts w:eastAsia="MS PGothic"/>
          <w:szCs w:val="20"/>
          <w:lang w:eastAsia="es-ES" w:bidi="es-ES"/>
        </w:rPr>
        <w:t>Una vez que el BCD de papel se haya convertido en un eBCD, todas las operaciones comerciales posteriores del producto asociado con dicho BCD en papel se realizarán solo en el sistema de eBCD.</w:t>
      </w:r>
    </w:p>
    <w:p w14:paraId="61381220" w14:textId="77777777" w:rsidR="00762D43" w:rsidRPr="00762D43" w:rsidRDefault="00762D43" w:rsidP="00762D43">
      <w:pPr>
        <w:framePr w:wrap="auto" w:vAnchor="margin" w:yAlign="inline"/>
        <w:rPr>
          <w:rFonts w:eastAsia="MS Mincho"/>
          <w:szCs w:val="20"/>
          <w:lang w:eastAsia="es-ES" w:bidi="es-ES"/>
        </w:rPr>
      </w:pPr>
    </w:p>
    <w:p w14:paraId="3F1C45A5" w14:textId="77777777" w:rsidR="00762D43" w:rsidRPr="00762D43" w:rsidRDefault="00762D43" w:rsidP="00762D43">
      <w:pPr>
        <w:framePr w:wrap="auto" w:vAnchor="margin" w:yAlign="inline"/>
        <w:ind w:left="426" w:hanging="426"/>
        <w:rPr>
          <w:rFonts w:eastAsia="MS Mincho"/>
          <w:szCs w:val="20"/>
          <w:lang w:eastAsia="es-ES" w:bidi="es-ES"/>
        </w:rPr>
      </w:pPr>
      <w:r w:rsidRPr="00762D43">
        <w:rPr>
          <w:rFonts w:eastAsia="MS PGothic"/>
          <w:szCs w:val="20"/>
          <w:lang w:eastAsia="es-ES" w:bidi="es-ES"/>
        </w:rPr>
        <w:t xml:space="preserve">D. </w:t>
      </w:r>
      <w:r w:rsidRPr="00762D43">
        <w:rPr>
          <w:rFonts w:eastAsia="MS PGothic"/>
          <w:szCs w:val="20"/>
          <w:lang w:eastAsia="es-ES" w:bidi="es-ES"/>
        </w:rPr>
        <w:tab/>
        <w:t>En caso de dificultades técnicas experimentadas por las CPC importadoras, la CPC importadora podría solicitar a la CPC exportadora afectada que expida un BCD en papel o un eBCD impreso para respaldar la operación comercial después de que la información sobre las dificultades técnicas haya sido publicada en el sitio web de ICCAT de conformidad con los procedimientos establecidos en las secciones A o B anteriores. La CPC exportadora verificará que la notificación de dificultades técnicas está publicada en el sitio web de ICCAT antes de expedir el BCD en papel o el eBCD impreso. Las CPC importadoras informarán de que la dificultad técnica ha sido resuelta, bien a través del sitio de auto informe de incidencias o bien a través de la Secretaría, para su publicación inmediata en el sitio web de ICCAT.</w:t>
      </w:r>
    </w:p>
    <w:p w14:paraId="3AA8939F" w14:textId="77777777" w:rsidR="00762D43" w:rsidRPr="00762D43" w:rsidRDefault="00762D43" w:rsidP="00762D43">
      <w:pPr>
        <w:framePr w:wrap="auto" w:vAnchor="margin" w:yAlign="inline"/>
        <w:rPr>
          <w:rFonts w:eastAsia="MS Mincho"/>
          <w:szCs w:val="20"/>
          <w:lang w:eastAsia="en-GB" w:bidi="es-ES"/>
        </w:rPr>
      </w:pPr>
    </w:p>
    <w:p w14:paraId="70341BF1" w14:textId="77777777" w:rsidR="00762D43" w:rsidRPr="00762D43" w:rsidRDefault="00762D43" w:rsidP="00762D43">
      <w:pPr>
        <w:framePr w:wrap="auto" w:vAnchor="margin" w:yAlign="inline"/>
        <w:numPr>
          <w:ilvl w:val="0"/>
          <w:numId w:val="5"/>
        </w:numPr>
        <w:spacing w:after="160" w:line="259" w:lineRule="auto"/>
        <w:ind w:left="426" w:hanging="426"/>
        <w:contextualSpacing/>
        <w:rPr>
          <w:rFonts w:eastAsia="MS Mincho"/>
          <w:szCs w:val="20"/>
          <w:lang w:eastAsia="es-ES" w:bidi="es-ES"/>
        </w:rPr>
      </w:pPr>
      <w:r w:rsidRPr="00762D43">
        <w:rPr>
          <w:rFonts w:eastAsia="MS PGothic"/>
          <w:szCs w:val="20"/>
          <w:lang w:eastAsia="es-ES" w:bidi="es-ES"/>
        </w:rPr>
        <w:t xml:space="preserve">Durante todo el año, la Secretaría recopilará información sobre los casos en los que una CPC comunicó una dificultad técnica y/o los casos en que se expidieron documentos en papel, para su revisión por parte del GTP en la siguiente reunión anual de ICCAT. Si el GTP determina que los procedimientos de comunicación establecidos anteriormente no se han respetado o que el uso de documentos en papel no ha sido acorde, de cualquier otra manera, con las disposiciones de esta recomendación, el GTP considerará las acciones adecuadas, lo que incluye la posible remisión al Comité de Cumplimiento, si procede. </w:t>
      </w:r>
    </w:p>
    <w:p w14:paraId="1A20DCF2" w14:textId="77777777" w:rsidR="00762D43" w:rsidRPr="00762D43" w:rsidRDefault="00762D43" w:rsidP="00762D43">
      <w:pPr>
        <w:framePr w:wrap="auto" w:vAnchor="margin" w:yAlign="inline"/>
        <w:ind w:left="450"/>
        <w:contextualSpacing/>
        <w:rPr>
          <w:rFonts w:eastAsia="MS Mincho"/>
          <w:szCs w:val="20"/>
          <w:lang w:eastAsia="en-GB" w:bidi="es-ES"/>
        </w:rPr>
      </w:pPr>
    </w:p>
    <w:p w14:paraId="79C8F512" w14:textId="77777777" w:rsidR="00762D43" w:rsidRPr="00762D43" w:rsidRDefault="00762D43" w:rsidP="00762D43">
      <w:pPr>
        <w:framePr w:wrap="auto" w:vAnchor="margin" w:yAlign="inline"/>
        <w:numPr>
          <w:ilvl w:val="0"/>
          <w:numId w:val="5"/>
        </w:numPr>
        <w:spacing w:after="160" w:line="259" w:lineRule="auto"/>
        <w:ind w:left="426" w:hanging="426"/>
        <w:contextualSpacing/>
        <w:rPr>
          <w:rFonts w:eastAsia="MS Mincho"/>
          <w:szCs w:val="20"/>
          <w:lang w:eastAsia="es-ES" w:bidi="es-ES"/>
        </w:rPr>
      </w:pPr>
      <w:r w:rsidRPr="00762D43">
        <w:rPr>
          <w:rFonts w:eastAsia="MS PGothic"/>
          <w:szCs w:val="20"/>
          <w:lang w:eastAsia="es-ES" w:bidi="es-ES"/>
        </w:rPr>
        <w:t>Los procedimientos establecidos anteriormente serán examinados en 2019 y revisados si procede.</w:t>
      </w:r>
    </w:p>
    <w:p w14:paraId="2D6EA67B" w14:textId="77777777" w:rsidR="00762D43" w:rsidRPr="00762D43" w:rsidRDefault="00762D43" w:rsidP="00762D43">
      <w:pPr>
        <w:framePr w:wrap="auto" w:vAnchor="margin" w:yAlign="inline"/>
        <w:rPr>
          <w:rFonts w:eastAsia="MS Mincho"/>
          <w:b/>
          <w:szCs w:val="20"/>
          <w:lang w:eastAsia="es-ES" w:bidi="es-ES"/>
        </w:rPr>
      </w:pPr>
    </w:p>
    <w:p w14:paraId="08F588BD" w14:textId="77777777" w:rsidR="00762D43" w:rsidRPr="00762D43" w:rsidRDefault="00762D43" w:rsidP="00762D43">
      <w:pPr>
        <w:framePr w:wrap="auto" w:vAnchor="margin" w:yAlign="inline"/>
        <w:spacing w:after="200" w:line="276" w:lineRule="auto"/>
        <w:jc w:val="right"/>
        <w:rPr>
          <w:rFonts w:eastAsia="MS Mincho"/>
          <w:b/>
          <w:szCs w:val="20"/>
          <w:lang w:eastAsia="es-ES" w:bidi="es-ES"/>
        </w:rPr>
      </w:pPr>
      <w:r w:rsidRPr="00762D43">
        <w:rPr>
          <w:rFonts w:eastAsia="MS PGothic"/>
          <w:b/>
          <w:szCs w:val="20"/>
          <w:lang w:eastAsia="es-ES" w:bidi="es-ES"/>
        </w:rPr>
        <w:br w:type="page"/>
      </w:r>
      <w:r w:rsidRPr="00762D43">
        <w:rPr>
          <w:rFonts w:eastAsia="MS PGothic"/>
          <w:b/>
          <w:szCs w:val="20"/>
          <w:lang w:eastAsia="es-ES" w:bidi="es-ES"/>
        </w:rPr>
        <w:lastRenderedPageBreak/>
        <w:t xml:space="preserve">Apéndice </w:t>
      </w:r>
    </w:p>
    <w:p w14:paraId="4E8B7C26" w14:textId="77777777" w:rsidR="00762D43" w:rsidRPr="00762D43" w:rsidRDefault="00762D43" w:rsidP="00762D43">
      <w:pPr>
        <w:framePr w:wrap="auto" w:vAnchor="margin" w:yAlign="inline"/>
        <w:numPr>
          <w:ilvl w:val="0"/>
          <w:numId w:val="6"/>
        </w:numPr>
        <w:spacing w:after="160" w:line="259" w:lineRule="auto"/>
        <w:ind w:left="1134" w:hanging="414"/>
        <w:contextualSpacing/>
        <w:rPr>
          <w:rFonts w:eastAsia="MS Mincho"/>
          <w:szCs w:val="20"/>
          <w:lang w:eastAsia="es-ES" w:bidi="es-ES"/>
        </w:rPr>
      </w:pPr>
      <w:r w:rsidRPr="00762D43">
        <w:rPr>
          <w:rFonts w:eastAsia="MS PGothic"/>
          <w:szCs w:val="20"/>
          <w:lang w:eastAsia="es-ES" w:bidi="es-ES"/>
        </w:rPr>
        <w:t xml:space="preserve">Fecha </w:t>
      </w:r>
    </w:p>
    <w:p w14:paraId="58268E34" w14:textId="77777777" w:rsidR="00762D43" w:rsidRPr="00762D43" w:rsidRDefault="00762D43" w:rsidP="00762D43">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762D43">
        <w:rPr>
          <w:rFonts w:eastAsia="MS PGothic"/>
          <w:szCs w:val="20"/>
          <w:lang w:eastAsia="es-ES" w:bidi="es-ES"/>
        </w:rPr>
        <w:t>CPC</w:t>
      </w:r>
    </w:p>
    <w:p w14:paraId="5A2A36E8" w14:textId="77777777" w:rsidR="00762D43" w:rsidRPr="00762D43" w:rsidRDefault="00762D43" w:rsidP="00762D43">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762D43">
        <w:rPr>
          <w:rFonts w:eastAsia="MS PGothic"/>
          <w:szCs w:val="20"/>
          <w:lang w:eastAsia="es-ES" w:bidi="es-ES"/>
        </w:rPr>
        <w:t>BCD afectado(s)</w:t>
      </w:r>
    </w:p>
    <w:p w14:paraId="20895034" w14:textId="77777777" w:rsidR="00762D43" w:rsidRPr="00762D43" w:rsidRDefault="00762D43" w:rsidP="00762D43">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762D43">
        <w:rPr>
          <w:rFonts w:eastAsia="MS PGothic"/>
          <w:szCs w:val="20"/>
          <w:lang w:eastAsia="es-ES" w:bidi="es-ES"/>
        </w:rPr>
        <w:t>Resumen del problema</w:t>
      </w:r>
    </w:p>
    <w:p w14:paraId="4ED6A046" w14:textId="77777777" w:rsidR="00762D43" w:rsidRPr="00762D43" w:rsidRDefault="00762D43" w:rsidP="00762D43">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762D43">
        <w:rPr>
          <w:rFonts w:eastAsia="MS PGothic"/>
          <w:szCs w:val="20"/>
          <w:lang w:eastAsia="es-ES" w:bidi="es-ES"/>
        </w:rPr>
        <w:t>Fecha de resolución</w:t>
      </w:r>
    </w:p>
    <w:p w14:paraId="1ACF7EEA" w14:textId="77777777" w:rsidR="00762D43" w:rsidRPr="00762D43" w:rsidRDefault="00762D43" w:rsidP="00762D43">
      <w:pPr>
        <w:framePr w:wrap="auto" w:vAnchor="margin" w:yAlign="inline"/>
        <w:numPr>
          <w:ilvl w:val="0"/>
          <w:numId w:val="6"/>
        </w:numPr>
        <w:spacing w:after="160" w:line="259" w:lineRule="auto"/>
        <w:ind w:left="1134" w:hanging="414"/>
        <w:contextualSpacing/>
      </w:pPr>
      <w:r w:rsidRPr="00762D43">
        <w:rPr>
          <w:rFonts w:eastAsia="MS PGothic"/>
          <w:szCs w:val="20"/>
          <w:lang w:eastAsia="es-ES" w:bidi="es-ES"/>
        </w:rPr>
        <w:t>Número de incidencia (si está disponible).</w:t>
      </w:r>
    </w:p>
    <w:p w14:paraId="2544968D" w14:textId="77777777" w:rsidR="00762D43" w:rsidRPr="00762D43" w:rsidRDefault="00762D43" w:rsidP="00762D43">
      <w:pPr>
        <w:framePr w:wrap="auto" w:vAnchor="margin" w:yAlign="inline"/>
        <w:rPr>
          <w:b/>
        </w:rPr>
      </w:pPr>
    </w:p>
    <w:p w14:paraId="23418376" w14:textId="535053E5" w:rsidR="00DD69EA" w:rsidRPr="00FF7643" w:rsidRDefault="00DD69EA" w:rsidP="00762D43">
      <w:pPr>
        <w:framePr w:wrap="auto" w:vAnchor="margin" w:yAlign="inline"/>
        <w:ind w:left="1020" w:hanging="1020"/>
        <w:jc w:val="right"/>
        <w:rPr>
          <w:b/>
        </w:rPr>
      </w:pPr>
    </w:p>
    <w:sectPr w:rsidR="00DD69EA" w:rsidRPr="00FF7643" w:rsidSect="00217AD4">
      <w:headerReference w:type="even" r:id="rId8"/>
      <w:footerReference w:type="even" r:id="rId9"/>
      <w:footerReference w:type="default" r:id="rId10"/>
      <w:headerReference w:type="first" r:id="rId11"/>
      <w:footerReference w:type="first" r:id="rId12"/>
      <w:type w:val="continuous"/>
      <w:pgSz w:w="11900" w:h="16840" w:code="9"/>
      <w:pgMar w:top="1418" w:right="1418" w:bottom="1418" w:left="1418" w:header="851"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5345" w14:textId="77777777" w:rsidR="00A454F3" w:rsidRDefault="00A454F3" w:rsidP="005E60BC">
      <w:pPr>
        <w:framePr w:wrap="auto" w:vAnchor="margin" w:yAlign="inline"/>
      </w:pPr>
      <w:r>
        <w:separator/>
      </w:r>
    </w:p>
  </w:endnote>
  <w:endnote w:type="continuationSeparator" w:id="0">
    <w:p w14:paraId="11B17AB6" w14:textId="77777777" w:rsidR="00A454F3" w:rsidRDefault="00A454F3" w:rsidP="005E60BC">
      <w:pPr>
        <w:framePr w:wrap="auto" w:vAnchor="margin" w:yAlign="in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80F" w14:textId="77777777" w:rsidR="005E60BC" w:rsidRDefault="005E60BC" w:rsidP="005E60BC">
    <w:pPr>
      <w:pStyle w:val="Footer"/>
      <w:framePr w:wrap="auto" w:vAnchor="margin"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C13B" w14:textId="2F9EB5ED" w:rsidR="005E60BC" w:rsidRPr="00F47035" w:rsidRDefault="00F47035" w:rsidP="00F47035">
    <w:pPr>
      <w:framePr w:wrap="auto" w:vAnchor="margin" w:yAlign="inline"/>
      <w:tabs>
        <w:tab w:val="center" w:pos="4535"/>
        <w:tab w:val="center" w:pos="4680"/>
        <w:tab w:val="left" w:pos="6150"/>
        <w:tab w:val="right" w:pos="9360"/>
      </w:tabs>
      <w:spacing w:after="200" w:line="276" w:lineRule="auto"/>
      <w:jc w:val="center"/>
    </w:pPr>
    <w:r w:rsidRPr="00F47035">
      <w:rPr>
        <w:rFonts w:eastAsia="Calibri" w:cs="Calibri"/>
        <w:szCs w:val="20"/>
        <w:lang w:val="en-US"/>
      </w:rPr>
      <w:fldChar w:fldCharType="begin"/>
    </w:r>
    <w:r w:rsidRPr="00F47035">
      <w:rPr>
        <w:rFonts w:eastAsia="Calibri" w:cs="Calibri"/>
        <w:szCs w:val="20"/>
        <w:lang w:val="en-US"/>
      </w:rPr>
      <w:instrText xml:space="preserve"> PAGE </w:instrText>
    </w:r>
    <w:r w:rsidRPr="00F47035">
      <w:rPr>
        <w:rFonts w:eastAsia="Calibri" w:cs="Calibri"/>
        <w:szCs w:val="20"/>
        <w:lang w:val="en-US"/>
      </w:rPr>
      <w:fldChar w:fldCharType="separate"/>
    </w:r>
    <w:r w:rsidRPr="00F47035">
      <w:rPr>
        <w:rFonts w:eastAsia="Calibri" w:cs="Calibri"/>
        <w:sz w:val="22"/>
        <w:szCs w:val="20"/>
        <w:lang w:val="en-US"/>
      </w:rPr>
      <w:t>1</w:t>
    </w:r>
    <w:r w:rsidRPr="00F47035">
      <w:rPr>
        <w:rFonts w:eastAsia="Calibri" w:cs="Calibri"/>
        <w:szCs w:val="20"/>
        <w:lang w:val="en-US"/>
      </w:rPr>
      <w:fldChar w:fldCharType="end"/>
    </w:r>
    <w:r w:rsidRPr="00F47035">
      <w:rPr>
        <w:rFonts w:eastAsia="Calibri" w:cs="Calibri"/>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308A" w14:textId="77777777" w:rsidR="005E60BC" w:rsidRDefault="005E60BC" w:rsidP="005E60BC">
    <w:pPr>
      <w:pStyle w:val="Footer"/>
      <w:framePr w:wrap="auto" w:vAnchor="margin"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544A" w14:textId="77777777" w:rsidR="00A454F3" w:rsidRDefault="00A454F3" w:rsidP="005E60BC">
      <w:pPr>
        <w:framePr w:wrap="auto" w:vAnchor="margin" w:yAlign="inline"/>
      </w:pPr>
      <w:r>
        <w:separator/>
      </w:r>
    </w:p>
  </w:footnote>
  <w:footnote w:type="continuationSeparator" w:id="0">
    <w:p w14:paraId="4C69685B" w14:textId="77777777" w:rsidR="00A454F3" w:rsidRDefault="00A454F3" w:rsidP="005E60BC">
      <w:pPr>
        <w:framePr w:wrap="auto" w:vAnchor="margin" w:yAlign="inline"/>
      </w:pPr>
      <w:r>
        <w:continuationSeparator/>
      </w:r>
    </w:p>
  </w:footnote>
  <w:footnote w:id="1">
    <w:p w14:paraId="5C7DF4D2" w14:textId="77777777" w:rsidR="00762D43" w:rsidRPr="004E73B0" w:rsidRDefault="00762D43" w:rsidP="00762D43">
      <w:pPr>
        <w:rPr>
          <w:rFonts w:ascii="Aptos" w:eastAsia="Aptos" w:hAnsi="Aptos"/>
          <w:kern w:val="2"/>
          <w:sz w:val="22"/>
          <w:szCs w:val="22"/>
          <w14:ligatures w14:val="standardContextual"/>
        </w:rPr>
      </w:pPr>
      <w:r w:rsidRPr="00FF7643">
        <w:rPr>
          <w:rStyle w:val="FootnoteReference"/>
          <w:sz w:val="16"/>
          <w:szCs w:val="16"/>
          <w:vertAlign w:val="superscript"/>
        </w:rPr>
        <w:footnoteRef/>
      </w:r>
      <w:r w:rsidRPr="00FF7643">
        <w:rPr>
          <w:sz w:val="16"/>
          <w:szCs w:val="16"/>
          <w:vertAlign w:val="superscript"/>
        </w:rPr>
        <w:t xml:space="preserve"> </w:t>
      </w:r>
      <w:r w:rsidRPr="004E73B0">
        <w:rPr>
          <w:rFonts w:eastAsia="Aptos"/>
          <w:kern w:val="2"/>
          <w:sz w:val="16"/>
          <w:szCs w:val="16"/>
          <w14:ligatures w14:val="standardContextual"/>
        </w:rPr>
        <w:t>Esta medida fue revocada y sustituida sucesivamente por las Recomendaciones 19-04, 21-08, 22-08 y 24-05</w:t>
      </w:r>
      <w:r w:rsidRPr="00FF76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04DB" w14:textId="77777777" w:rsidR="005E60BC" w:rsidRDefault="005E60BC" w:rsidP="005E60BC">
    <w:pPr>
      <w:pStyle w:val="Header"/>
      <w:framePr w:wrap="auto" w:vAnchor="margin"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A6A8" w14:textId="77777777" w:rsidR="005E60BC" w:rsidRDefault="005E60BC" w:rsidP="005E60BC">
    <w:pPr>
      <w:pStyle w:val="Header"/>
      <w:framePr w:wrap="auto" w:vAnchor="margin"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06194"/>
    <w:multiLevelType w:val="hybridMultilevel"/>
    <w:tmpl w:val="24DED8A6"/>
    <w:lvl w:ilvl="0" w:tplc="C3F4FE58">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B2AC5"/>
    <w:multiLevelType w:val="hybridMultilevel"/>
    <w:tmpl w:val="3A4E38D2"/>
    <w:lvl w:ilvl="0" w:tplc="19E258EA">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6" w15:restartNumberingAfterBreak="0">
    <w:nsid w:val="3EA87AC4"/>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7" w15:restartNumberingAfterBreak="0">
    <w:nsid w:val="43997BC7"/>
    <w:multiLevelType w:val="hybridMultilevel"/>
    <w:tmpl w:val="C06A1CC2"/>
    <w:lvl w:ilvl="0" w:tplc="B9929654">
      <w:numFmt w:val="bullet"/>
      <w:lvlText w:val="-"/>
      <w:lvlJc w:val="left"/>
      <w:pPr>
        <w:ind w:left="1646" w:hanging="360"/>
      </w:pPr>
      <w:rPr>
        <w:rFonts w:ascii="Times New Roman" w:eastAsia="Calibri" w:hAnsi="Times New Roman" w:cs="Times New Roman" w:hint="default"/>
        <w:i/>
      </w:rPr>
    </w:lvl>
    <w:lvl w:ilvl="1" w:tplc="0C0A0003" w:tentative="1">
      <w:start w:val="1"/>
      <w:numFmt w:val="bullet"/>
      <w:lvlText w:val="o"/>
      <w:lvlJc w:val="left"/>
      <w:pPr>
        <w:ind w:left="2366" w:hanging="360"/>
      </w:pPr>
      <w:rPr>
        <w:rFonts w:ascii="Courier New" w:hAnsi="Courier New" w:cs="Courier New" w:hint="default"/>
      </w:rPr>
    </w:lvl>
    <w:lvl w:ilvl="2" w:tplc="0C0A0005" w:tentative="1">
      <w:start w:val="1"/>
      <w:numFmt w:val="bullet"/>
      <w:lvlText w:val=""/>
      <w:lvlJc w:val="left"/>
      <w:pPr>
        <w:ind w:left="3086" w:hanging="360"/>
      </w:pPr>
      <w:rPr>
        <w:rFonts w:ascii="Wingdings" w:hAnsi="Wingdings" w:hint="default"/>
      </w:rPr>
    </w:lvl>
    <w:lvl w:ilvl="3" w:tplc="0C0A0001" w:tentative="1">
      <w:start w:val="1"/>
      <w:numFmt w:val="bullet"/>
      <w:lvlText w:val=""/>
      <w:lvlJc w:val="left"/>
      <w:pPr>
        <w:ind w:left="3806" w:hanging="360"/>
      </w:pPr>
      <w:rPr>
        <w:rFonts w:ascii="Symbol" w:hAnsi="Symbol" w:hint="default"/>
      </w:rPr>
    </w:lvl>
    <w:lvl w:ilvl="4" w:tplc="0C0A0003" w:tentative="1">
      <w:start w:val="1"/>
      <w:numFmt w:val="bullet"/>
      <w:lvlText w:val="o"/>
      <w:lvlJc w:val="left"/>
      <w:pPr>
        <w:ind w:left="4526" w:hanging="360"/>
      </w:pPr>
      <w:rPr>
        <w:rFonts w:ascii="Courier New" w:hAnsi="Courier New" w:cs="Courier New" w:hint="default"/>
      </w:rPr>
    </w:lvl>
    <w:lvl w:ilvl="5" w:tplc="0C0A0005" w:tentative="1">
      <w:start w:val="1"/>
      <w:numFmt w:val="bullet"/>
      <w:lvlText w:val=""/>
      <w:lvlJc w:val="left"/>
      <w:pPr>
        <w:ind w:left="5246" w:hanging="360"/>
      </w:pPr>
      <w:rPr>
        <w:rFonts w:ascii="Wingdings" w:hAnsi="Wingdings" w:hint="default"/>
      </w:rPr>
    </w:lvl>
    <w:lvl w:ilvl="6" w:tplc="0C0A0001" w:tentative="1">
      <w:start w:val="1"/>
      <w:numFmt w:val="bullet"/>
      <w:lvlText w:val=""/>
      <w:lvlJc w:val="left"/>
      <w:pPr>
        <w:ind w:left="5966" w:hanging="360"/>
      </w:pPr>
      <w:rPr>
        <w:rFonts w:ascii="Symbol" w:hAnsi="Symbol" w:hint="default"/>
      </w:rPr>
    </w:lvl>
    <w:lvl w:ilvl="7" w:tplc="0C0A0003" w:tentative="1">
      <w:start w:val="1"/>
      <w:numFmt w:val="bullet"/>
      <w:lvlText w:val="o"/>
      <w:lvlJc w:val="left"/>
      <w:pPr>
        <w:ind w:left="6686" w:hanging="360"/>
      </w:pPr>
      <w:rPr>
        <w:rFonts w:ascii="Courier New" w:hAnsi="Courier New" w:cs="Courier New" w:hint="default"/>
      </w:rPr>
    </w:lvl>
    <w:lvl w:ilvl="8" w:tplc="0C0A0005" w:tentative="1">
      <w:start w:val="1"/>
      <w:numFmt w:val="bullet"/>
      <w:lvlText w:val=""/>
      <w:lvlJc w:val="left"/>
      <w:pPr>
        <w:ind w:left="7406" w:hanging="360"/>
      </w:pPr>
      <w:rPr>
        <w:rFonts w:ascii="Wingdings" w:hAnsi="Wingdings" w:hint="default"/>
      </w:rPr>
    </w:lvl>
  </w:abstractNum>
  <w:abstractNum w:abstractNumId="8" w15:restartNumberingAfterBreak="0">
    <w:nsid w:val="4AC3511B"/>
    <w:multiLevelType w:val="hybridMultilevel"/>
    <w:tmpl w:val="5D40DB9A"/>
    <w:lvl w:ilvl="0" w:tplc="1F0C5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B302E"/>
    <w:multiLevelType w:val="hybridMultilevel"/>
    <w:tmpl w:val="0AE40DF2"/>
    <w:lvl w:ilvl="0" w:tplc="87B21B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15:restartNumberingAfterBreak="0">
    <w:nsid w:val="7D5A424D"/>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num w:numId="1" w16cid:durableId="648290883">
    <w:abstractNumId w:val="5"/>
  </w:num>
  <w:num w:numId="2" w16cid:durableId="354236154">
    <w:abstractNumId w:val="4"/>
  </w:num>
  <w:num w:numId="3" w16cid:durableId="1401951108">
    <w:abstractNumId w:val="12"/>
  </w:num>
  <w:num w:numId="4" w16cid:durableId="1445736125">
    <w:abstractNumId w:val="10"/>
  </w:num>
  <w:num w:numId="5" w16cid:durableId="1233851576">
    <w:abstractNumId w:val="0"/>
  </w:num>
  <w:num w:numId="6" w16cid:durableId="2088261127">
    <w:abstractNumId w:val="9"/>
  </w:num>
  <w:num w:numId="7" w16cid:durableId="301355149">
    <w:abstractNumId w:val="3"/>
  </w:num>
  <w:num w:numId="8" w16cid:durableId="140854800">
    <w:abstractNumId w:val="2"/>
  </w:num>
  <w:num w:numId="9" w16cid:durableId="269046306">
    <w:abstractNumId w:val="8"/>
  </w:num>
  <w:num w:numId="10" w16cid:durableId="657341826">
    <w:abstractNumId w:val="6"/>
  </w:num>
  <w:num w:numId="11" w16cid:durableId="261454044">
    <w:abstractNumId w:val="1"/>
  </w:num>
  <w:num w:numId="12" w16cid:durableId="1422146101">
    <w:abstractNumId w:val="7"/>
  </w:num>
  <w:num w:numId="13" w16cid:durableId="37125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5D"/>
    <w:rsid w:val="00017E9F"/>
    <w:rsid w:val="000312DD"/>
    <w:rsid w:val="00043D12"/>
    <w:rsid w:val="000A6BAA"/>
    <w:rsid w:val="000D6B07"/>
    <w:rsid w:val="000F789D"/>
    <w:rsid w:val="00115139"/>
    <w:rsid w:val="00136B17"/>
    <w:rsid w:val="00142013"/>
    <w:rsid w:val="0015015A"/>
    <w:rsid w:val="0016006B"/>
    <w:rsid w:val="001B52BB"/>
    <w:rsid w:val="001C18BE"/>
    <w:rsid w:val="001D3F39"/>
    <w:rsid w:val="001D4072"/>
    <w:rsid w:val="001E16CA"/>
    <w:rsid w:val="001E68DC"/>
    <w:rsid w:val="00217AD4"/>
    <w:rsid w:val="00251CC6"/>
    <w:rsid w:val="002B64C5"/>
    <w:rsid w:val="002E29C6"/>
    <w:rsid w:val="002E4FAA"/>
    <w:rsid w:val="002F7A93"/>
    <w:rsid w:val="00302FEF"/>
    <w:rsid w:val="00311187"/>
    <w:rsid w:val="003165E0"/>
    <w:rsid w:val="003630CC"/>
    <w:rsid w:val="003727E4"/>
    <w:rsid w:val="00397A22"/>
    <w:rsid w:val="003A7567"/>
    <w:rsid w:val="003C6A54"/>
    <w:rsid w:val="00455FC3"/>
    <w:rsid w:val="00474704"/>
    <w:rsid w:val="004846D3"/>
    <w:rsid w:val="004D2E70"/>
    <w:rsid w:val="004E200C"/>
    <w:rsid w:val="004E73C1"/>
    <w:rsid w:val="005445F3"/>
    <w:rsid w:val="0055447F"/>
    <w:rsid w:val="005820B4"/>
    <w:rsid w:val="00586EB8"/>
    <w:rsid w:val="005B6598"/>
    <w:rsid w:val="005E60BC"/>
    <w:rsid w:val="005F0703"/>
    <w:rsid w:val="0060335F"/>
    <w:rsid w:val="00603DD5"/>
    <w:rsid w:val="00607254"/>
    <w:rsid w:val="006335A8"/>
    <w:rsid w:val="00676F86"/>
    <w:rsid w:val="00677304"/>
    <w:rsid w:val="006A2015"/>
    <w:rsid w:val="006D65E7"/>
    <w:rsid w:val="006D7CE9"/>
    <w:rsid w:val="006F46D1"/>
    <w:rsid w:val="007032ED"/>
    <w:rsid w:val="00727066"/>
    <w:rsid w:val="0073286D"/>
    <w:rsid w:val="00733399"/>
    <w:rsid w:val="00736231"/>
    <w:rsid w:val="00737FE0"/>
    <w:rsid w:val="00762D43"/>
    <w:rsid w:val="007643B1"/>
    <w:rsid w:val="00771986"/>
    <w:rsid w:val="007719B7"/>
    <w:rsid w:val="007821A7"/>
    <w:rsid w:val="007A4569"/>
    <w:rsid w:val="007E36C4"/>
    <w:rsid w:val="00804825"/>
    <w:rsid w:val="00805800"/>
    <w:rsid w:val="00830A0D"/>
    <w:rsid w:val="00845A47"/>
    <w:rsid w:val="00885F87"/>
    <w:rsid w:val="008977B4"/>
    <w:rsid w:val="008B2F68"/>
    <w:rsid w:val="008E77EA"/>
    <w:rsid w:val="008F7F86"/>
    <w:rsid w:val="00900858"/>
    <w:rsid w:val="00904170"/>
    <w:rsid w:val="00912481"/>
    <w:rsid w:val="0092027C"/>
    <w:rsid w:val="009332F3"/>
    <w:rsid w:val="00955AE7"/>
    <w:rsid w:val="009570F0"/>
    <w:rsid w:val="009F5840"/>
    <w:rsid w:val="009F7AAE"/>
    <w:rsid w:val="00A02933"/>
    <w:rsid w:val="00A153FE"/>
    <w:rsid w:val="00A154B2"/>
    <w:rsid w:val="00A26245"/>
    <w:rsid w:val="00A454F3"/>
    <w:rsid w:val="00A53D6C"/>
    <w:rsid w:val="00A6045D"/>
    <w:rsid w:val="00A65C9A"/>
    <w:rsid w:val="00AA6B50"/>
    <w:rsid w:val="00AE7C29"/>
    <w:rsid w:val="00AF4E7B"/>
    <w:rsid w:val="00B2588C"/>
    <w:rsid w:val="00B367F9"/>
    <w:rsid w:val="00B40326"/>
    <w:rsid w:val="00B62E5D"/>
    <w:rsid w:val="00BC51A8"/>
    <w:rsid w:val="00BD5AF7"/>
    <w:rsid w:val="00BF4CB3"/>
    <w:rsid w:val="00C36802"/>
    <w:rsid w:val="00C60C04"/>
    <w:rsid w:val="00C77BF3"/>
    <w:rsid w:val="00C91BBE"/>
    <w:rsid w:val="00CA1250"/>
    <w:rsid w:val="00CB7401"/>
    <w:rsid w:val="00CC2710"/>
    <w:rsid w:val="00CF5BD3"/>
    <w:rsid w:val="00D75448"/>
    <w:rsid w:val="00D8131C"/>
    <w:rsid w:val="00D8278C"/>
    <w:rsid w:val="00D844C3"/>
    <w:rsid w:val="00D9269A"/>
    <w:rsid w:val="00DD31BA"/>
    <w:rsid w:val="00DD69EA"/>
    <w:rsid w:val="00DE1E06"/>
    <w:rsid w:val="00E14DB5"/>
    <w:rsid w:val="00E22F03"/>
    <w:rsid w:val="00E30297"/>
    <w:rsid w:val="00E32CC5"/>
    <w:rsid w:val="00E440CF"/>
    <w:rsid w:val="00E60E8B"/>
    <w:rsid w:val="00E810E5"/>
    <w:rsid w:val="00E8153B"/>
    <w:rsid w:val="00EA5392"/>
    <w:rsid w:val="00ED078F"/>
    <w:rsid w:val="00EF72AD"/>
    <w:rsid w:val="00F0734D"/>
    <w:rsid w:val="00F2484E"/>
    <w:rsid w:val="00F47035"/>
    <w:rsid w:val="00F50CDB"/>
    <w:rsid w:val="00F57D49"/>
    <w:rsid w:val="00F754F7"/>
    <w:rsid w:val="00F77016"/>
    <w:rsid w:val="00F9257F"/>
    <w:rsid w:val="00F95898"/>
    <w:rsid w:val="00FE5A1A"/>
    <w:rsid w:val="00FF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4DCE"/>
  <w15:chartTrackingRefBased/>
  <w15:docId w15:val="{6AE1BCDB-58AA-4686-BA16-86CED7D6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29"/>
    <w:pPr>
      <w:framePr w:wrap="notBeside" w:vAnchor="text" w:hAnchor="text" w:y="1"/>
      <w:jc w:val="both"/>
    </w:pPr>
    <w:rPr>
      <w:rFonts w:ascii="Cambria" w:hAnsi="Cambria" w:cs="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rsid w:val="00A6045D"/>
  </w:style>
  <w:style w:type="paragraph" w:styleId="FootnoteText">
    <w:name w:val="footnote text"/>
    <w:aliases w:val="ft"/>
    <w:basedOn w:val="Normal"/>
    <w:link w:val="FootnoteTextChar"/>
    <w:uiPriority w:val="99"/>
    <w:rsid w:val="00A6045D"/>
    <w:pPr>
      <w:framePr w:wrap="auto" w:vAnchor="margin" w:yAlign="inline"/>
    </w:pPr>
    <w:rPr>
      <w:rFonts w:ascii="Times New Roman" w:hAnsi="Times New Roman"/>
      <w:szCs w:val="20"/>
      <w:lang w:val="en-US"/>
    </w:rPr>
  </w:style>
  <w:style w:type="character" w:customStyle="1" w:styleId="FootnoteTextChar">
    <w:name w:val="Footnote Text Char"/>
    <w:aliases w:val="ft Char"/>
    <w:basedOn w:val="DefaultParagraphFont"/>
    <w:link w:val="FootnoteText"/>
    <w:uiPriority w:val="99"/>
    <w:rsid w:val="00A6045D"/>
    <w:rPr>
      <w:rFonts w:ascii="Times New Roman" w:hAnsi="Times New Roman" w:cs="Times New Roman"/>
      <w:sz w:val="20"/>
      <w:szCs w:val="20"/>
    </w:rPr>
  </w:style>
  <w:style w:type="paragraph" w:styleId="Header">
    <w:name w:val="header"/>
    <w:basedOn w:val="Normal"/>
    <w:link w:val="HeaderChar"/>
    <w:uiPriority w:val="99"/>
    <w:unhideWhenUsed/>
    <w:rsid w:val="00A6045D"/>
    <w:pPr>
      <w:framePr w:wrap="notBeside"/>
      <w:tabs>
        <w:tab w:val="center" w:pos="4513"/>
        <w:tab w:val="right" w:pos="9026"/>
      </w:tabs>
    </w:pPr>
  </w:style>
  <w:style w:type="character" w:customStyle="1" w:styleId="HeaderChar">
    <w:name w:val="Header Char"/>
    <w:basedOn w:val="DefaultParagraphFont"/>
    <w:link w:val="Header"/>
    <w:uiPriority w:val="99"/>
    <w:rsid w:val="00A6045D"/>
    <w:rPr>
      <w:rFonts w:ascii="Cambria" w:hAnsi="Cambria" w:cs="Times New Roman"/>
      <w:sz w:val="20"/>
      <w:szCs w:val="24"/>
      <w:lang w:val="es-ES"/>
    </w:rPr>
  </w:style>
  <w:style w:type="paragraph" w:styleId="Footer">
    <w:name w:val="footer"/>
    <w:basedOn w:val="Normal"/>
    <w:link w:val="FooterChar"/>
    <w:uiPriority w:val="99"/>
    <w:unhideWhenUsed/>
    <w:rsid w:val="00A6045D"/>
    <w:pPr>
      <w:framePr w:wrap="notBeside"/>
      <w:tabs>
        <w:tab w:val="center" w:pos="4513"/>
        <w:tab w:val="right" w:pos="9026"/>
      </w:tabs>
    </w:pPr>
  </w:style>
  <w:style w:type="character" w:customStyle="1" w:styleId="FooterChar">
    <w:name w:val="Footer Char"/>
    <w:basedOn w:val="DefaultParagraphFont"/>
    <w:link w:val="Footer"/>
    <w:uiPriority w:val="99"/>
    <w:rsid w:val="00A6045D"/>
    <w:rPr>
      <w:rFonts w:ascii="Cambria" w:hAnsi="Cambria" w:cs="Times New Roman"/>
      <w:sz w:val="20"/>
      <w:szCs w:val="24"/>
      <w:lang w:val="es-ES"/>
    </w:rPr>
  </w:style>
  <w:style w:type="paragraph" w:styleId="ListParagraph">
    <w:name w:val="List Paragraph"/>
    <w:basedOn w:val="Normal"/>
    <w:uiPriority w:val="34"/>
    <w:qFormat/>
    <w:rsid w:val="002E4FAA"/>
    <w:pPr>
      <w:framePr w:wrap="notBeside"/>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4F93-830B-4849-B3B5-FA36A268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3700</Words>
  <Characters>20353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Author</cp:lastModifiedBy>
  <cp:revision>89</cp:revision>
  <cp:lastPrinted>2022-11-19T11:20:00Z</cp:lastPrinted>
  <dcterms:created xsi:type="dcterms:W3CDTF">2022-10-17T08:33:00Z</dcterms:created>
  <dcterms:modified xsi:type="dcterms:W3CDTF">2025-06-13T11:51:00Z</dcterms:modified>
</cp:coreProperties>
</file>