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A428E" w14:textId="61E69AC8" w:rsidR="005003E7" w:rsidRPr="00C12BDA" w:rsidRDefault="005003E7" w:rsidP="005003E7">
      <w:pPr>
        <w:pStyle w:val="Style1"/>
      </w:pPr>
      <w:r w:rsidRPr="00C12BDA">
        <w:t>24-1</w:t>
      </w:r>
      <w:r w:rsidR="005C6F3E" w:rsidRPr="00C12BDA">
        <w:t>4</w:t>
      </w:r>
      <w:r w:rsidRPr="00C12BDA">
        <w:tab/>
      </w:r>
      <w:r w:rsidRPr="00C12BDA">
        <w:tab/>
        <w:t>GEN</w:t>
      </w:r>
    </w:p>
    <w:p w14:paraId="61E9F6FF" w14:textId="77777777" w:rsidR="005003E7" w:rsidRPr="00C12BDA" w:rsidRDefault="005003E7" w:rsidP="005003E7">
      <w:pPr>
        <w:pStyle w:val="Style1"/>
      </w:pPr>
      <w:r w:rsidRPr="00C12BDA">
        <w:t xml:space="preserve">RECOMENDACIÓN DE ICCAT PARA PROTEGER LA SALUD </w:t>
      </w:r>
    </w:p>
    <w:p w14:paraId="481A2025" w14:textId="6B4F17A2" w:rsidR="00F57C15" w:rsidRPr="00C12BDA" w:rsidRDefault="005003E7" w:rsidP="005003E7">
      <w:pPr>
        <w:pStyle w:val="Style1"/>
      </w:pPr>
      <w:r w:rsidRPr="00C12BDA">
        <w:t>Y GARANTIZAR LA SEGURIDAD DE LOS OBSERVADORES EN LOS PROGRAMAS</w:t>
      </w:r>
      <w:r w:rsidR="005C6F3E" w:rsidRPr="00C12BDA">
        <w:br/>
      </w:r>
      <w:r w:rsidRPr="00C12BDA">
        <w:t>DE OBSERVADORES DE LAS CPC</w:t>
      </w:r>
    </w:p>
    <w:p w14:paraId="3A05EC64" w14:textId="77777777" w:rsidR="00422E4B" w:rsidRPr="00C12BDA" w:rsidRDefault="00422E4B" w:rsidP="00F57C15">
      <w:pPr>
        <w:spacing w:line="240" w:lineRule="auto"/>
        <w:jc w:val="center"/>
        <w:rPr>
          <w:rFonts w:ascii="Cambria" w:hAnsi="Cambria"/>
          <w:i/>
          <w:sz w:val="20"/>
        </w:rPr>
      </w:pPr>
    </w:p>
    <w:p w14:paraId="00000006" w14:textId="77777777" w:rsidR="00907779" w:rsidRPr="00C12BDA" w:rsidRDefault="00682852" w:rsidP="00F57C15">
      <w:pPr>
        <w:spacing w:line="240" w:lineRule="auto"/>
        <w:ind w:firstLine="426"/>
        <w:jc w:val="both"/>
        <w:rPr>
          <w:rFonts w:ascii="Cambria" w:eastAsia="Cambria" w:hAnsi="Cambria" w:cs="Cambria"/>
          <w:sz w:val="20"/>
          <w:szCs w:val="20"/>
        </w:rPr>
      </w:pPr>
      <w:r w:rsidRPr="00C12BDA">
        <w:rPr>
          <w:rFonts w:ascii="Cambria" w:hAnsi="Cambria"/>
          <w:i/>
          <w:iCs/>
          <w:sz w:val="20"/>
        </w:rPr>
        <w:t>RESALTANDO</w:t>
      </w:r>
      <w:r w:rsidRPr="00C12BDA">
        <w:rPr>
          <w:rFonts w:ascii="Cambria" w:hAnsi="Cambria"/>
          <w:sz w:val="20"/>
        </w:rPr>
        <w:t xml:space="preserve"> que la seguridad de la vida en el mar es, desde hace ya tiempo, un objetivo de la gobernanza marítima internacional, que los observadores recopilan datos que son esenciales para las funciones de la Comisión y que su salud, seguridad y bienestar son fundamentales para que puedan desempeñar sus funciones; </w:t>
      </w:r>
    </w:p>
    <w:p w14:paraId="00000007" w14:textId="77777777" w:rsidR="00907779" w:rsidRPr="00C12BDA" w:rsidRDefault="00907779" w:rsidP="00904027">
      <w:pPr>
        <w:spacing w:line="240" w:lineRule="auto"/>
        <w:jc w:val="both"/>
        <w:rPr>
          <w:rFonts w:ascii="Cambria" w:eastAsia="Cambria" w:hAnsi="Cambria" w:cs="Cambria"/>
          <w:sz w:val="20"/>
          <w:szCs w:val="20"/>
        </w:rPr>
      </w:pPr>
    </w:p>
    <w:p w14:paraId="00000008" w14:textId="41EF07D2" w:rsidR="00907779" w:rsidRPr="00C12BDA" w:rsidRDefault="00682852" w:rsidP="00F57C15">
      <w:pPr>
        <w:spacing w:line="240" w:lineRule="auto"/>
        <w:ind w:firstLine="426"/>
        <w:jc w:val="both"/>
        <w:rPr>
          <w:rFonts w:ascii="Cambria" w:eastAsia="Cambria" w:hAnsi="Cambria" w:cs="Cambria"/>
          <w:sz w:val="20"/>
          <w:szCs w:val="20"/>
        </w:rPr>
      </w:pPr>
      <w:r w:rsidRPr="00C12BDA">
        <w:rPr>
          <w:rFonts w:ascii="Cambria" w:hAnsi="Cambria"/>
          <w:i/>
          <w:iCs/>
          <w:sz w:val="20"/>
        </w:rPr>
        <w:t>RECORDANDO</w:t>
      </w:r>
      <w:r w:rsidRPr="00C12BDA">
        <w:rPr>
          <w:rFonts w:ascii="Cambria" w:hAnsi="Cambria"/>
          <w:sz w:val="20"/>
        </w:rPr>
        <w:t xml:space="preserve"> que el Convenio internacional sobre normas de formación, titulación y guardia para la gente del mar (STCW-F), adoptado por la Organización Marítima Internacional (OMI) en 1995, establece normas de formación en seguridad y para el personal a bordo de los buques de pesca marítima; </w:t>
      </w:r>
    </w:p>
    <w:p w14:paraId="00000009" w14:textId="77777777" w:rsidR="00907779" w:rsidRPr="00C12BDA" w:rsidRDefault="00907779" w:rsidP="00904027">
      <w:pPr>
        <w:spacing w:line="240" w:lineRule="auto"/>
        <w:jc w:val="both"/>
        <w:rPr>
          <w:rFonts w:ascii="Cambria" w:eastAsia="Cambria" w:hAnsi="Cambria" w:cs="Cambria"/>
          <w:sz w:val="20"/>
          <w:szCs w:val="20"/>
        </w:rPr>
      </w:pPr>
    </w:p>
    <w:p w14:paraId="0000000A" w14:textId="77777777" w:rsidR="00907779" w:rsidRPr="00C12BDA" w:rsidRDefault="00682852" w:rsidP="00F57C15">
      <w:pPr>
        <w:spacing w:line="240" w:lineRule="auto"/>
        <w:ind w:firstLine="426"/>
        <w:jc w:val="both"/>
        <w:rPr>
          <w:rFonts w:ascii="Cambria" w:eastAsia="Cambria" w:hAnsi="Cambria" w:cs="Cambria"/>
          <w:sz w:val="20"/>
          <w:szCs w:val="20"/>
        </w:rPr>
      </w:pPr>
      <w:r w:rsidRPr="00C12BDA">
        <w:rPr>
          <w:rFonts w:ascii="Cambria" w:hAnsi="Cambria"/>
          <w:i/>
          <w:iCs/>
          <w:sz w:val="20"/>
        </w:rPr>
        <w:t>CONSTATANDO</w:t>
      </w:r>
      <w:r w:rsidRPr="00C12BDA">
        <w:rPr>
          <w:rFonts w:ascii="Cambria" w:hAnsi="Cambria"/>
          <w:sz w:val="20"/>
        </w:rPr>
        <w:t xml:space="preserve"> los compromisos en la legislación internacional, lo que incluye las disposiciones del Convenio internacional sobre búsqueda y rescate marítimos, con respecto al desarrollo de un plan internacional para la búsqueda y rescate marítimos para el rescate de personas en peligro en el mar; </w:t>
      </w:r>
    </w:p>
    <w:p w14:paraId="46D4F7E7" w14:textId="77777777" w:rsidR="000D182E" w:rsidRPr="00C12BDA" w:rsidRDefault="000D182E" w:rsidP="00904027">
      <w:pPr>
        <w:spacing w:line="240" w:lineRule="auto"/>
        <w:ind w:firstLine="720"/>
        <w:jc w:val="both"/>
        <w:rPr>
          <w:rFonts w:ascii="Cambria" w:eastAsia="Cambria" w:hAnsi="Cambria" w:cs="Cambria"/>
          <w:sz w:val="20"/>
          <w:szCs w:val="20"/>
        </w:rPr>
      </w:pPr>
    </w:p>
    <w:p w14:paraId="448842ED" w14:textId="77777777" w:rsidR="000D182E" w:rsidRPr="00C12BDA" w:rsidRDefault="000D182E" w:rsidP="00F57C15">
      <w:pPr>
        <w:spacing w:line="240" w:lineRule="auto"/>
        <w:ind w:firstLine="426"/>
        <w:jc w:val="both"/>
        <w:rPr>
          <w:rFonts w:ascii="Cambria" w:eastAsia="Cambria" w:hAnsi="Cambria" w:cs="Cambria"/>
          <w:sz w:val="20"/>
          <w:szCs w:val="20"/>
        </w:rPr>
      </w:pPr>
      <w:r w:rsidRPr="00C12BDA">
        <w:rPr>
          <w:rFonts w:ascii="Cambria" w:hAnsi="Cambria"/>
          <w:i/>
          <w:iCs/>
          <w:sz w:val="20"/>
        </w:rPr>
        <w:t>OBSERVANDO ADEMÁ</w:t>
      </w:r>
      <w:r w:rsidRPr="00C12BDA">
        <w:rPr>
          <w:rFonts w:ascii="Cambria" w:hAnsi="Cambria"/>
          <w:sz w:val="20"/>
        </w:rPr>
        <w:t xml:space="preserve">S las obligaciones de las CPC de supervisar la seguridad de sus observadores, tal y como se establece en la </w:t>
      </w:r>
      <w:r w:rsidRPr="00C12BDA">
        <w:rPr>
          <w:rFonts w:ascii="Cambria" w:hAnsi="Cambria"/>
          <w:i/>
          <w:iCs/>
          <w:sz w:val="20"/>
        </w:rPr>
        <w:t>Recomendación de ICCAT sobre el establecimiento de normas mínimas para los programas de observadores científicos de los buques pesqueros</w:t>
      </w:r>
      <w:r w:rsidRPr="00C12BDA">
        <w:rPr>
          <w:rFonts w:ascii="Cambria" w:hAnsi="Cambria"/>
          <w:sz w:val="20"/>
        </w:rPr>
        <w:t xml:space="preserve"> (Rec. 16-14);</w:t>
      </w:r>
    </w:p>
    <w:p w14:paraId="0000000D" w14:textId="77777777" w:rsidR="00907779" w:rsidRPr="00C12BDA" w:rsidRDefault="00907779" w:rsidP="00904027">
      <w:pPr>
        <w:spacing w:line="240" w:lineRule="auto"/>
        <w:jc w:val="both"/>
        <w:rPr>
          <w:rFonts w:ascii="Cambria" w:eastAsia="Cambria" w:hAnsi="Cambria" w:cs="Cambria"/>
          <w:sz w:val="20"/>
          <w:szCs w:val="20"/>
        </w:rPr>
      </w:pPr>
    </w:p>
    <w:p w14:paraId="0000000E" w14:textId="1996BB90" w:rsidR="00907779" w:rsidRPr="00C12BDA" w:rsidRDefault="00682852" w:rsidP="00F57C15">
      <w:pPr>
        <w:spacing w:line="240" w:lineRule="auto"/>
        <w:ind w:firstLine="426"/>
        <w:jc w:val="both"/>
        <w:rPr>
          <w:rFonts w:ascii="Cambria" w:hAnsi="Cambria"/>
          <w:sz w:val="20"/>
        </w:rPr>
      </w:pPr>
      <w:r w:rsidRPr="00C12BDA">
        <w:rPr>
          <w:rFonts w:ascii="Cambria" w:hAnsi="Cambria"/>
          <w:i/>
          <w:iCs/>
          <w:sz w:val="20"/>
        </w:rPr>
        <w:t>RECORDANDO TAMBIÉN</w:t>
      </w:r>
      <w:r w:rsidRPr="00C12BDA">
        <w:rPr>
          <w:rFonts w:ascii="Cambria" w:hAnsi="Cambria"/>
          <w:sz w:val="20"/>
        </w:rPr>
        <w:t xml:space="preserve"> la </w:t>
      </w:r>
      <w:r w:rsidRPr="00C12BDA">
        <w:rPr>
          <w:rFonts w:ascii="Cambria" w:hAnsi="Cambria"/>
          <w:i/>
          <w:iCs/>
          <w:sz w:val="20"/>
        </w:rPr>
        <w:t>Recomendación de ICCAT sobre la protección de la salud y la seguridad de los observadores en los programas regionales de observadores de ICCAT</w:t>
      </w:r>
      <w:r w:rsidRPr="00C12BDA">
        <w:rPr>
          <w:rFonts w:ascii="Cambria" w:hAnsi="Cambria"/>
          <w:sz w:val="20"/>
        </w:rPr>
        <w:t xml:space="preserve"> (Rec. 19-10) y la </w:t>
      </w:r>
      <w:r w:rsidRPr="00C12BDA">
        <w:rPr>
          <w:rFonts w:ascii="Cambria" w:hAnsi="Cambria"/>
          <w:i/>
          <w:iCs/>
          <w:sz w:val="20"/>
        </w:rPr>
        <w:t>Resolución de ICCAT sobre armonización y mejora de la seguridad de los observadores</w:t>
      </w:r>
      <w:r w:rsidRPr="00C12BDA">
        <w:rPr>
          <w:rFonts w:ascii="Cambria" w:hAnsi="Cambria"/>
          <w:sz w:val="20"/>
        </w:rPr>
        <w:t xml:space="preserve"> (Res. 19-16); </w:t>
      </w:r>
    </w:p>
    <w:p w14:paraId="6755719A" w14:textId="77777777" w:rsidR="000F62E5" w:rsidRPr="00C12BDA" w:rsidRDefault="000F62E5" w:rsidP="00F57C15">
      <w:pPr>
        <w:spacing w:line="240" w:lineRule="auto"/>
        <w:ind w:firstLine="426"/>
        <w:jc w:val="both"/>
        <w:rPr>
          <w:rFonts w:ascii="Cambria" w:hAnsi="Cambria"/>
          <w:sz w:val="20"/>
        </w:rPr>
      </w:pPr>
    </w:p>
    <w:p w14:paraId="5504FEDE" w14:textId="42181C9F" w:rsidR="000F62E5" w:rsidRPr="00C12BDA" w:rsidRDefault="000F62E5" w:rsidP="00F57C15">
      <w:pPr>
        <w:spacing w:line="240" w:lineRule="auto"/>
        <w:ind w:firstLine="426"/>
        <w:jc w:val="both"/>
        <w:rPr>
          <w:rFonts w:ascii="Cambria" w:eastAsia="Cambria" w:hAnsi="Cambria" w:cs="Cambria"/>
          <w:iCs/>
          <w:sz w:val="20"/>
          <w:szCs w:val="20"/>
        </w:rPr>
      </w:pPr>
      <w:r w:rsidRPr="00C12BDA">
        <w:rPr>
          <w:rFonts w:ascii="Cambria" w:eastAsia="Cambria" w:hAnsi="Cambria" w:cs="Cambria"/>
          <w:i/>
          <w:sz w:val="20"/>
          <w:szCs w:val="20"/>
        </w:rPr>
        <w:t xml:space="preserve">RECONOCIENDO </w:t>
      </w:r>
      <w:r w:rsidRPr="00C12BDA">
        <w:rPr>
          <w:rFonts w:ascii="Cambria" w:eastAsia="Cambria" w:hAnsi="Cambria" w:cs="Cambria"/>
          <w:iCs/>
          <w:sz w:val="20"/>
          <w:szCs w:val="20"/>
        </w:rPr>
        <w:t xml:space="preserve">que la adopción de medidas que promuevan la salud y la seguridad de los observadores en los programas </w:t>
      </w:r>
      <w:r w:rsidR="00237BA9" w:rsidRPr="00C12BDA">
        <w:rPr>
          <w:rFonts w:ascii="Cambria" w:eastAsia="Cambria" w:hAnsi="Cambria" w:cs="Cambria"/>
          <w:iCs/>
          <w:sz w:val="20"/>
          <w:szCs w:val="20"/>
        </w:rPr>
        <w:t>de las CPC</w:t>
      </w:r>
      <w:r w:rsidRPr="00C12BDA">
        <w:rPr>
          <w:rFonts w:ascii="Cambria" w:eastAsia="Cambria" w:hAnsi="Cambria" w:cs="Cambria"/>
          <w:iCs/>
          <w:sz w:val="20"/>
          <w:szCs w:val="20"/>
        </w:rPr>
        <w:t xml:space="preserve">, especialmente las relacionadas con la seguridad </w:t>
      </w:r>
      <w:r w:rsidR="0000426C" w:rsidRPr="00C12BDA">
        <w:rPr>
          <w:rFonts w:ascii="Cambria" w:eastAsia="Cambria" w:hAnsi="Cambria" w:cs="Cambria"/>
          <w:iCs/>
          <w:sz w:val="20"/>
          <w:szCs w:val="20"/>
        </w:rPr>
        <w:t>de los buques</w:t>
      </w:r>
      <w:r w:rsidRPr="00C12BDA">
        <w:rPr>
          <w:rFonts w:ascii="Cambria" w:eastAsia="Cambria" w:hAnsi="Cambria" w:cs="Cambria"/>
          <w:iCs/>
          <w:sz w:val="20"/>
          <w:szCs w:val="20"/>
        </w:rPr>
        <w:t xml:space="preserve">, podría </w:t>
      </w:r>
      <w:r w:rsidR="0000426C" w:rsidRPr="00C12BDA">
        <w:rPr>
          <w:rFonts w:ascii="Cambria" w:eastAsia="Cambria" w:hAnsi="Cambria" w:cs="Cambria"/>
          <w:iCs/>
          <w:sz w:val="20"/>
          <w:szCs w:val="20"/>
        </w:rPr>
        <w:t xml:space="preserve">respaldar también </w:t>
      </w:r>
      <w:r w:rsidRPr="00C12BDA">
        <w:rPr>
          <w:rFonts w:ascii="Cambria" w:eastAsia="Cambria" w:hAnsi="Cambria" w:cs="Cambria"/>
          <w:iCs/>
          <w:sz w:val="20"/>
          <w:szCs w:val="20"/>
        </w:rPr>
        <w:t xml:space="preserve">los objetivos reflejados en la </w:t>
      </w:r>
      <w:r w:rsidRPr="00C12BDA">
        <w:rPr>
          <w:rFonts w:ascii="Cambria" w:hAnsi="Cambria"/>
          <w:i/>
          <w:iCs/>
          <w:sz w:val="20"/>
          <w:szCs w:val="20"/>
        </w:rPr>
        <w:t>Resolución de ICCAT sobre los principios básicos relativos a las normas laborales en las pesquerías de ICCAT</w:t>
      </w:r>
      <w:r w:rsidRPr="00C12BDA">
        <w:rPr>
          <w:rFonts w:ascii="Cambria" w:eastAsia="Cambria" w:hAnsi="Cambria" w:cs="Cambria"/>
          <w:iCs/>
          <w:sz w:val="20"/>
          <w:szCs w:val="20"/>
        </w:rPr>
        <w:t xml:space="preserve"> (Res. 23-20);</w:t>
      </w:r>
    </w:p>
    <w:p w14:paraId="0000000F" w14:textId="77777777" w:rsidR="00907779" w:rsidRPr="00C12BDA" w:rsidRDefault="00907779" w:rsidP="00904027">
      <w:pPr>
        <w:spacing w:line="240" w:lineRule="auto"/>
        <w:jc w:val="both"/>
        <w:rPr>
          <w:rFonts w:ascii="Cambria" w:eastAsia="Cambria" w:hAnsi="Cambria" w:cs="Cambria"/>
          <w:sz w:val="20"/>
          <w:szCs w:val="20"/>
        </w:rPr>
      </w:pPr>
    </w:p>
    <w:p w14:paraId="00000011" w14:textId="77777777" w:rsidR="00907779" w:rsidRPr="00C12BDA" w:rsidRDefault="00682852" w:rsidP="00F57C15">
      <w:pPr>
        <w:spacing w:line="240" w:lineRule="auto"/>
        <w:jc w:val="center"/>
        <w:rPr>
          <w:rFonts w:ascii="Cambria" w:eastAsia="Cambria" w:hAnsi="Cambria" w:cs="Cambria"/>
          <w:sz w:val="20"/>
          <w:szCs w:val="20"/>
        </w:rPr>
      </w:pPr>
      <w:r w:rsidRPr="00C12BDA">
        <w:rPr>
          <w:rFonts w:ascii="Cambria" w:hAnsi="Cambria"/>
          <w:sz w:val="20"/>
        </w:rPr>
        <w:t>LA COMISIÓN INTERNACIONAL PARA LA CONSERVACIÓN DEL</w:t>
      </w:r>
    </w:p>
    <w:p w14:paraId="00000012" w14:textId="2892067F" w:rsidR="00907779" w:rsidRPr="00C12BDA" w:rsidRDefault="00682852" w:rsidP="00F57C15">
      <w:pPr>
        <w:spacing w:line="240" w:lineRule="auto"/>
        <w:jc w:val="center"/>
        <w:rPr>
          <w:rFonts w:ascii="Cambria" w:eastAsia="Cambria" w:hAnsi="Cambria" w:cs="Cambria"/>
          <w:sz w:val="20"/>
          <w:szCs w:val="20"/>
        </w:rPr>
      </w:pPr>
      <w:r w:rsidRPr="00C12BDA">
        <w:rPr>
          <w:rFonts w:ascii="Cambria" w:hAnsi="Cambria"/>
          <w:sz w:val="20"/>
        </w:rPr>
        <w:t>ATÚN ATLÁNTICO (ICCAT) RECOMIENDA LO SIGUIENTE:</w:t>
      </w:r>
    </w:p>
    <w:p w14:paraId="00000013" w14:textId="77777777" w:rsidR="00907779" w:rsidRPr="00C12BDA" w:rsidRDefault="00907779" w:rsidP="00904027">
      <w:pPr>
        <w:spacing w:line="240" w:lineRule="auto"/>
        <w:jc w:val="both"/>
        <w:rPr>
          <w:rFonts w:ascii="Cambria" w:eastAsia="Cambria" w:hAnsi="Cambria" w:cs="Cambria"/>
          <w:sz w:val="20"/>
          <w:szCs w:val="20"/>
        </w:rPr>
      </w:pPr>
    </w:p>
    <w:p w14:paraId="00000014" w14:textId="3808D96A" w:rsidR="00907779" w:rsidRPr="00C12BDA" w:rsidRDefault="00682852" w:rsidP="00904027">
      <w:pPr>
        <w:spacing w:line="240" w:lineRule="auto"/>
        <w:jc w:val="both"/>
        <w:rPr>
          <w:rFonts w:ascii="Cambria" w:eastAsia="Cambria" w:hAnsi="Cambria" w:cs="Cambria"/>
          <w:sz w:val="20"/>
          <w:szCs w:val="20"/>
        </w:rPr>
      </w:pPr>
      <w:r w:rsidRPr="00C12BDA">
        <w:rPr>
          <w:rFonts w:ascii="Cambria" w:hAnsi="Cambria"/>
          <w:sz w:val="20"/>
        </w:rPr>
        <w:t xml:space="preserve">Se aplicará lo siguiente para garantizar la salud, </w:t>
      </w:r>
      <w:r w:rsidR="00A95447" w:rsidRPr="00C12BDA">
        <w:rPr>
          <w:rFonts w:ascii="Cambria" w:hAnsi="Cambria"/>
          <w:sz w:val="20"/>
        </w:rPr>
        <w:t xml:space="preserve">la </w:t>
      </w:r>
      <w:r w:rsidRPr="00C12BDA">
        <w:rPr>
          <w:rFonts w:ascii="Cambria" w:hAnsi="Cambria"/>
          <w:sz w:val="20"/>
        </w:rPr>
        <w:t>seguridad y</w:t>
      </w:r>
      <w:r w:rsidR="00A95447" w:rsidRPr="00C12BDA">
        <w:rPr>
          <w:rFonts w:ascii="Cambria" w:hAnsi="Cambria"/>
          <w:sz w:val="20"/>
        </w:rPr>
        <w:t xml:space="preserve"> el </w:t>
      </w:r>
      <w:r w:rsidRPr="00C12BDA">
        <w:rPr>
          <w:rFonts w:ascii="Cambria" w:hAnsi="Cambria"/>
          <w:sz w:val="20"/>
        </w:rPr>
        <w:t>bienestar de los observadores desplegados de conformidad con la Re</w:t>
      </w:r>
      <w:r w:rsidR="00A95447" w:rsidRPr="00C12BDA">
        <w:rPr>
          <w:rFonts w:ascii="Cambria" w:hAnsi="Cambria"/>
          <w:sz w:val="20"/>
        </w:rPr>
        <w:t>c.</w:t>
      </w:r>
      <w:r w:rsidRPr="00C12BDA">
        <w:rPr>
          <w:rFonts w:ascii="Cambria" w:hAnsi="Cambria"/>
          <w:sz w:val="20"/>
        </w:rPr>
        <w:t xml:space="preserve">16-14 o de cualquier otro observador </w:t>
      </w:r>
      <w:r w:rsidR="007D5060" w:rsidRPr="00C12BDA">
        <w:rPr>
          <w:rFonts w:ascii="Cambria" w:hAnsi="Cambria"/>
          <w:sz w:val="20"/>
        </w:rPr>
        <w:t>de</w:t>
      </w:r>
      <w:r w:rsidR="0058515D" w:rsidRPr="00C12BDA">
        <w:rPr>
          <w:rFonts w:ascii="Cambria" w:hAnsi="Cambria"/>
          <w:sz w:val="20"/>
        </w:rPr>
        <w:t xml:space="preserve"> una</w:t>
      </w:r>
      <w:r w:rsidR="007D5060" w:rsidRPr="00C12BDA">
        <w:rPr>
          <w:rFonts w:ascii="Cambria" w:hAnsi="Cambria"/>
          <w:sz w:val="20"/>
        </w:rPr>
        <w:t xml:space="preserve"> CPC</w:t>
      </w:r>
      <w:r w:rsidRPr="00C12BDA">
        <w:rPr>
          <w:rFonts w:ascii="Cambria" w:hAnsi="Cambria"/>
          <w:sz w:val="20"/>
        </w:rPr>
        <w:t xml:space="preserve"> desplegado en un buque de una CPC de pabellón que opere en las pesquerías de ICCAT </w:t>
      </w:r>
      <w:r w:rsidR="001F2FAA" w:rsidRPr="00C12BDA">
        <w:rPr>
          <w:rFonts w:ascii="Cambria" w:hAnsi="Cambria"/>
          <w:sz w:val="20"/>
        </w:rPr>
        <w:t xml:space="preserve">en la zona del Convenio de ICCAT </w:t>
      </w:r>
      <w:r w:rsidRPr="00C12BDA">
        <w:rPr>
          <w:rFonts w:ascii="Cambria" w:hAnsi="Cambria"/>
          <w:sz w:val="20"/>
        </w:rPr>
        <w:t xml:space="preserve">en cumplimiento de las obligaciones de la CPC con arreglo a los requisitos de ICCAT en materia de observadores: </w:t>
      </w:r>
    </w:p>
    <w:p w14:paraId="00000015" w14:textId="77777777" w:rsidR="00907779" w:rsidRPr="00C12BDA" w:rsidRDefault="00907779" w:rsidP="00904027">
      <w:pPr>
        <w:spacing w:line="240" w:lineRule="auto"/>
        <w:jc w:val="both"/>
        <w:rPr>
          <w:rFonts w:ascii="Cambria" w:eastAsia="Cambria" w:hAnsi="Cambria" w:cs="Cambria"/>
          <w:sz w:val="20"/>
          <w:szCs w:val="20"/>
        </w:rPr>
      </w:pPr>
    </w:p>
    <w:p w14:paraId="249FF732" w14:textId="7F066476" w:rsidR="00440E8E" w:rsidRPr="00C12BDA" w:rsidRDefault="005F7202" w:rsidP="005F7202">
      <w:pPr>
        <w:pStyle w:val="ListParagraph"/>
        <w:numPr>
          <w:ilvl w:val="0"/>
          <w:numId w:val="1"/>
        </w:numPr>
        <w:spacing w:line="240" w:lineRule="auto"/>
        <w:ind w:left="426" w:hanging="426"/>
        <w:jc w:val="both"/>
        <w:rPr>
          <w:rFonts w:ascii="Cambria" w:eastAsia="Cambria" w:hAnsi="Cambria" w:cs="Cambria"/>
          <w:sz w:val="20"/>
          <w:szCs w:val="20"/>
        </w:rPr>
      </w:pPr>
      <w:r w:rsidRPr="00C12BDA">
        <w:rPr>
          <w:rFonts w:ascii="Cambria" w:hAnsi="Cambria"/>
          <w:sz w:val="20"/>
        </w:rPr>
        <w:t xml:space="preserve">Las CPC </w:t>
      </w:r>
      <w:r w:rsidR="001F2FAA" w:rsidRPr="00C12BDA">
        <w:rPr>
          <w:rFonts w:ascii="Cambria" w:hAnsi="Cambria"/>
          <w:sz w:val="20"/>
        </w:rPr>
        <w:t xml:space="preserve">adoptarán las medidas necesarias para garantizar que </w:t>
      </w:r>
      <w:r w:rsidR="008A500B" w:rsidRPr="00C12BDA">
        <w:rPr>
          <w:rFonts w:ascii="Cambria" w:hAnsi="Cambria"/>
          <w:sz w:val="20"/>
        </w:rPr>
        <w:t xml:space="preserve">los </w:t>
      </w:r>
      <w:r w:rsidRPr="00C12BDA">
        <w:rPr>
          <w:rFonts w:ascii="Cambria" w:hAnsi="Cambria"/>
          <w:sz w:val="20"/>
        </w:rPr>
        <w:t xml:space="preserve">operadores y </w:t>
      </w:r>
      <w:r w:rsidR="00A95447" w:rsidRPr="00C12BDA">
        <w:rPr>
          <w:rFonts w:ascii="Cambria" w:hAnsi="Cambria"/>
          <w:sz w:val="20"/>
        </w:rPr>
        <w:t xml:space="preserve">la </w:t>
      </w:r>
      <w:r w:rsidRPr="00C12BDA">
        <w:rPr>
          <w:rFonts w:ascii="Cambria" w:hAnsi="Cambria"/>
          <w:sz w:val="20"/>
        </w:rPr>
        <w:t xml:space="preserve">tripulación </w:t>
      </w:r>
      <w:r w:rsidR="008A500B" w:rsidRPr="00C12BDA">
        <w:rPr>
          <w:rFonts w:ascii="Cambria" w:hAnsi="Cambria"/>
          <w:sz w:val="20"/>
        </w:rPr>
        <w:t xml:space="preserve">de sus buques </w:t>
      </w:r>
      <w:r w:rsidR="001F2FAA" w:rsidRPr="00C12BDA">
        <w:rPr>
          <w:rFonts w:ascii="Cambria" w:hAnsi="Cambria"/>
          <w:sz w:val="20"/>
        </w:rPr>
        <w:t xml:space="preserve">no </w:t>
      </w:r>
      <w:r w:rsidRPr="00C12BDA">
        <w:rPr>
          <w:rFonts w:ascii="Cambria" w:hAnsi="Cambria"/>
          <w:sz w:val="20"/>
        </w:rPr>
        <w:t>amenaza</w:t>
      </w:r>
      <w:r w:rsidR="001F2FAA" w:rsidRPr="00C12BDA">
        <w:rPr>
          <w:rFonts w:ascii="Cambria" w:hAnsi="Cambria"/>
          <w:sz w:val="20"/>
        </w:rPr>
        <w:t>n</w:t>
      </w:r>
      <w:r w:rsidRPr="00C12BDA">
        <w:rPr>
          <w:rFonts w:ascii="Cambria" w:hAnsi="Cambria"/>
          <w:sz w:val="20"/>
        </w:rPr>
        <w:t>, intimida</w:t>
      </w:r>
      <w:r w:rsidR="001F2FAA" w:rsidRPr="00C12BDA">
        <w:rPr>
          <w:rFonts w:ascii="Cambria" w:hAnsi="Cambria"/>
          <w:sz w:val="20"/>
        </w:rPr>
        <w:t>n</w:t>
      </w:r>
      <w:r w:rsidRPr="00C12BDA">
        <w:rPr>
          <w:rFonts w:ascii="Cambria" w:hAnsi="Cambria"/>
          <w:sz w:val="20"/>
        </w:rPr>
        <w:t xml:space="preserve"> </w:t>
      </w:r>
      <w:r w:rsidR="00422E4B" w:rsidRPr="00C12BDA">
        <w:rPr>
          <w:rFonts w:ascii="Cambria" w:hAnsi="Cambria"/>
          <w:sz w:val="20"/>
        </w:rPr>
        <w:t>ni</w:t>
      </w:r>
      <w:r w:rsidRPr="00C12BDA">
        <w:rPr>
          <w:rFonts w:ascii="Cambria" w:hAnsi="Cambria"/>
          <w:sz w:val="20"/>
        </w:rPr>
        <w:t xml:space="preserve"> </w:t>
      </w:r>
      <w:r w:rsidR="001F2FAA" w:rsidRPr="00C12BDA">
        <w:rPr>
          <w:rFonts w:ascii="Cambria" w:hAnsi="Cambria"/>
          <w:sz w:val="20"/>
        </w:rPr>
        <w:t xml:space="preserve">hieren </w:t>
      </w:r>
      <w:r w:rsidRPr="00C12BDA">
        <w:rPr>
          <w:rFonts w:ascii="Cambria" w:hAnsi="Cambria"/>
          <w:sz w:val="20"/>
        </w:rPr>
        <w:t>a los observadores de la pesca.</w:t>
      </w:r>
    </w:p>
    <w:p w14:paraId="15E2F3AC" w14:textId="77777777" w:rsidR="00440E8E" w:rsidRPr="00C12BDA" w:rsidRDefault="00440E8E" w:rsidP="00904027">
      <w:pPr>
        <w:spacing w:line="240" w:lineRule="auto"/>
        <w:jc w:val="both"/>
        <w:rPr>
          <w:rFonts w:ascii="Cambria" w:eastAsia="Cambria" w:hAnsi="Cambria" w:cs="Cambria"/>
          <w:sz w:val="20"/>
          <w:szCs w:val="20"/>
        </w:rPr>
      </w:pPr>
    </w:p>
    <w:p w14:paraId="00000016" w14:textId="30668D37" w:rsidR="00907779" w:rsidRPr="00C12BDA" w:rsidRDefault="000866E5" w:rsidP="005F7202">
      <w:pPr>
        <w:pStyle w:val="ListParagraph"/>
        <w:numPr>
          <w:ilvl w:val="0"/>
          <w:numId w:val="1"/>
        </w:numPr>
        <w:spacing w:line="240" w:lineRule="auto"/>
        <w:ind w:left="426" w:hanging="426"/>
        <w:jc w:val="both"/>
        <w:rPr>
          <w:rFonts w:ascii="Cambria" w:eastAsia="Cambria" w:hAnsi="Cambria" w:cs="Cambria"/>
          <w:b/>
          <w:bCs/>
          <w:sz w:val="20"/>
          <w:szCs w:val="20"/>
        </w:rPr>
      </w:pPr>
      <w:r w:rsidRPr="00C12BDA">
        <w:rPr>
          <w:rFonts w:ascii="Cambria" w:hAnsi="Cambria"/>
          <w:sz w:val="20"/>
        </w:rPr>
        <w:t xml:space="preserve">Las CPC se asegurarán de que los observadores han recibido formación en seguridad básica del buque antes de ser </w:t>
      </w:r>
      <w:r w:rsidR="00A95447" w:rsidRPr="00C12BDA">
        <w:rPr>
          <w:rFonts w:ascii="Cambria" w:hAnsi="Cambria"/>
          <w:sz w:val="20"/>
        </w:rPr>
        <w:t xml:space="preserve">asignados a </w:t>
      </w:r>
      <w:r w:rsidRPr="00C12BDA">
        <w:rPr>
          <w:rFonts w:ascii="Cambria" w:hAnsi="Cambria"/>
          <w:sz w:val="20"/>
        </w:rPr>
        <w:t xml:space="preserve">un buque por primera vez y a intervalos apropiados a partir de entonces. </w:t>
      </w:r>
    </w:p>
    <w:p w14:paraId="00000017" w14:textId="77777777" w:rsidR="00907779" w:rsidRPr="00C12BDA" w:rsidRDefault="00907779" w:rsidP="00904027">
      <w:pPr>
        <w:spacing w:line="240" w:lineRule="auto"/>
        <w:jc w:val="both"/>
        <w:rPr>
          <w:rFonts w:ascii="Cambria" w:eastAsia="Cambria" w:hAnsi="Cambria" w:cs="Cambria"/>
          <w:sz w:val="20"/>
          <w:szCs w:val="20"/>
        </w:rPr>
      </w:pPr>
    </w:p>
    <w:p w14:paraId="00000018" w14:textId="6E71B217" w:rsidR="00907779" w:rsidRPr="00C12BDA" w:rsidRDefault="00682852" w:rsidP="00A95447">
      <w:pPr>
        <w:pStyle w:val="ListParagraph"/>
        <w:numPr>
          <w:ilvl w:val="0"/>
          <w:numId w:val="1"/>
        </w:numPr>
        <w:spacing w:line="240" w:lineRule="auto"/>
        <w:ind w:left="426" w:hanging="426"/>
        <w:jc w:val="both"/>
        <w:rPr>
          <w:rFonts w:ascii="Cambria" w:eastAsia="Cambria" w:hAnsi="Cambria" w:cs="Cambria"/>
          <w:sz w:val="20"/>
          <w:szCs w:val="20"/>
        </w:rPr>
      </w:pPr>
      <w:r w:rsidRPr="00C12BDA">
        <w:rPr>
          <w:rFonts w:ascii="Cambria" w:hAnsi="Cambria"/>
          <w:sz w:val="20"/>
        </w:rPr>
        <w:t>Antes de asignar</w:t>
      </w:r>
      <w:r w:rsidR="00A95447" w:rsidRPr="00C12BDA">
        <w:rPr>
          <w:rFonts w:ascii="Cambria" w:hAnsi="Cambria"/>
          <w:sz w:val="20"/>
        </w:rPr>
        <w:t xml:space="preserve"> </w:t>
      </w:r>
      <w:r w:rsidRPr="00C12BDA">
        <w:rPr>
          <w:rFonts w:ascii="Cambria" w:hAnsi="Cambria"/>
          <w:sz w:val="20"/>
        </w:rPr>
        <w:t xml:space="preserve">un observador </w:t>
      </w:r>
      <w:r w:rsidR="00A95447" w:rsidRPr="00C12BDA">
        <w:rPr>
          <w:rFonts w:ascii="Cambria" w:hAnsi="Cambria"/>
          <w:sz w:val="20"/>
        </w:rPr>
        <w:t>a</w:t>
      </w:r>
      <w:r w:rsidRPr="00C12BDA">
        <w:rPr>
          <w:rFonts w:ascii="Cambria" w:hAnsi="Cambria"/>
          <w:sz w:val="20"/>
        </w:rPr>
        <w:t xml:space="preserve"> un buque para una marea, las CPC se asegurarán de que el observador tiene acceso independiente y sin restricciones a un dispositivo de comunicación bidireccional </w:t>
      </w:r>
      <w:r w:rsidR="00F56404" w:rsidRPr="00C12BDA">
        <w:rPr>
          <w:rFonts w:ascii="Cambria" w:hAnsi="Cambria"/>
          <w:sz w:val="20"/>
        </w:rPr>
        <w:t>adaptado</w:t>
      </w:r>
      <w:r w:rsidRPr="00C12BDA">
        <w:rPr>
          <w:rFonts w:ascii="Cambria" w:hAnsi="Cambria"/>
          <w:sz w:val="20"/>
        </w:rPr>
        <w:t xml:space="preserve"> para su uso en el mar y a un equipo de seguridad adecuado, incluido un dispositivo de flotación personal (PFD)</w:t>
      </w:r>
      <w:r w:rsidR="007D5060" w:rsidRPr="00C12BDA">
        <w:rPr>
          <w:rFonts w:ascii="Cambria" w:hAnsi="Cambria"/>
          <w:sz w:val="20"/>
        </w:rPr>
        <w:t xml:space="preserve">, como un chaleco salvavidas </w:t>
      </w:r>
      <w:r w:rsidRPr="00C12BDA">
        <w:rPr>
          <w:rFonts w:ascii="Cambria" w:hAnsi="Cambria"/>
          <w:sz w:val="20"/>
        </w:rPr>
        <w:t>o</w:t>
      </w:r>
      <w:r w:rsidR="00F56404" w:rsidRPr="00C12BDA">
        <w:rPr>
          <w:rFonts w:ascii="Cambria" w:hAnsi="Cambria"/>
          <w:sz w:val="20"/>
        </w:rPr>
        <w:t xml:space="preserve"> un</w:t>
      </w:r>
      <w:r w:rsidRPr="00C12BDA">
        <w:rPr>
          <w:rFonts w:ascii="Cambria" w:hAnsi="Cambria"/>
          <w:sz w:val="20"/>
        </w:rPr>
        <w:t xml:space="preserve"> traje de inmersión, adecuado para las operaciones y actividades de pesca específicas, incluida la zona oceánica y la distancia de la costa.</w:t>
      </w:r>
    </w:p>
    <w:p w14:paraId="0000001C" w14:textId="77777777" w:rsidR="00907779" w:rsidRPr="00C12BDA" w:rsidRDefault="00907779" w:rsidP="00904027">
      <w:pPr>
        <w:spacing w:line="240" w:lineRule="auto"/>
        <w:ind w:left="720"/>
        <w:jc w:val="both"/>
        <w:rPr>
          <w:rFonts w:ascii="Cambria" w:eastAsia="Cambria" w:hAnsi="Cambria" w:cs="Cambria"/>
          <w:sz w:val="20"/>
          <w:szCs w:val="20"/>
        </w:rPr>
      </w:pPr>
    </w:p>
    <w:p w14:paraId="00000021" w14:textId="238968B3" w:rsidR="00907779" w:rsidRPr="00C12BDA" w:rsidRDefault="00682852" w:rsidP="005F7202">
      <w:pPr>
        <w:pStyle w:val="ListParagraph"/>
        <w:numPr>
          <w:ilvl w:val="0"/>
          <w:numId w:val="1"/>
        </w:numPr>
        <w:spacing w:line="240" w:lineRule="auto"/>
        <w:ind w:left="426" w:hanging="426"/>
        <w:jc w:val="both"/>
        <w:rPr>
          <w:rFonts w:ascii="Cambria" w:eastAsia="Cambria" w:hAnsi="Cambria" w:cs="Cambria"/>
          <w:sz w:val="20"/>
          <w:szCs w:val="20"/>
        </w:rPr>
      </w:pPr>
      <w:r w:rsidRPr="00C12BDA">
        <w:rPr>
          <w:rFonts w:ascii="Cambria" w:hAnsi="Cambria"/>
          <w:sz w:val="20"/>
        </w:rPr>
        <w:t xml:space="preserve">Las CPC de pabellón se asegurarán de que sus buques que transportan observadores cubiertos por esta Recomendación cuentan con el equipo de seguridad adecuado para la totalidad de cada marea, incluyendo lo siguiente: </w:t>
      </w:r>
    </w:p>
    <w:p w14:paraId="45A824B9" w14:textId="77777777" w:rsidR="005D1CE9" w:rsidRPr="00C12BDA" w:rsidRDefault="005D1CE9" w:rsidP="005D1CE9">
      <w:pPr>
        <w:spacing w:line="240" w:lineRule="auto"/>
        <w:ind w:left="426" w:hanging="426"/>
        <w:jc w:val="both"/>
        <w:rPr>
          <w:rFonts w:ascii="Cambria" w:eastAsia="Cambria" w:hAnsi="Cambria" w:cs="Cambria"/>
          <w:sz w:val="20"/>
          <w:szCs w:val="20"/>
        </w:rPr>
      </w:pPr>
    </w:p>
    <w:p w14:paraId="00000022" w14:textId="78BDB4D0" w:rsidR="00907779" w:rsidRPr="00C12BDA" w:rsidRDefault="00682852" w:rsidP="001F2FAA">
      <w:pPr>
        <w:pStyle w:val="ListParagraph"/>
        <w:numPr>
          <w:ilvl w:val="0"/>
          <w:numId w:val="3"/>
        </w:numPr>
        <w:spacing w:line="240" w:lineRule="auto"/>
        <w:jc w:val="both"/>
        <w:rPr>
          <w:rFonts w:ascii="Cambria" w:hAnsi="Cambria"/>
          <w:sz w:val="20"/>
        </w:rPr>
      </w:pPr>
      <w:r w:rsidRPr="00C12BDA">
        <w:rPr>
          <w:rFonts w:ascii="Cambria" w:hAnsi="Cambria"/>
          <w:sz w:val="20"/>
        </w:rPr>
        <w:lastRenderedPageBreak/>
        <w:t xml:space="preserve">un bote salvavidas con capacidad suficiente para todas las personas a bordo con un certificado de inspección que sea válido para todo el tiempo que dure el embarque del observador; </w:t>
      </w:r>
    </w:p>
    <w:p w14:paraId="18AB252C" w14:textId="77777777" w:rsidR="001F2FAA" w:rsidRPr="00C12BDA" w:rsidRDefault="001F2FAA" w:rsidP="001F2FAA">
      <w:pPr>
        <w:pStyle w:val="ListParagraph"/>
        <w:spacing w:line="240" w:lineRule="auto"/>
        <w:ind w:left="786"/>
        <w:jc w:val="both"/>
        <w:rPr>
          <w:rFonts w:ascii="Cambria" w:eastAsia="Cambria" w:hAnsi="Cambria" w:cs="Cambria"/>
          <w:sz w:val="20"/>
          <w:szCs w:val="20"/>
        </w:rPr>
      </w:pPr>
    </w:p>
    <w:p w14:paraId="00000024" w14:textId="20BED8AD" w:rsidR="00907779" w:rsidRPr="00C12BDA" w:rsidRDefault="001F2FAA" w:rsidP="001F2FAA">
      <w:pPr>
        <w:pStyle w:val="ListParagraph"/>
        <w:numPr>
          <w:ilvl w:val="0"/>
          <w:numId w:val="3"/>
        </w:numPr>
        <w:spacing w:line="240" w:lineRule="auto"/>
        <w:jc w:val="both"/>
        <w:rPr>
          <w:rFonts w:ascii="Cambria" w:eastAsia="Cambria" w:hAnsi="Cambria" w:cs="Cambria"/>
          <w:sz w:val="20"/>
          <w:szCs w:val="20"/>
        </w:rPr>
      </w:pPr>
      <w:r w:rsidRPr="00C12BDA">
        <w:rPr>
          <w:rFonts w:ascii="Cambria" w:hAnsi="Cambria"/>
          <w:sz w:val="20"/>
        </w:rPr>
        <w:t>e</w:t>
      </w:r>
      <w:r w:rsidR="00895131" w:rsidRPr="00C12BDA">
        <w:rPr>
          <w:rFonts w:ascii="Cambria" w:hAnsi="Cambria"/>
          <w:sz w:val="20"/>
        </w:rPr>
        <w:t>quipo de extinción de incendios;</w:t>
      </w:r>
    </w:p>
    <w:p w14:paraId="00000025" w14:textId="77777777" w:rsidR="00907779" w:rsidRPr="00C12BDA" w:rsidRDefault="00907779" w:rsidP="00904027">
      <w:pPr>
        <w:spacing w:line="240" w:lineRule="auto"/>
        <w:jc w:val="both"/>
        <w:rPr>
          <w:rFonts w:ascii="Cambria" w:eastAsia="Cambria" w:hAnsi="Cambria" w:cs="Cambria"/>
          <w:sz w:val="20"/>
          <w:szCs w:val="20"/>
        </w:rPr>
      </w:pPr>
    </w:p>
    <w:p w14:paraId="00000026" w14:textId="2512B66A" w:rsidR="00907779" w:rsidRPr="00C12BDA" w:rsidRDefault="007D5060" w:rsidP="001F2FAA">
      <w:pPr>
        <w:pStyle w:val="ListParagraph"/>
        <w:numPr>
          <w:ilvl w:val="0"/>
          <w:numId w:val="3"/>
        </w:numPr>
        <w:spacing w:line="240" w:lineRule="auto"/>
        <w:jc w:val="both"/>
        <w:rPr>
          <w:rFonts w:ascii="Cambria" w:hAnsi="Cambria"/>
          <w:sz w:val="20"/>
        </w:rPr>
      </w:pPr>
      <w:r w:rsidRPr="00C12BDA">
        <w:rPr>
          <w:rFonts w:ascii="Cambria" w:hAnsi="Cambria"/>
          <w:sz w:val="20"/>
        </w:rPr>
        <w:t xml:space="preserve"> dispositivos de flotación personal</w:t>
      </w:r>
      <w:r w:rsidR="00F56404" w:rsidRPr="00C12BDA">
        <w:rPr>
          <w:rFonts w:ascii="Cambria" w:hAnsi="Cambria"/>
          <w:sz w:val="20"/>
        </w:rPr>
        <w:t xml:space="preserve"> (PFD)</w:t>
      </w:r>
      <w:r w:rsidRPr="00C12BDA">
        <w:rPr>
          <w:rFonts w:ascii="Cambria" w:hAnsi="Cambria"/>
          <w:sz w:val="20"/>
        </w:rPr>
        <w:t xml:space="preserve"> </w:t>
      </w:r>
      <w:r w:rsidR="00895131" w:rsidRPr="00C12BDA">
        <w:rPr>
          <w:rFonts w:ascii="Cambria" w:hAnsi="Cambria"/>
          <w:sz w:val="20"/>
        </w:rPr>
        <w:t>en número suficiente para todas las personas a bordo, y conformes a las normas internacionales pertinentes, como, en su caso, el Acuerdo de Ciudad del Cabo</w:t>
      </w:r>
      <w:r w:rsidR="001F2FAA" w:rsidRPr="00C12BDA">
        <w:rPr>
          <w:rFonts w:ascii="Cambria" w:hAnsi="Cambria"/>
          <w:sz w:val="20"/>
        </w:rPr>
        <w:t xml:space="preserve">, o a las normas </w:t>
      </w:r>
      <w:r w:rsidRPr="00C12BDA">
        <w:rPr>
          <w:rFonts w:ascii="Cambria" w:hAnsi="Cambria"/>
          <w:sz w:val="20"/>
        </w:rPr>
        <w:t>internas</w:t>
      </w:r>
      <w:r w:rsidR="001F2FAA" w:rsidRPr="00C12BDA">
        <w:rPr>
          <w:rFonts w:ascii="Cambria" w:hAnsi="Cambria"/>
          <w:sz w:val="20"/>
        </w:rPr>
        <w:t xml:space="preserve"> equivalentes</w:t>
      </w:r>
      <w:r w:rsidR="00895131" w:rsidRPr="00C12BDA">
        <w:rPr>
          <w:rFonts w:ascii="Cambria" w:hAnsi="Cambria"/>
          <w:sz w:val="20"/>
        </w:rPr>
        <w:t xml:space="preserve"> y </w:t>
      </w:r>
    </w:p>
    <w:p w14:paraId="00000027" w14:textId="77777777" w:rsidR="00907779" w:rsidRPr="00C12BDA" w:rsidRDefault="00907779" w:rsidP="00A4128F">
      <w:pPr>
        <w:spacing w:line="240" w:lineRule="auto"/>
        <w:ind w:left="709" w:hanging="283"/>
        <w:jc w:val="both"/>
        <w:rPr>
          <w:rFonts w:ascii="Cambria" w:hAnsi="Cambria"/>
          <w:sz w:val="20"/>
        </w:rPr>
      </w:pPr>
    </w:p>
    <w:p w14:paraId="00000028" w14:textId="59ECCB6F" w:rsidR="00907779" w:rsidRPr="00C12BDA" w:rsidRDefault="00895131" w:rsidP="001F2FAA">
      <w:pPr>
        <w:pStyle w:val="ListParagraph"/>
        <w:numPr>
          <w:ilvl w:val="0"/>
          <w:numId w:val="3"/>
        </w:numPr>
        <w:spacing w:line="240" w:lineRule="auto"/>
        <w:jc w:val="both"/>
        <w:rPr>
          <w:rFonts w:ascii="Cambria" w:eastAsia="Cambria" w:hAnsi="Cambria" w:cs="Cambria"/>
          <w:sz w:val="20"/>
          <w:szCs w:val="20"/>
        </w:rPr>
      </w:pPr>
      <w:r w:rsidRPr="00C12BDA">
        <w:rPr>
          <w:rFonts w:ascii="Cambria" w:hAnsi="Cambria"/>
          <w:sz w:val="20"/>
        </w:rPr>
        <w:t>una radiobaliza de indicación de posición de emergencia (EPIRB)</w:t>
      </w:r>
      <w:r w:rsidR="00422E4B" w:rsidRPr="00C12BDA">
        <w:rPr>
          <w:rFonts w:ascii="Cambria" w:hAnsi="Cambria"/>
          <w:sz w:val="20"/>
        </w:rPr>
        <w:t>,</w:t>
      </w:r>
      <w:r w:rsidRPr="00C12BDA">
        <w:rPr>
          <w:rFonts w:ascii="Cambria" w:hAnsi="Cambria"/>
          <w:sz w:val="20"/>
        </w:rPr>
        <w:t xml:space="preserve"> un transpondedor de búsqueda y rescate (SART) </w:t>
      </w:r>
      <w:r w:rsidR="001F2FAA" w:rsidRPr="00C12BDA">
        <w:rPr>
          <w:rFonts w:ascii="Cambria" w:hAnsi="Cambria"/>
          <w:sz w:val="20"/>
        </w:rPr>
        <w:t xml:space="preserve">o </w:t>
      </w:r>
      <w:r w:rsidR="00422E4B" w:rsidRPr="00C12BDA">
        <w:rPr>
          <w:rFonts w:ascii="Cambria" w:hAnsi="Cambria"/>
          <w:sz w:val="20"/>
        </w:rPr>
        <w:t xml:space="preserve">un </w:t>
      </w:r>
      <w:r w:rsidR="001F2FAA" w:rsidRPr="00C12BDA">
        <w:rPr>
          <w:rFonts w:ascii="Cambria" w:hAnsi="Cambria"/>
          <w:sz w:val="20"/>
        </w:rPr>
        <w:t>equipo equivalente</w:t>
      </w:r>
      <w:r w:rsidR="00422E4B" w:rsidRPr="00C12BDA">
        <w:rPr>
          <w:rFonts w:ascii="Cambria" w:hAnsi="Cambria"/>
          <w:sz w:val="20"/>
        </w:rPr>
        <w:t xml:space="preserve"> debidamente registrado,</w:t>
      </w:r>
      <w:r w:rsidR="001F2FAA" w:rsidRPr="00C12BDA">
        <w:rPr>
          <w:rFonts w:ascii="Cambria" w:hAnsi="Cambria"/>
          <w:sz w:val="20"/>
        </w:rPr>
        <w:t xml:space="preserve"> </w:t>
      </w:r>
      <w:r w:rsidRPr="00C12BDA">
        <w:rPr>
          <w:rFonts w:ascii="Cambria" w:hAnsi="Cambria"/>
          <w:sz w:val="20"/>
        </w:rPr>
        <w:t xml:space="preserve">que no expiren hasta después de que haya finalizado el embarque del observador. </w:t>
      </w:r>
    </w:p>
    <w:p w14:paraId="00000029" w14:textId="77777777" w:rsidR="00907779" w:rsidRPr="00C12BDA" w:rsidRDefault="00907779" w:rsidP="00904027">
      <w:pPr>
        <w:spacing w:line="240" w:lineRule="auto"/>
        <w:jc w:val="both"/>
        <w:rPr>
          <w:rFonts w:ascii="Cambria" w:eastAsia="Cambria" w:hAnsi="Cambria" w:cs="Cambria"/>
          <w:sz w:val="20"/>
          <w:szCs w:val="20"/>
        </w:rPr>
      </w:pPr>
    </w:p>
    <w:p w14:paraId="0000002A" w14:textId="3C7F2027" w:rsidR="00907779" w:rsidRPr="00C12BDA" w:rsidRDefault="00682852" w:rsidP="009D2006">
      <w:pPr>
        <w:pStyle w:val="ListParagraph"/>
        <w:spacing w:line="240" w:lineRule="auto"/>
        <w:ind w:left="426"/>
        <w:jc w:val="both"/>
        <w:rPr>
          <w:rFonts w:ascii="Cambria" w:eastAsia="Cambria" w:hAnsi="Cambria" w:cs="Cambria"/>
          <w:sz w:val="20"/>
          <w:szCs w:val="20"/>
        </w:rPr>
      </w:pPr>
      <w:r w:rsidRPr="00C12BDA">
        <w:rPr>
          <w:rFonts w:ascii="Cambria" w:hAnsi="Cambria"/>
          <w:sz w:val="20"/>
        </w:rPr>
        <w:t xml:space="preserve">Las CPC podrían elegir eximir a sus buques de 12 m de eslora total </w:t>
      </w:r>
      <w:r w:rsidR="001F2FAA" w:rsidRPr="00C12BDA">
        <w:rPr>
          <w:rFonts w:ascii="Cambria" w:hAnsi="Cambria"/>
          <w:sz w:val="20"/>
        </w:rPr>
        <w:t>o menos</w:t>
      </w:r>
      <w:r w:rsidR="00F56404" w:rsidRPr="00C12BDA">
        <w:rPr>
          <w:rFonts w:ascii="Cambria" w:hAnsi="Cambria"/>
          <w:sz w:val="20"/>
        </w:rPr>
        <w:t>,</w:t>
      </w:r>
      <w:r w:rsidR="001F2FAA" w:rsidRPr="00C12BDA">
        <w:rPr>
          <w:rFonts w:ascii="Cambria" w:hAnsi="Cambria"/>
          <w:sz w:val="20"/>
        </w:rPr>
        <w:t xml:space="preserve"> </w:t>
      </w:r>
      <w:r w:rsidRPr="00C12BDA">
        <w:rPr>
          <w:rFonts w:ascii="Cambria" w:hAnsi="Cambria"/>
          <w:sz w:val="20"/>
        </w:rPr>
        <w:t xml:space="preserve">y que operan a una distancia no superior a </w:t>
      </w:r>
      <w:r w:rsidR="001F2FAA" w:rsidRPr="00C12BDA">
        <w:rPr>
          <w:rFonts w:ascii="Cambria" w:hAnsi="Cambria"/>
          <w:sz w:val="20"/>
        </w:rPr>
        <w:t xml:space="preserve">12 </w:t>
      </w:r>
      <w:r w:rsidRPr="00C12BDA">
        <w:rPr>
          <w:rFonts w:ascii="Cambria" w:hAnsi="Cambria"/>
          <w:sz w:val="20"/>
        </w:rPr>
        <w:t>millas náuticas de la línea de base</w:t>
      </w:r>
      <w:r w:rsidR="00F56404" w:rsidRPr="00C12BDA">
        <w:rPr>
          <w:rFonts w:ascii="Cambria" w:hAnsi="Cambria"/>
          <w:sz w:val="20"/>
        </w:rPr>
        <w:t>,</w:t>
      </w:r>
      <w:r w:rsidR="0000426C" w:rsidRPr="00C12BDA">
        <w:rPr>
          <w:rFonts w:ascii="Cambria" w:hAnsi="Cambria"/>
          <w:sz w:val="20"/>
        </w:rPr>
        <w:t xml:space="preserve"> de los requisitos establecidos en los subpárrafos 4a) y 4d) anteriores si </w:t>
      </w:r>
      <w:r w:rsidR="00F56404" w:rsidRPr="00C12BDA">
        <w:rPr>
          <w:rFonts w:ascii="Cambria" w:hAnsi="Cambria"/>
          <w:sz w:val="20"/>
        </w:rPr>
        <w:t>se entrega al</w:t>
      </w:r>
      <w:r w:rsidR="0000426C" w:rsidRPr="00C12BDA">
        <w:rPr>
          <w:rFonts w:ascii="Cambria" w:hAnsi="Cambria"/>
          <w:sz w:val="20"/>
        </w:rPr>
        <w:t xml:space="preserve"> observador una baliza de localización personal.</w:t>
      </w:r>
    </w:p>
    <w:p w14:paraId="0000002B" w14:textId="77777777" w:rsidR="00907779" w:rsidRPr="00C12BDA" w:rsidRDefault="00907779" w:rsidP="00904027">
      <w:pPr>
        <w:spacing w:line="240" w:lineRule="auto"/>
        <w:jc w:val="both"/>
        <w:rPr>
          <w:rFonts w:ascii="Cambria" w:eastAsia="Cambria" w:hAnsi="Cambria" w:cs="Cambria"/>
          <w:sz w:val="20"/>
          <w:szCs w:val="20"/>
        </w:rPr>
      </w:pPr>
    </w:p>
    <w:p w14:paraId="0000002C" w14:textId="78A581AB" w:rsidR="00907779" w:rsidRPr="00C12BDA" w:rsidRDefault="00682852" w:rsidP="005F7202">
      <w:pPr>
        <w:pStyle w:val="ListParagraph"/>
        <w:numPr>
          <w:ilvl w:val="0"/>
          <w:numId w:val="1"/>
        </w:numPr>
        <w:spacing w:line="240" w:lineRule="auto"/>
        <w:ind w:left="426" w:hanging="426"/>
        <w:jc w:val="both"/>
        <w:rPr>
          <w:rFonts w:ascii="Cambria" w:eastAsia="Cambria" w:hAnsi="Cambria" w:cs="Cambria"/>
          <w:sz w:val="20"/>
          <w:szCs w:val="20"/>
        </w:rPr>
      </w:pPr>
      <w:r w:rsidRPr="00C12BDA">
        <w:rPr>
          <w:rFonts w:ascii="Cambria" w:hAnsi="Cambria"/>
          <w:sz w:val="20"/>
        </w:rPr>
        <w:t>La</w:t>
      </w:r>
      <w:r w:rsidR="00F56404" w:rsidRPr="00C12BDA">
        <w:rPr>
          <w:rFonts w:ascii="Cambria" w:hAnsi="Cambria"/>
          <w:sz w:val="20"/>
        </w:rPr>
        <w:t>s</w:t>
      </w:r>
      <w:r w:rsidRPr="00C12BDA">
        <w:rPr>
          <w:rFonts w:ascii="Cambria" w:hAnsi="Cambria"/>
          <w:sz w:val="20"/>
        </w:rPr>
        <w:t xml:space="preserve"> CPC se asegurará</w:t>
      </w:r>
      <w:r w:rsidR="00F56404" w:rsidRPr="00C12BDA">
        <w:rPr>
          <w:rFonts w:ascii="Cambria" w:hAnsi="Cambria"/>
          <w:sz w:val="20"/>
        </w:rPr>
        <w:t>n</w:t>
      </w:r>
      <w:r w:rsidRPr="00C12BDA">
        <w:rPr>
          <w:rFonts w:ascii="Cambria" w:hAnsi="Cambria"/>
          <w:sz w:val="20"/>
        </w:rPr>
        <w:t xml:space="preserve"> de que no se </w:t>
      </w:r>
      <w:r w:rsidR="00F56404" w:rsidRPr="00C12BDA">
        <w:rPr>
          <w:rFonts w:ascii="Cambria" w:hAnsi="Cambria"/>
          <w:sz w:val="20"/>
        </w:rPr>
        <w:t>embarca</w:t>
      </w:r>
      <w:r w:rsidRPr="00C12BDA">
        <w:rPr>
          <w:rFonts w:ascii="Cambria" w:hAnsi="Cambria"/>
          <w:sz w:val="20"/>
        </w:rPr>
        <w:t xml:space="preserve"> un observador en un buque a menos que y hasta que se permita al observador</w:t>
      </w:r>
      <w:r w:rsidR="007D5060" w:rsidRPr="00C12BDA">
        <w:rPr>
          <w:rFonts w:ascii="Cambria" w:hAnsi="Cambria"/>
          <w:sz w:val="20"/>
        </w:rPr>
        <w:t xml:space="preserve">: 1) </w:t>
      </w:r>
      <w:r w:rsidR="009D2006" w:rsidRPr="00C12BDA">
        <w:rPr>
          <w:rFonts w:ascii="Cambria" w:hAnsi="Cambria"/>
          <w:sz w:val="20"/>
        </w:rPr>
        <w:t>visitar</w:t>
      </w:r>
      <w:r w:rsidR="001F2FAA" w:rsidRPr="00C12BDA">
        <w:rPr>
          <w:rFonts w:ascii="Cambria" w:hAnsi="Cambria"/>
          <w:sz w:val="20"/>
        </w:rPr>
        <w:t xml:space="preserve"> </w:t>
      </w:r>
      <w:r w:rsidRPr="00C12BDA">
        <w:rPr>
          <w:rFonts w:ascii="Cambria" w:hAnsi="Cambria"/>
          <w:sz w:val="20"/>
        </w:rPr>
        <w:t>los espacios principales del buque para asegurarse de que no existen condiciones manifiestamente peligrosas</w:t>
      </w:r>
      <w:r w:rsidR="007D5060" w:rsidRPr="00C12BDA">
        <w:rPr>
          <w:rFonts w:ascii="Cambria" w:hAnsi="Cambria"/>
          <w:sz w:val="20"/>
        </w:rPr>
        <w:t>; 2)</w:t>
      </w:r>
      <w:r w:rsidRPr="00C12BDA">
        <w:rPr>
          <w:rFonts w:ascii="Cambria" w:hAnsi="Cambria"/>
          <w:sz w:val="20"/>
        </w:rPr>
        <w:t xml:space="preserve"> </w:t>
      </w:r>
      <w:r w:rsidR="001F2FAA" w:rsidRPr="00C12BDA">
        <w:rPr>
          <w:rFonts w:ascii="Cambria" w:hAnsi="Cambria"/>
          <w:sz w:val="20"/>
        </w:rPr>
        <w:t>confirmar la presencia d</w:t>
      </w:r>
      <w:r w:rsidRPr="00C12BDA">
        <w:rPr>
          <w:rFonts w:ascii="Cambria" w:hAnsi="Cambria"/>
          <w:sz w:val="20"/>
        </w:rPr>
        <w:t xml:space="preserve">el equipo de seguridad, </w:t>
      </w:r>
      <w:r w:rsidR="007D5060" w:rsidRPr="00C12BDA">
        <w:rPr>
          <w:rFonts w:ascii="Cambria" w:hAnsi="Cambria"/>
          <w:sz w:val="20"/>
        </w:rPr>
        <w:t>y 3)</w:t>
      </w:r>
      <w:r w:rsidR="001F2FAA" w:rsidRPr="00C12BDA">
        <w:rPr>
          <w:rFonts w:ascii="Cambria" w:hAnsi="Cambria"/>
          <w:sz w:val="20"/>
        </w:rPr>
        <w:t xml:space="preserve"> </w:t>
      </w:r>
      <w:r w:rsidRPr="00C12BDA">
        <w:rPr>
          <w:rFonts w:ascii="Cambria" w:hAnsi="Cambria"/>
          <w:sz w:val="20"/>
        </w:rPr>
        <w:t>informar</w:t>
      </w:r>
      <w:r w:rsidR="007D5060" w:rsidRPr="00C12BDA">
        <w:rPr>
          <w:rFonts w:ascii="Cambria" w:hAnsi="Cambria"/>
          <w:sz w:val="20"/>
        </w:rPr>
        <w:t xml:space="preserve">, cuando sea necesario, </w:t>
      </w:r>
      <w:r w:rsidRPr="00C12BDA">
        <w:rPr>
          <w:rFonts w:ascii="Cambria" w:hAnsi="Cambria"/>
          <w:sz w:val="20"/>
        </w:rPr>
        <w:t xml:space="preserve">de su estado al proveedor del observador o a las autoridades pertinentes de la CPC. </w:t>
      </w:r>
      <w:r w:rsidR="007D5060" w:rsidRPr="00C12BDA">
        <w:rPr>
          <w:rFonts w:ascii="Cambria" w:hAnsi="Cambria"/>
          <w:sz w:val="20"/>
        </w:rPr>
        <w:t>Las CPC prestarán la debida atención a cualquier problema de seguridad notificado.</w:t>
      </w:r>
    </w:p>
    <w:p w14:paraId="0000002D" w14:textId="77777777" w:rsidR="00907779" w:rsidRPr="00C12BDA" w:rsidRDefault="00907779" w:rsidP="00904027">
      <w:pPr>
        <w:spacing w:line="240" w:lineRule="auto"/>
        <w:jc w:val="both"/>
        <w:rPr>
          <w:rFonts w:ascii="Cambria" w:eastAsia="Cambria" w:hAnsi="Cambria" w:cs="Cambria"/>
          <w:sz w:val="20"/>
          <w:szCs w:val="20"/>
        </w:rPr>
      </w:pPr>
    </w:p>
    <w:p w14:paraId="05E0F734" w14:textId="0258F4FF" w:rsidR="00656F9C" w:rsidRPr="00C12BDA" w:rsidRDefault="00656F9C" w:rsidP="00512BBE">
      <w:pPr>
        <w:pStyle w:val="ListParagraph"/>
        <w:numPr>
          <w:ilvl w:val="0"/>
          <w:numId w:val="1"/>
        </w:numPr>
        <w:spacing w:line="240" w:lineRule="auto"/>
        <w:ind w:left="426" w:hanging="426"/>
        <w:jc w:val="both"/>
        <w:rPr>
          <w:rFonts w:ascii="Cambria" w:eastAsia="Cambria" w:hAnsi="Cambria" w:cs="Cambria"/>
          <w:sz w:val="20"/>
          <w:szCs w:val="20"/>
        </w:rPr>
      </w:pPr>
      <w:r w:rsidRPr="00C12BDA">
        <w:rPr>
          <w:rFonts w:ascii="Cambria" w:hAnsi="Cambria"/>
          <w:sz w:val="20"/>
        </w:rPr>
        <w:t>Las CPC se asegurarán de que existe un procedimiento establecido para contactar y ser contactado por el observador y el buque, y de que este procedimiento prevé un contacto regular programado con los observadores para confirmar su estado de salud, seguridad y bienestar. Las CPC se asegurarán de que haya un punto de contacto designado para que los observadores desplegados puedan utilizarlo en casos de emergencia.</w:t>
      </w:r>
    </w:p>
    <w:p w14:paraId="22782896" w14:textId="77777777" w:rsidR="00656F9C" w:rsidRPr="00C12BDA" w:rsidRDefault="00656F9C" w:rsidP="00656F9C">
      <w:pPr>
        <w:rPr>
          <w:rFonts w:ascii="Cambria" w:eastAsia="Cambria" w:hAnsi="Cambria" w:cs="Cambria"/>
          <w:sz w:val="20"/>
          <w:szCs w:val="20"/>
        </w:rPr>
      </w:pPr>
    </w:p>
    <w:p w14:paraId="6D88468C" w14:textId="4A39019C" w:rsidR="00656F9C" w:rsidRPr="00C12BDA" w:rsidRDefault="00656F9C" w:rsidP="00D4232F">
      <w:pPr>
        <w:pStyle w:val="ListParagraph"/>
        <w:numPr>
          <w:ilvl w:val="0"/>
          <w:numId w:val="1"/>
        </w:numPr>
        <w:spacing w:line="240" w:lineRule="auto"/>
        <w:ind w:left="426" w:hanging="426"/>
        <w:jc w:val="both"/>
        <w:rPr>
          <w:rFonts w:ascii="Cambria" w:eastAsia="Cambria" w:hAnsi="Cambria" w:cs="Cambria"/>
          <w:sz w:val="20"/>
          <w:szCs w:val="20"/>
        </w:rPr>
      </w:pPr>
      <w:r w:rsidRPr="00C12BDA">
        <w:rPr>
          <w:rFonts w:ascii="Cambria" w:hAnsi="Cambria"/>
          <w:color w:val="000000"/>
          <w:sz w:val="20"/>
        </w:rPr>
        <w:t xml:space="preserve">Las CPC desarrollarán e implementarán un protocolo de emergencia que describa claramente qué acciones deben emprenderse en caso de diversas emergencias, lo que incluye situaciones en las que el observador muera, desaparezca o supuestamente haya caído por la borda, padezca una enfermedad o herida graves que pongan en peligro su salud o seguridad, haya sido agredido, intimidado, amenazado o acosado mientras está a bordo de un buque o si el observador pide ser retirado del buque antes de la conclusión de la marea. </w:t>
      </w:r>
    </w:p>
    <w:p w14:paraId="7E190B38" w14:textId="77777777" w:rsidR="007D5060" w:rsidRPr="00C12BDA" w:rsidRDefault="007D5060" w:rsidP="007D5060">
      <w:pPr>
        <w:pStyle w:val="ListParagraph"/>
        <w:rPr>
          <w:rFonts w:ascii="Cambria" w:eastAsia="Cambria" w:hAnsi="Cambria" w:cs="Cambria"/>
          <w:sz w:val="20"/>
          <w:szCs w:val="20"/>
        </w:rPr>
      </w:pPr>
    </w:p>
    <w:p w14:paraId="5EA835A8" w14:textId="3BE2D8D9" w:rsidR="007604B1" w:rsidRPr="00C12BDA" w:rsidRDefault="007604B1" w:rsidP="007604B1">
      <w:pPr>
        <w:pStyle w:val="ListParagraph"/>
        <w:numPr>
          <w:ilvl w:val="0"/>
          <w:numId w:val="1"/>
        </w:numPr>
        <w:spacing w:line="240" w:lineRule="auto"/>
        <w:ind w:left="426" w:hanging="426"/>
        <w:jc w:val="both"/>
        <w:rPr>
          <w:rFonts w:ascii="Cambria" w:eastAsia="Cambria" w:hAnsi="Cambria" w:cs="Cambria"/>
          <w:sz w:val="20"/>
          <w:szCs w:val="20"/>
        </w:rPr>
      </w:pPr>
      <w:r w:rsidRPr="00C12BDA">
        <w:rPr>
          <w:rFonts w:ascii="Cambria" w:hAnsi="Cambria"/>
          <w:sz w:val="20"/>
        </w:rPr>
        <w:t xml:space="preserve">Las CPC de pabellón con buques que transporten observadores cubiertos por esta Recomendación presentarán al secretario ejecutivo, de conformidad con las leyes </w:t>
      </w:r>
      <w:r w:rsidR="009D75CC" w:rsidRPr="00C12BDA">
        <w:rPr>
          <w:rFonts w:ascii="Cambria" w:hAnsi="Cambria"/>
          <w:sz w:val="20"/>
        </w:rPr>
        <w:t>internas</w:t>
      </w:r>
      <w:r w:rsidRPr="00C12BDA">
        <w:rPr>
          <w:rFonts w:ascii="Cambria" w:hAnsi="Cambria"/>
          <w:sz w:val="20"/>
        </w:rPr>
        <w:t xml:space="preserve"> sobre confidencialidad y privacidad, informes sobre incidentes con observadores que impliquen heridas graves, </w:t>
      </w:r>
      <w:r w:rsidR="00E80F5F" w:rsidRPr="00C12BDA">
        <w:rPr>
          <w:rFonts w:ascii="Cambria" w:hAnsi="Cambria"/>
          <w:sz w:val="20"/>
        </w:rPr>
        <w:t>fallecimiento</w:t>
      </w:r>
      <w:r w:rsidRPr="00C12BDA">
        <w:rPr>
          <w:rFonts w:ascii="Cambria" w:hAnsi="Cambria"/>
          <w:sz w:val="20"/>
        </w:rPr>
        <w:t xml:space="preserve">, o en el caso de un observador desaparecido o que </w:t>
      </w:r>
      <w:r w:rsidR="00A4128F" w:rsidRPr="00C12BDA">
        <w:rPr>
          <w:rFonts w:ascii="Cambria" w:hAnsi="Cambria"/>
          <w:sz w:val="20"/>
        </w:rPr>
        <w:t>presuntamente haya</w:t>
      </w:r>
      <w:r w:rsidRPr="00C12BDA">
        <w:rPr>
          <w:rFonts w:ascii="Cambria" w:hAnsi="Cambria"/>
          <w:sz w:val="20"/>
        </w:rPr>
        <w:t xml:space="preserve"> caído por la borda, incluyendo en ellos cualquier acción correctiva emprendida por la CPC de pabellón. El secretario ejecutivo de ICCAT transmitirá estos </w:t>
      </w:r>
      <w:r w:rsidR="00A4128F" w:rsidRPr="00C12BDA">
        <w:rPr>
          <w:rFonts w:ascii="Cambria" w:hAnsi="Cambria"/>
          <w:sz w:val="20"/>
        </w:rPr>
        <w:t>informes a</w:t>
      </w:r>
      <w:r w:rsidRPr="00C12BDA">
        <w:rPr>
          <w:rFonts w:ascii="Cambria" w:hAnsi="Cambria"/>
          <w:sz w:val="20"/>
        </w:rPr>
        <w:t xml:space="preserve"> la Comisión, de un modo acorde con las </w:t>
      </w:r>
      <w:r w:rsidR="00E3381B" w:rsidRPr="00C12BDA">
        <w:rPr>
          <w:rFonts w:ascii="Cambria" w:hAnsi="Cambria"/>
          <w:sz w:val="20"/>
        </w:rPr>
        <w:t>n</w:t>
      </w:r>
      <w:r w:rsidR="001F2FAA" w:rsidRPr="00C12BDA">
        <w:rPr>
          <w:rFonts w:ascii="Cambria" w:hAnsi="Cambria"/>
          <w:sz w:val="20"/>
        </w:rPr>
        <w:t>ormas y procedimientos para la protección, acceso y difusión de los datos compilados por ICCAT</w:t>
      </w:r>
      <w:r w:rsidRPr="00C12BDA">
        <w:rPr>
          <w:rFonts w:ascii="Cambria" w:hAnsi="Cambria"/>
          <w:sz w:val="20"/>
        </w:rPr>
        <w:t xml:space="preserve">, para su </w:t>
      </w:r>
      <w:r w:rsidR="00E80F5F" w:rsidRPr="00C12BDA">
        <w:rPr>
          <w:rFonts w:ascii="Cambria" w:hAnsi="Cambria"/>
          <w:sz w:val="20"/>
        </w:rPr>
        <w:t>examen</w:t>
      </w:r>
      <w:r w:rsidRPr="00C12BDA">
        <w:rPr>
          <w:rFonts w:ascii="Cambria" w:hAnsi="Cambria"/>
          <w:sz w:val="20"/>
        </w:rPr>
        <w:t xml:space="preserve"> en cada reunión anual o, cuando esté justificado, con más frecuencia. </w:t>
      </w:r>
    </w:p>
    <w:p w14:paraId="0000002F" w14:textId="77777777" w:rsidR="00907779" w:rsidRPr="00C12BDA" w:rsidRDefault="00907779" w:rsidP="00904027">
      <w:pPr>
        <w:spacing w:line="240" w:lineRule="auto"/>
        <w:jc w:val="both"/>
        <w:rPr>
          <w:rFonts w:ascii="Cambria" w:eastAsia="Cambria" w:hAnsi="Cambria" w:cs="Cambria"/>
          <w:sz w:val="20"/>
          <w:szCs w:val="20"/>
        </w:rPr>
      </w:pPr>
    </w:p>
    <w:p w14:paraId="1C158E53" w14:textId="5DEA902D" w:rsidR="00916A21" w:rsidRPr="00C12BDA" w:rsidRDefault="00916A21" w:rsidP="00916A21">
      <w:pPr>
        <w:pStyle w:val="ListParagraph"/>
        <w:numPr>
          <w:ilvl w:val="0"/>
          <w:numId w:val="1"/>
        </w:numPr>
        <w:spacing w:line="240" w:lineRule="auto"/>
        <w:ind w:left="426" w:hanging="426"/>
        <w:jc w:val="both"/>
        <w:rPr>
          <w:rFonts w:ascii="Cambria" w:eastAsia="Cambria" w:hAnsi="Cambria" w:cs="Cambria"/>
          <w:sz w:val="20"/>
          <w:szCs w:val="20"/>
        </w:rPr>
      </w:pPr>
      <w:r w:rsidRPr="00C12BDA">
        <w:rPr>
          <w:rFonts w:ascii="Cambria" w:hAnsi="Cambria"/>
          <w:sz w:val="20"/>
        </w:rPr>
        <w:t xml:space="preserve">Las CPC del pabellón cooperarán en la mayor medida posible con  otras CPC y/o no CPC pertinentes y facilitarán su participación, según proceda y de conformidad con la legislación interna, en las operaciones de búsqueda y rescate </w:t>
      </w:r>
      <w:r w:rsidR="00E80F5F" w:rsidRPr="00C12BDA">
        <w:rPr>
          <w:rFonts w:ascii="Cambria" w:hAnsi="Cambria"/>
          <w:sz w:val="20"/>
        </w:rPr>
        <w:t>y en las</w:t>
      </w:r>
      <w:r w:rsidRPr="00C12BDA">
        <w:rPr>
          <w:rFonts w:ascii="Cambria" w:hAnsi="Cambria"/>
          <w:sz w:val="20"/>
        </w:rPr>
        <w:t xml:space="preserve"> investigaciones de casos en los que el observador haya fallecido, desaparecido o presuntamente haya caído por la borda, padezca una enfermedad o sufra una lesión grave que suponga un peligro para su salud o seguridad, o haya sido agredido, intimidado, amenazado o acosado mientras se encontraba a bordo de un buque. </w:t>
      </w:r>
    </w:p>
    <w:p w14:paraId="00000037" w14:textId="77777777" w:rsidR="00907779" w:rsidRPr="00C12BDA" w:rsidRDefault="00907779" w:rsidP="00904027">
      <w:pPr>
        <w:spacing w:line="240" w:lineRule="auto"/>
        <w:jc w:val="both"/>
        <w:rPr>
          <w:rFonts w:ascii="Cambria" w:eastAsia="Cambria" w:hAnsi="Cambria" w:cs="Cambria"/>
          <w:sz w:val="20"/>
          <w:szCs w:val="20"/>
        </w:rPr>
      </w:pPr>
    </w:p>
    <w:p w14:paraId="0000003C" w14:textId="735ACAB4" w:rsidR="00907779" w:rsidRPr="00C12BDA" w:rsidRDefault="00682852" w:rsidP="005F7202">
      <w:pPr>
        <w:pStyle w:val="ListParagraph"/>
        <w:numPr>
          <w:ilvl w:val="0"/>
          <w:numId w:val="1"/>
        </w:numPr>
        <w:spacing w:line="240" w:lineRule="auto"/>
        <w:ind w:left="426" w:hanging="426"/>
        <w:jc w:val="both"/>
        <w:rPr>
          <w:rFonts w:ascii="Cambria" w:eastAsia="Cambria" w:hAnsi="Cambria" w:cs="Cambria"/>
          <w:sz w:val="20"/>
          <w:szCs w:val="20"/>
        </w:rPr>
      </w:pPr>
      <w:r w:rsidRPr="00C12BDA">
        <w:rPr>
          <w:rFonts w:ascii="Cambria" w:hAnsi="Cambria"/>
          <w:sz w:val="20"/>
        </w:rPr>
        <w:t xml:space="preserve">Ninguna disposición de esta </w:t>
      </w:r>
      <w:r w:rsidR="00E80F5F" w:rsidRPr="00C12BDA">
        <w:rPr>
          <w:rFonts w:ascii="Cambria" w:hAnsi="Cambria"/>
          <w:sz w:val="20"/>
        </w:rPr>
        <w:t xml:space="preserve">Recomendación </w:t>
      </w:r>
      <w:r w:rsidRPr="00C12BDA">
        <w:rPr>
          <w:rFonts w:ascii="Cambria" w:hAnsi="Cambria"/>
          <w:sz w:val="20"/>
        </w:rPr>
        <w:t>irá en perjuicio del ejercicio del criterio de</w:t>
      </w:r>
      <w:r w:rsidR="00E80F5F" w:rsidRPr="00C12BDA">
        <w:rPr>
          <w:rFonts w:ascii="Cambria" w:hAnsi="Cambria"/>
          <w:sz w:val="20"/>
        </w:rPr>
        <w:t xml:space="preserve"> las</w:t>
      </w:r>
      <w:r w:rsidRPr="00C12BDA">
        <w:rPr>
          <w:rFonts w:ascii="Cambria" w:hAnsi="Cambria"/>
          <w:sz w:val="20"/>
        </w:rPr>
        <w:t xml:space="preserve"> autoridades pertinentes de la CPC de no asignar a un observador a un buque si considera que existe algún riesgo para la salud, seguridad y bienestar del observador. </w:t>
      </w:r>
    </w:p>
    <w:p w14:paraId="0000003D" w14:textId="77777777" w:rsidR="00907779" w:rsidRPr="00C12BDA" w:rsidRDefault="00907779" w:rsidP="00904027">
      <w:pPr>
        <w:spacing w:line="240" w:lineRule="auto"/>
        <w:jc w:val="both"/>
        <w:rPr>
          <w:rFonts w:ascii="Cambria" w:eastAsia="Cambria" w:hAnsi="Cambria" w:cs="Cambria"/>
          <w:sz w:val="20"/>
          <w:szCs w:val="20"/>
        </w:rPr>
      </w:pPr>
    </w:p>
    <w:p w14:paraId="0000003E" w14:textId="01239B89" w:rsidR="00907779" w:rsidRPr="00C12BDA" w:rsidRDefault="00682852" w:rsidP="005F7202">
      <w:pPr>
        <w:pStyle w:val="ListParagraph"/>
        <w:numPr>
          <w:ilvl w:val="0"/>
          <w:numId w:val="1"/>
        </w:numPr>
        <w:spacing w:line="240" w:lineRule="auto"/>
        <w:ind w:left="426" w:hanging="426"/>
        <w:jc w:val="both"/>
        <w:rPr>
          <w:rFonts w:ascii="Cambria" w:eastAsia="Cambria" w:hAnsi="Cambria" w:cs="Cambria"/>
          <w:sz w:val="20"/>
          <w:szCs w:val="20"/>
        </w:rPr>
      </w:pPr>
      <w:r w:rsidRPr="00C12BDA">
        <w:rPr>
          <w:rFonts w:ascii="Cambria" w:hAnsi="Cambria"/>
          <w:sz w:val="20"/>
        </w:rPr>
        <w:lastRenderedPageBreak/>
        <w:t xml:space="preserve">Ninguna disposición de esta medida obrará en perjuicio de los derechos de las CPC pertinentes a aplicar su legislación en materia de seguridad de los observadores de un modo acorde con el derecho internacional. </w:t>
      </w:r>
    </w:p>
    <w:p w14:paraId="0000003F" w14:textId="77777777" w:rsidR="00907779" w:rsidRPr="00C12BDA" w:rsidRDefault="00907779" w:rsidP="00904027">
      <w:pPr>
        <w:spacing w:line="240" w:lineRule="auto"/>
        <w:jc w:val="both"/>
        <w:rPr>
          <w:rFonts w:ascii="Cambria" w:eastAsia="Cambria" w:hAnsi="Cambria" w:cs="Cambria"/>
          <w:sz w:val="20"/>
          <w:szCs w:val="20"/>
        </w:rPr>
      </w:pPr>
    </w:p>
    <w:p w14:paraId="0B230838" w14:textId="5DA2F456" w:rsidR="00E80F5F" w:rsidRPr="00C12BDA" w:rsidRDefault="00682852" w:rsidP="00E80F5F">
      <w:pPr>
        <w:pStyle w:val="ListParagraph"/>
        <w:numPr>
          <w:ilvl w:val="0"/>
          <w:numId w:val="1"/>
        </w:numPr>
        <w:spacing w:line="240" w:lineRule="auto"/>
        <w:ind w:left="426" w:hanging="426"/>
        <w:jc w:val="both"/>
        <w:rPr>
          <w:rFonts w:ascii="Cambria" w:hAnsi="Cambria"/>
          <w:sz w:val="20"/>
          <w:lang w:val="es-CO"/>
        </w:rPr>
      </w:pPr>
      <w:r w:rsidRPr="00C12BDA">
        <w:rPr>
          <w:rFonts w:ascii="Cambria" w:hAnsi="Cambria"/>
          <w:sz w:val="20"/>
        </w:rPr>
        <w:t xml:space="preserve">Esta Recomendación se revisará tres años después de su adopción, teniendo en cuenta cualquier orientación de la FAO sobre normas relacionadas con la seguridad de los observadores pesqueros, tal y como solicitó el </w:t>
      </w:r>
      <w:r w:rsidR="00E80F5F" w:rsidRPr="00C12BDA">
        <w:rPr>
          <w:rFonts w:ascii="Cambria" w:hAnsi="Cambria"/>
          <w:sz w:val="20"/>
          <w:lang w:val="es-CO"/>
        </w:rPr>
        <w:t>Grupo mixto especial de trabajo FAO/OMI/OIT sobre la pesca IUU y cuestiones conexas.</w:t>
      </w:r>
    </w:p>
    <w:p w14:paraId="6F4C4F72" w14:textId="77777777" w:rsidR="00E80F5F" w:rsidRPr="00C12BDA" w:rsidRDefault="00E80F5F" w:rsidP="00E80F5F">
      <w:pPr>
        <w:pStyle w:val="ListParagraph"/>
        <w:rPr>
          <w:rFonts w:ascii="Cambria" w:hAnsi="Cambria"/>
          <w:sz w:val="20"/>
          <w:lang w:val="es-CO"/>
        </w:rPr>
      </w:pPr>
    </w:p>
    <w:p w14:paraId="00000080" w14:textId="77777777" w:rsidR="00907779" w:rsidRPr="00C12BDA" w:rsidRDefault="00907779" w:rsidP="00904027">
      <w:pPr>
        <w:spacing w:line="240" w:lineRule="auto"/>
        <w:jc w:val="both"/>
        <w:rPr>
          <w:rFonts w:ascii="Cambria" w:eastAsia="Cambria" w:hAnsi="Cambria" w:cs="Cambria"/>
          <w:sz w:val="20"/>
          <w:szCs w:val="20"/>
          <w:lang w:val="es-CO"/>
        </w:rPr>
      </w:pPr>
    </w:p>
    <w:sectPr w:rsidR="00907779" w:rsidRPr="00C12BDA" w:rsidSect="005003E7">
      <w:footerReference w:type="default" r:id="rId8"/>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B6AA9" w14:textId="77777777" w:rsidR="00667DE8" w:rsidRDefault="00667DE8" w:rsidP="00226CF0">
      <w:pPr>
        <w:spacing w:line="240" w:lineRule="auto"/>
      </w:pPr>
      <w:r>
        <w:separator/>
      </w:r>
    </w:p>
  </w:endnote>
  <w:endnote w:type="continuationSeparator" w:id="0">
    <w:p w14:paraId="77183F5D" w14:textId="77777777" w:rsidR="00667DE8" w:rsidRDefault="00667DE8" w:rsidP="00226C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365F8" w14:textId="5EE4F799" w:rsidR="008253CA" w:rsidRPr="008253CA" w:rsidRDefault="008253CA" w:rsidP="008253CA">
    <w:pPr>
      <w:tabs>
        <w:tab w:val="center" w:pos="4513"/>
        <w:tab w:val="right" w:pos="9026"/>
      </w:tabs>
      <w:spacing w:line="240" w:lineRule="auto"/>
      <w:jc w:val="center"/>
      <w:rPr>
        <w:rFonts w:ascii="Cambria" w:eastAsia="Calibri" w:hAnsi="Cambria"/>
        <w:sz w:val="20"/>
        <w:szCs w:val="20"/>
      </w:rPr>
    </w:pPr>
    <w:r w:rsidRPr="008253CA">
      <w:rPr>
        <w:rFonts w:ascii="Cambria" w:eastAsia="Calibri" w:hAnsi="Cambria"/>
        <w:sz w:val="20"/>
      </w:rPr>
      <w:fldChar w:fldCharType="begin"/>
    </w:r>
    <w:r w:rsidRPr="008253CA">
      <w:rPr>
        <w:rFonts w:ascii="Cambria" w:eastAsia="Calibri" w:hAnsi="Cambria"/>
        <w:sz w:val="20"/>
      </w:rPr>
      <w:instrText xml:space="preserve"> PAGE </w:instrText>
    </w:r>
    <w:r w:rsidRPr="008253CA">
      <w:rPr>
        <w:rFonts w:ascii="Cambria" w:eastAsia="Calibri" w:hAnsi="Cambria"/>
        <w:sz w:val="20"/>
      </w:rPr>
      <w:fldChar w:fldCharType="separate"/>
    </w:r>
    <w:r w:rsidRPr="008253CA">
      <w:rPr>
        <w:rFonts w:ascii="Cambria" w:eastAsia="Calibri" w:hAnsi="Cambria"/>
        <w:sz w:val="20"/>
      </w:rPr>
      <w:t>1</w:t>
    </w:r>
    <w:r w:rsidRPr="008253CA">
      <w:rPr>
        <w:rFonts w:ascii="Cambria" w:eastAsia="Calibri" w:hAnsi="Cambria"/>
        <w:sz w:val="20"/>
      </w:rPr>
      <w:fldChar w:fldCharType="end"/>
    </w:r>
    <w:r>
      <w:rPr>
        <w:rFonts w:ascii="Cambria" w:hAnsi="Cambri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EA60F" w14:textId="77777777" w:rsidR="00667DE8" w:rsidRDefault="00667DE8" w:rsidP="00226CF0">
      <w:pPr>
        <w:spacing w:line="240" w:lineRule="auto"/>
      </w:pPr>
      <w:r>
        <w:separator/>
      </w:r>
    </w:p>
  </w:footnote>
  <w:footnote w:type="continuationSeparator" w:id="0">
    <w:p w14:paraId="6A0B1437" w14:textId="77777777" w:rsidR="00667DE8" w:rsidRDefault="00667DE8" w:rsidP="00226C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DF0686"/>
    <w:multiLevelType w:val="hybridMultilevel"/>
    <w:tmpl w:val="D4266F0E"/>
    <w:lvl w:ilvl="0" w:tplc="23029022">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15:restartNumberingAfterBreak="0">
    <w:nsid w:val="734613B4"/>
    <w:multiLevelType w:val="hybridMultilevel"/>
    <w:tmpl w:val="A34AF044"/>
    <w:lvl w:ilvl="0" w:tplc="E1AAC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2102801177">
    <w:abstractNumId w:val="1"/>
  </w:num>
  <w:num w:numId="2" w16cid:durableId="37125249">
    <w:abstractNumId w:val="2"/>
  </w:num>
  <w:num w:numId="3" w16cid:durableId="106170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79"/>
    <w:rsid w:val="0000426C"/>
    <w:rsid w:val="00075733"/>
    <w:rsid w:val="0007666D"/>
    <w:rsid w:val="000866E5"/>
    <w:rsid w:val="00096F94"/>
    <w:rsid w:val="000D182E"/>
    <w:rsid w:val="000F62E5"/>
    <w:rsid w:val="00100C53"/>
    <w:rsid w:val="001042ED"/>
    <w:rsid w:val="00140658"/>
    <w:rsid w:val="00150360"/>
    <w:rsid w:val="0016634A"/>
    <w:rsid w:val="001D1038"/>
    <w:rsid w:val="001D3AE3"/>
    <w:rsid w:val="001F2FAA"/>
    <w:rsid w:val="00226CF0"/>
    <w:rsid w:val="00237BA9"/>
    <w:rsid w:val="002437AE"/>
    <w:rsid w:val="00251EBE"/>
    <w:rsid w:val="002673A2"/>
    <w:rsid w:val="00280A40"/>
    <w:rsid w:val="00282D83"/>
    <w:rsid w:val="002924D8"/>
    <w:rsid w:val="00294E2E"/>
    <w:rsid w:val="00295A15"/>
    <w:rsid w:val="002D5DDA"/>
    <w:rsid w:val="00334A5F"/>
    <w:rsid w:val="003476A4"/>
    <w:rsid w:val="003512A8"/>
    <w:rsid w:val="003631B8"/>
    <w:rsid w:val="00377B16"/>
    <w:rsid w:val="00395694"/>
    <w:rsid w:val="003A043C"/>
    <w:rsid w:val="0041322A"/>
    <w:rsid w:val="00420DB1"/>
    <w:rsid w:val="00422E4B"/>
    <w:rsid w:val="00440E8E"/>
    <w:rsid w:val="0047089C"/>
    <w:rsid w:val="00480BAB"/>
    <w:rsid w:val="004E66E2"/>
    <w:rsid w:val="004F189B"/>
    <w:rsid w:val="005003E7"/>
    <w:rsid w:val="005065D1"/>
    <w:rsid w:val="00512BBE"/>
    <w:rsid w:val="00536131"/>
    <w:rsid w:val="0058515D"/>
    <w:rsid w:val="005A698C"/>
    <w:rsid w:val="005B6F36"/>
    <w:rsid w:val="005C6F3E"/>
    <w:rsid w:val="005D1CE9"/>
    <w:rsid w:val="005D7C2B"/>
    <w:rsid w:val="005E7A7F"/>
    <w:rsid w:val="005F7202"/>
    <w:rsid w:val="00602D5A"/>
    <w:rsid w:val="00604E70"/>
    <w:rsid w:val="00656F9C"/>
    <w:rsid w:val="00667DE8"/>
    <w:rsid w:val="00682852"/>
    <w:rsid w:val="00745BF1"/>
    <w:rsid w:val="00746C1E"/>
    <w:rsid w:val="007604B1"/>
    <w:rsid w:val="00781A48"/>
    <w:rsid w:val="00783420"/>
    <w:rsid w:val="007D5060"/>
    <w:rsid w:val="007E1996"/>
    <w:rsid w:val="00807D02"/>
    <w:rsid w:val="008253CA"/>
    <w:rsid w:val="00842B66"/>
    <w:rsid w:val="0085092B"/>
    <w:rsid w:val="00895131"/>
    <w:rsid w:val="008A0E9D"/>
    <w:rsid w:val="008A436D"/>
    <w:rsid w:val="008A500B"/>
    <w:rsid w:val="008D6740"/>
    <w:rsid w:val="00904027"/>
    <w:rsid w:val="00907779"/>
    <w:rsid w:val="00907F4B"/>
    <w:rsid w:val="00916A21"/>
    <w:rsid w:val="00925490"/>
    <w:rsid w:val="009B26BE"/>
    <w:rsid w:val="009C7D0F"/>
    <w:rsid w:val="009D2006"/>
    <w:rsid w:val="009D75CC"/>
    <w:rsid w:val="00A314A4"/>
    <w:rsid w:val="00A31620"/>
    <w:rsid w:val="00A4128F"/>
    <w:rsid w:val="00A4355D"/>
    <w:rsid w:val="00A609B8"/>
    <w:rsid w:val="00A62115"/>
    <w:rsid w:val="00A83EB1"/>
    <w:rsid w:val="00A95447"/>
    <w:rsid w:val="00A9791A"/>
    <w:rsid w:val="00AA3796"/>
    <w:rsid w:val="00AC20A7"/>
    <w:rsid w:val="00AE6EDB"/>
    <w:rsid w:val="00B177AB"/>
    <w:rsid w:val="00B2603C"/>
    <w:rsid w:val="00B37889"/>
    <w:rsid w:val="00B44DD2"/>
    <w:rsid w:val="00B5667B"/>
    <w:rsid w:val="00B644BE"/>
    <w:rsid w:val="00B75A59"/>
    <w:rsid w:val="00B93F24"/>
    <w:rsid w:val="00BB3DF2"/>
    <w:rsid w:val="00BD4B61"/>
    <w:rsid w:val="00C077A7"/>
    <w:rsid w:val="00C12BDA"/>
    <w:rsid w:val="00C7106B"/>
    <w:rsid w:val="00C91430"/>
    <w:rsid w:val="00D4413C"/>
    <w:rsid w:val="00D53A71"/>
    <w:rsid w:val="00D74F32"/>
    <w:rsid w:val="00DB07FC"/>
    <w:rsid w:val="00DB0F23"/>
    <w:rsid w:val="00E3381B"/>
    <w:rsid w:val="00E51B40"/>
    <w:rsid w:val="00E80F5F"/>
    <w:rsid w:val="00ED0FBC"/>
    <w:rsid w:val="00EE4ED1"/>
    <w:rsid w:val="00EF72AD"/>
    <w:rsid w:val="00F253A6"/>
    <w:rsid w:val="00F36AF6"/>
    <w:rsid w:val="00F56404"/>
    <w:rsid w:val="00F57C15"/>
    <w:rsid w:val="00F76BB4"/>
    <w:rsid w:val="00FB4699"/>
    <w:rsid w:val="00FC3C37"/>
    <w:rsid w:val="00FE2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8890"/>
  <w15:docId w15:val="{BD49B310-7773-4367-87DD-F0B6A8DD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4F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F32"/>
    <w:rPr>
      <w:rFonts w:ascii="Segoe UI" w:hAnsi="Segoe UI" w:cs="Segoe UI"/>
      <w:sz w:val="18"/>
      <w:szCs w:val="18"/>
    </w:rPr>
  </w:style>
  <w:style w:type="paragraph" w:styleId="Revision">
    <w:name w:val="Revision"/>
    <w:hidden/>
    <w:uiPriority w:val="99"/>
    <w:semiHidden/>
    <w:rsid w:val="00895131"/>
    <w:pPr>
      <w:spacing w:line="240" w:lineRule="auto"/>
    </w:pPr>
  </w:style>
  <w:style w:type="paragraph" w:styleId="CommentSubject">
    <w:name w:val="annotation subject"/>
    <w:basedOn w:val="CommentText"/>
    <w:next w:val="CommentText"/>
    <w:link w:val="CommentSubjectChar"/>
    <w:uiPriority w:val="99"/>
    <w:semiHidden/>
    <w:unhideWhenUsed/>
    <w:rsid w:val="00DB07FC"/>
    <w:rPr>
      <w:b/>
      <w:bCs/>
    </w:rPr>
  </w:style>
  <w:style w:type="character" w:customStyle="1" w:styleId="CommentSubjectChar">
    <w:name w:val="Comment Subject Char"/>
    <w:basedOn w:val="CommentTextChar"/>
    <w:link w:val="CommentSubject"/>
    <w:uiPriority w:val="99"/>
    <w:semiHidden/>
    <w:rsid w:val="00DB07FC"/>
    <w:rPr>
      <w:b/>
      <w:bCs/>
      <w:sz w:val="20"/>
      <w:szCs w:val="20"/>
    </w:rPr>
  </w:style>
  <w:style w:type="paragraph" w:styleId="Header">
    <w:name w:val="header"/>
    <w:basedOn w:val="Normal"/>
    <w:link w:val="HeaderChar"/>
    <w:uiPriority w:val="99"/>
    <w:unhideWhenUsed/>
    <w:rsid w:val="00226CF0"/>
    <w:pPr>
      <w:tabs>
        <w:tab w:val="center" w:pos="4680"/>
        <w:tab w:val="right" w:pos="9360"/>
      </w:tabs>
      <w:spacing w:line="240" w:lineRule="auto"/>
    </w:pPr>
  </w:style>
  <w:style w:type="character" w:customStyle="1" w:styleId="HeaderChar">
    <w:name w:val="Header Char"/>
    <w:basedOn w:val="DefaultParagraphFont"/>
    <w:link w:val="Header"/>
    <w:uiPriority w:val="99"/>
    <w:rsid w:val="00226CF0"/>
  </w:style>
  <w:style w:type="paragraph" w:styleId="Footer">
    <w:name w:val="footer"/>
    <w:basedOn w:val="Normal"/>
    <w:link w:val="FooterChar"/>
    <w:uiPriority w:val="99"/>
    <w:unhideWhenUsed/>
    <w:rsid w:val="00226CF0"/>
    <w:pPr>
      <w:tabs>
        <w:tab w:val="center" w:pos="4680"/>
        <w:tab w:val="right" w:pos="9360"/>
      </w:tabs>
      <w:spacing w:line="240" w:lineRule="auto"/>
    </w:pPr>
  </w:style>
  <w:style w:type="character" w:customStyle="1" w:styleId="FooterChar">
    <w:name w:val="Footer Char"/>
    <w:basedOn w:val="DefaultParagraphFont"/>
    <w:link w:val="Footer"/>
    <w:uiPriority w:val="99"/>
    <w:rsid w:val="00226CF0"/>
  </w:style>
  <w:style w:type="paragraph" w:styleId="ListParagraph">
    <w:name w:val="List Paragraph"/>
    <w:basedOn w:val="Normal"/>
    <w:uiPriority w:val="34"/>
    <w:qFormat/>
    <w:rsid w:val="005F7202"/>
    <w:pPr>
      <w:ind w:left="720"/>
      <w:contextualSpacing/>
    </w:pPr>
  </w:style>
  <w:style w:type="character" w:styleId="Hyperlink">
    <w:name w:val="Hyperlink"/>
    <w:basedOn w:val="DefaultParagraphFont"/>
    <w:uiPriority w:val="99"/>
    <w:unhideWhenUsed/>
    <w:rsid w:val="00150360"/>
    <w:rPr>
      <w:color w:val="0000FF" w:themeColor="hyperlink"/>
      <w:u w:val="single"/>
    </w:rPr>
  </w:style>
  <w:style w:type="character" w:styleId="UnresolvedMention">
    <w:name w:val="Unresolved Mention"/>
    <w:basedOn w:val="DefaultParagraphFont"/>
    <w:uiPriority w:val="99"/>
    <w:semiHidden/>
    <w:unhideWhenUsed/>
    <w:rsid w:val="00150360"/>
    <w:rPr>
      <w:color w:val="605E5C"/>
      <w:shd w:val="clear" w:color="auto" w:fill="E1DFDD"/>
    </w:rPr>
  </w:style>
  <w:style w:type="paragraph" w:customStyle="1" w:styleId="Style1">
    <w:name w:val="Style1"/>
    <w:basedOn w:val="Normal"/>
    <w:link w:val="Style1Char"/>
    <w:qFormat/>
    <w:rsid w:val="005003E7"/>
    <w:pPr>
      <w:pBdr>
        <w:top w:val="double" w:sz="4" w:space="4" w:color="auto"/>
        <w:left w:val="double" w:sz="4" w:space="4" w:color="auto"/>
        <w:bottom w:val="double" w:sz="4" w:space="4" w:color="auto"/>
        <w:right w:val="double" w:sz="4" w:space="4" w:color="auto"/>
      </w:pBdr>
      <w:tabs>
        <w:tab w:val="left" w:pos="8505"/>
      </w:tabs>
      <w:autoSpaceDE w:val="0"/>
      <w:autoSpaceDN w:val="0"/>
      <w:adjustRightInd w:val="0"/>
      <w:spacing w:line="240" w:lineRule="auto"/>
      <w:jc w:val="center"/>
    </w:pPr>
    <w:rPr>
      <w:rFonts w:ascii="Cambria" w:eastAsia="Times New Roman" w:hAnsi="Cambria" w:cs="Times New Roman"/>
      <w:b/>
      <w:sz w:val="20"/>
      <w:szCs w:val="20"/>
    </w:rPr>
  </w:style>
  <w:style w:type="character" w:customStyle="1" w:styleId="Style1Char">
    <w:name w:val="Style1 Char"/>
    <w:basedOn w:val="DefaultParagraphFont"/>
    <w:link w:val="Style1"/>
    <w:rsid w:val="005003E7"/>
    <w:rPr>
      <w:rFonts w:ascii="Cambria" w:eastAsia="Times New Roman" w:hAnsi="Cambria"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84928">
      <w:bodyDiv w:val="1"/>
      <w:marLeft w:val="0"/>
      <w:marRight w:val="0"/>
      <w:marTop w:val="0"/>
      <w:marBottom w:val="0"/>
      <w:divBdr>
        <w:top w:val="none" w:sz="0" w:space="0" w:color="auto"/>
        <w:left w:val="none" w:sz="0" w:space="0" w:color="auto"/>
        <w:bottom w:val="none" w:sz="0" w:space="0" w:color="auto"/>
        <w:right w:val="none" w:sz="0" w:space="0" w:color="auto"/>
      </w:divBdr>
    </w:div>
    <w:div w:id="1101098254">
      <w:bodyDiv w:val="1"/>
      <w:marLeft w:val="0"/>
      <w:marRight w:val="0"/>
      <w:marTop w:val="0"/>
      <w:marBottom w:val="0"/>
      <w:divBdr>
        <w:top w:val="none" w:sz="0" w:space="0" w:color="auto"/>
        <w:left w:val="none" w:sz="0" w:space="0" w:color="auto"/>
        <w:bottom w:val="none" w:sz="0" w:space="0" w:color="auto"/>
        <w:right w:val="none" w:sz="0" w:space="0" w:color="auto"/>
      </w:divBdr>
    </w:div>
    <w:div w:id="2136093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EE0E6-563D-43CC-88C7-E58FC5175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Madison.Harris</dc:creator>
  <cp:lastModifiedBy>autor</cp:lastModifiedBy>
  <cp:revision>9</cp:revision>
  <dcterms:created xsi:type="dcterms:W3CDTF">2024-11-17T08:47:00Z</dcterms:created>
  <dcterms:modified xsi:type="dcterms:W3CDTF">2024-12-04T09:17:00Z</dcterms:modified>
</cp:coreProperties>
</file>