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699A2" w14:textId="1A11EDE7" w:rsidR="0032689A" w:rsidRPr="00B0488C" w:rsidRDefault="0032689A" w:rsidP="0032689A">
      <w:pPr>
        <w:pBdr>
          <w:top w:val="double" w:sz="4" w:space="1" w:color="auto"/>
          <w:left w:val="double" w:sz="4" w:space="4" w:color="auto"/>
          <w:bottom w:val="double" w:sz="4" w:space="1" w:color="auto"/>
          <w:right w:val="double" w:sz="4" w:space="4" w:color="auto"/>
        </w:pBdr>
        <w:spacing w:line="240" w:lineRule="auto"/>
        <w:jc w:val="both"/>
        <w:rPr>
          <w:rFonts w:asciiTheme="minorHAnsi" w:hAnsiTheme="minorHAnsi"/>
          <w:b/>
          <w:sz w:val="20"/>
          <w:szCs w:val="20"/>
        </w:rPr>
      </w:pPr>
      <w:r w:rsidRPr="00B0488C">
        <w:rPr>
          <w:rFonts w:asciiTheme="minorHAnsi" w:hAnsiTheme="minorHAnsi"/>
          <w:b/>
          <w:sz w:val="20"/>
          <w:szCs w:val="20"/>
        </w:rPr>
        <w:t>24-1</w:t>
      </w:r>
      <w:r w:rsidR="00FD610D" w:rsidRPr="00B0488C">
        <w:rPr>
          <w:rFonts w:asciiTheme="minorHAnsi" w:hAnsiTheme="minorHAnsi"/>
          <w:b/>
          <w:sz w:val="20"/>
          <w:szCs w:val="20"/>
        </w:rPr>
        <w:t>4</w:t>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r>
      <w:r w:rsidR="00B3514F" w:rsidRPr="00B0488C">
        <w:rPr>
          <w:rFonts w:asciiTheme="minorHAnsi" w:hAnsiTheme="minorHAnsi"/>
          <w:b/>
          <w:sz w:val="20"/>
          <w:szCs w:val="20"/>
        </w:rPr>
        <w:tab/>
        <w:t>GEN</w:t>
      </w:r>
    </w:p>
    <w:p w14:paraId="593D4049" w14:textId="77777777" w:rsidR="0032689A" w:rsidRPr="00B0488C" w:rsidRDefault="0032689A" w:rsidP="0032689A">
      <w:pPr>
        <w:pBdr>
          <w:top w:val="double" w:sz="4" w:space="1" w:color="auto"/>
          <w:left w:val="double" w:sz="4" w:space="4" w:color="auto"/>
          <w:bottom w:val="double" w:sz="4" w:space="1" w:color="auto"/>
          <w:right w:val="double" w:sz="4" w:space="4" w:color="auto"/>
        </w:pBdr>
        <w:spacing w:line="240" w:lineRule="auto"/>
        <w:jc w:val="center"/>
        <w:rPr>
          <w:rFonts w:asciiTheme="minorHAnsi" w:hAnsiTheme="minorHAnsi"/>
          <w:b/>
          <w:sz w:val="20"/>
          <w:szCs w:val="20"/>
        </w:rPr>
      </w:pPr>
    </w:p>
    <w:p w14:paraId="481A2025" w14:textId="02F49841" w:rsidR="00F57C15" w:rsidRPr="00B0488C" w:rsidRDefault="0032689A" w:rsidP="0032689A">
      <w:pPr>
        <w:pBdr>
          <w:top w:val="double" w:sz="4" w:space="1" w:color="auto"/>
          <w:left w:val="double" w:sz="4" w:space="4" w:color="auto"/>
          <w:bottom w:val="double" w:sz="4" w:space="1" w:color="auto"/>
          <w:right w:val="double" w:sz="4" w:space="4" w:color="auto"/>
        </w:pBdr>
        <w:spacing w:line="240" w:lineRule="auto"/>
        <w:jc w:val="center"/>
        <w:rPr>
          <w:rFonts w:asciiTheme="minorHAnsi" w:hAnsiTheme="minorHAnsi"/>
          <w:b/>
          <w:sz w:val="20"/>
          <w:szCs w:val="20"/>
        </w:rPr>
      </w:pPr>
      <w:r w:rsidRPr="00B0488C">
        <w:rPr>
          <w:rFonts w:asciiTheme="minorHAnsi" w:hAnsiTheme="minorHAnsi"/>
          <w:b/>
          <w:sz w:val="20"/>
          <w:szCs w:val="20"/>
        </w:rPr>
        <w:t xml:space="preserve">RECOMMANDATION DE L’ICCAT VISANT </w:t>
      </w:r>
      <w:r w:rsidR="007629FD">
        <w:rPr>
          <w:rFonts w:asciiTheme="minorHAnsi" w:hAnsiTheme="minorHAnsi"/>
          <w:b/>
          <w:sz w:val="20"/>
          <w:szCs w:val="20"/>
        </w:rPr>
        <w:t>À</w:t>
      </w:r>
      <w:r w:rsidRPr="00B0488C">
        <w:rPr>
          <w:rFonts w:asciiTheme="minorHAnsi" w:hAnsiTheme="minorHAnsi"/>
          <w:b/>
          <w:sz w:val="20"/>
          <w:szCs w:val="20"/>
        </w:rPr>
        <w:t xml:space="preserve"> PROT</w:t>
      </w:r>
      <w:r w:rsidR="007629FD">
        <w:rPr>
          <w:rFonts w:asciiTheme="minorHAnsi" w:hAnsiTheme="minorHAnsi"/>
          <w:b/>
          <w:sz w:val="20"/>
          <w:szCs w:val="20"/>
        </w:rPr>
        <w:t>É</w:t>
      </w:r>
      <w:r w:rsidRPr="00B0488C">
        <w:rPr>
          <w:rFonts w:asciiTheme="minorHAnsi" w:hAnsiTheme="minorHAnsi"/>
          <w:b/>
          <w:sz w:val="20"/>
          <w:szCs w:val="20"/>
        </w:rPr>
        <w:t>GER LA SANT</w:t>
      </w:r>
      <w:r w:rsidR="007629FD">
        <w:rPr>
          <w:rFonts w:asciiTheme="minorHAnsi" w:hAnsiTheme="minorHAnsi"/>
          <w:b/>
          <w:sz w:val="20"/>
          <w:szCs w:val="20"/>
        </w:rPr>
        <w:t>É</w:t>
      </w:r>
      <w:r w:rsidRPr="00B0488C">
        <w:rPr>
          <w:rFonts w:asciiTheme="minorHAnsi" w:hAnsiTheme="minorHAnsi"/>
          <w:b/>
          <w:sz w:val="20"/>
          <w:szCs w:val="20"/>
        </w:rPr>
        <w:t xml:space="preserve"> ET </w:t>
      </w:r>
      <w:r w:rsidR="007629FD">
        <w:rPr>
          <w:rFonts w:asciiTheme="minorHAnsi" w:hAnsiTheme="minorHAnsi"/>
          <w:b/>
          <w:sz w:val="20"/>
          <w:szCs w:val="20"/>
        </w:rPr>
        <w:t>À</w:t>
      </w:r>
      <w:r w:rsidRPr="00B0488C">
        <w:rPr>
          <w:rFonts w:asciiTheme="minorHAnsi" w:hAnsiTheme="minorHAnsi"/>
          <w:b/>
          <w:sz w:val="20"/>
          <w:szCs w:val="20"/>
        </w:rPr>
        <w:t xml:space="preserve"> GARANTIR LA S</w:t>
      </w:r>
      <w:r w:rsidR="007629FD">
        <w:rPr>
          <w:rFonts w:asciiTheme="minorHAnsi" w:hAnsiTheme="minorHAnsi"/>
          <w:b/>
          <w:sz w:val="20"/>
          <w:szCs w:val="20"/>
        </w:rPr>
        <w:t>É</w:t>
      </w:r>
      <w:r w:rsidRPr="00B0488C">
        <w:rPr>
          <w:rFonts w:asciiTheme="minorHAnsi" w:hAnsiTheme="minorHAnsi"/>
          <w:b/>
          <w:sz w:val="20"/>
          <w:szCs w:val="20"/>
        </w:rPr>
        <w:t>CURIT</w:t>
      </w:r>
      <w:r w:rsidR="007629FD">
        <w:rPr>
          <w:rFonts w:asciiTheme="minorHAnsi" w:hAnsiTheme="minorHAnsi"/>
          <w:b/>
          <w:sz w:val="20"/>
          <w:szCs w:val="20"/>
        </w:rPr>
        <w:t>É</w:t>
      </w:r>
      <w:r w:rsidRPr="00B0488C">
        <w:rPr>
          <w:rFonts w:asciiTheme="minorHAnsi" w:hAnsiTheme="minorHAnsi"/>
          <w:b/>
          <w:sz w:val="20"/>
          <w:szCs w:val="20"/>
        </w:rPr>
        <w:t xml:space="preserve"> DES OBSERVATEURS DANS LE CADRE DES PROGRAMMES D’OBSERVATEURS DES CPC</w:t>
      </w:r>
    </w:p>
    <w:p w14:paraId="07C6D26C" w14:textId="77777777" w:rsidR="0032689A" w:rsidRPr="00B0488C" w:rsidRDefault="0032689A" w:rsidP="0032689A">
      <w:pPr>
        <w:pBdr>
          <w:top w:val="double" w:sz="4" w:space="1" w:color="auto"/>
          <w:left w:val="double" w:sz="4" w:space="4" w:color="auto"/>
          <w:bottom w:val="double" w:sz="4" w:space="1" w:color="auto"/>
          <w:right w:val="double" w:sz="4" w:space="4" w:color="auto"/>
        </w:pBdr>
        <w:spacing w:line="240" w:lineRule="auto"/>
        <w:jc w:val="center"/>
        <w:rPr>
          <w:rFonts w:asciiTheme="minorHAnsi" w:eastAsia="Cambria" w:hAnsiTheme="minorHAnsi" w:cs="Cambria"/>
          <w:b/>
          <w:sz w:val="20"/>
          <w:szCs w:val="20"/>
        </w:rPr>
      </w:pPr>
    </w:p>
    <w:p w14:paraId="38950629" w14:textId="77777777" w:rsidR="00F57C15" w:rsidRPr="00B0488C" w:rsidRDefault="00F57C15" w:rsidP="00904027">
      <w:pPr>
        <w:spacing w:line="240" w:lineRule="auto"/>
        <w:jc w:val="center"/>
        <w:rPr>
          <w:rFonts w:asciiTheme="minorHAnsi" w:eastAsia="Cambria" w:hAnsiTheme="minorHAnsi" w:cs="Cambria"/>
          <w:b/>
          <w:sz w:val="20"/>
          <w:szCs w:val="20"/>
        </w:rPr>
      </w:pPr>
    </w:p>
    <w:p w14:paraId="00000006" w14:textId="4047A7A7" w:rsidR="00907779" w:rsidRPr="00B0488C" w:rsidRDefault="00682852" w:rsidP="00F57C15">
      <w:pPr>
        <w:spacing w:line="240" w:lineRule="auto"/>
        <w:ind w:firstLine="426"/>
        <w:jc w:val="both"/>
        <w:rPr>
          <w:rFonts w:asciiTheme="minorHAnsi" w:eastAsia="Cambria" w:hAnsiTheme="minorHAnsi" w:cs="Cambria"/>
          <w:sz w:val="20"/>
          <w:szCs w:val="20"/>
        </w:rPr>
      </w:pPr>
      <w:r w:rsidRPr="00B0488C">
        <w:rPr>
          <w:rFonts w:asciiTheme="minorHAnsi" w:hAnsiTheme="minorHAnsi"/>
          <w:i/>
          <w:sz w:val="20"/>
          <w:szCs w:val="20"/>
        </w:rPr>
        <w:t>SOULIGNANT</w:t>
      </w:r>
      <w:r w:rsidRPr="00B0488C">
        <w:rPr>
          <w:rFonts w:asciiTheme="minorHAnsi" w:hAnsiTheme="minorHAnsi"/>
          <w:sz w:val="20"/>
          <w:szCs w:val="20"/>
        </w:rPr>
        <w:t xml:space="preserve"> que la sauvegarde des personnes en mer est un objectif de longue date de la gouvernance maritime internationale, que les observateurs recueillent des données qui sont indispensables pour les fonctions de la Commission et que la santé, la sécurité et le bien-être des observateurs </w:t>
      </w:r>
      <w:r w:rsidR="00D13A54" w:rsidRPr="00B0488C">
        <w:rPr>
          <w:rFonts w:asciiTheme="minorHAnsi" w:hAnsiTheme="minorHAnsi"/>
          <w:sz w:val="20"/>
          <w:szCs w:val="20"/>
        </w:rPr>
        <w:t>sont</w:t>
      </w:r>
      <w:r w:rsidRPr="00B0488C">
        <w:rPr>
          <w:rFonts w:asciiTheme="minorHAnsi" w:hAnsiTheme="minorHAnsi"/>
          <w:sz w:val="20"/>
          <w:szCs w:val="20"/>
        </w:rPr>
        <w:t xml:space="preserve"> essentiel</w:t>
      </w:r>
      <w:r w:rsidR="00D13A54" w:rsidRPr="00B0488C">
        <w:rPr>
          <w:rFonts w:asciiTheme="minorHAnsi" w:hAnsiTheme="minorHAnsi"/>
          <w:sz w:val="20"/>
          <w:szCs w:val="20"/>
        </w:rPr>
        <w:t>s</w:t>
      </w:r>
      <w:r w:rsidRPr="00B0488C">
        <w:rPr>
          <w:rFonts w:asciiTheme="minorHAnsi" w:hAnsiTheme="minorHAnsi"/>
          <w:sz w:val="20"/>
          <w:szCs w:val="20"/>
        </w:rPr>
        <w:t xml:space="preserve"> à leur capacité d’exercer leurs fonctions ; </w:t>
      </w:r>
    </w:p>
    <w:p w14:paraId="00000007" w14:textId="77777777" w:rsidR="00907779" w:rsidRPr="00B0488C" w:rsidRDefault="00907779" w:rsidP="00904027">
      <w:pPr>
        <w:spacing w:line="240" w:lineRule="auto"/>
        <w:jc w:val="both"/>
        <w:rPr>
          <w:rFonts w:asciiTheme="minorHAnsi" w:eastAsia="Cambria" w:hAnsiTheme="minorHAnsi" w:cs="Cambria"/>
          <w:sz w:val="20"/>
          <w:szCs w:val="20"/>
        </w:rPr>
      </w:pPr>
    </w:p>
    <w:p w14:paraId="00000008" w14:textId="41EF07D2" w:rsidR="00907779" w:rsidRPr="00B0488C" w:rsidRDefault="00682852" w:rsidP="00F57C15">
      <w:pPr>
        <w:spacing w:line="240" w:lineRule="auto"/>
        <w:ind w:firstLine="426"/>
        <w:jc w:val="both"/>
        <w:rPr>
          <w:rFonts w:asciiTheme="minorHAnsi" w:eastAsia="Cambria" w:hAnsiTheme="minorHAnsi" w:cs="Cambria"/>
          <w:sz w:val="20"/>
          <w:szCs w:val="20"/>
        </w:rPr>
      </w:pPr>
      <w:r w:rsidRPr="00B0488C">
        <w:rPr>
          <w:rFonts w:asciiTheme="minorHAnsi" w:hAnsiTheme="minorHAnsi"/>
          <w:i/>
          <w:sz w:val="20"/>
          <w:szCs w:val="20"/>
        </w:rPr>
        <w:t>RAPPELANT</w:t>
      </w:r>
      <w:r w:rsidRPr="00B0488C">
        <w:rPr>
          <w:rFonts w:asciiTheme="minorHAnsi" w:hAnsiTheme="minorHAnsi"/>
          <w:sz w:val="20"/>
          <w:szCs w:val="20"/>
        </w:rPr>
        <w:t xml:space="preserve"> que la Convention internationale sur les normes de formation du personnel des navires de pêche, de délivrance des brevets et de veille (STCW-F), adoptée par l’Organisation maritime internationale (OMI) en 1995, énonce les normes de formation en sécurité pour le personnel à bord des navires de pêche en mer ; </w:t>
      </w:r>
    </w:p>
    <w:p w14:paraId="00000009" w14:textId="77777777" w:rsidR="00907779" w:rsidRPr="00B0488C" w:rsidRDefault="00907779" w:rsidP="00904027">
      <w:pPr>
        <w:spacing w:line="240" w:lineRule="auto"/>
        <w:jc w:val="both"/>
        <w:rPr>
          <w:rFonts w:asciiTheme="minorHAnsi" w:eastAsia="Cambria" w:hAnsiTheme="minorHAnsi" w:cs="Cambria"/>
          <w:sz w:val="20"/>
          <w:szCs w:val="20"/>
        </w:rPr>
      </w:pPr>
    </w:p>
    <w:p w14:paraId="0000000A" w14:textId="61F22D1D" w:rsidR="00907779" w:rsidRPr="00B0488C" w:rsidRDefault="00682852" w:rsidP="00F57C15">
      <w:pPr>
        <w:spacing w:line="240" w:lineRule="auto"/>
        <w:ind w:firstLine="426"/>
        <w:jc w:val="both"/>
        <w:rPr>
          <w:rFonts w:asciiTheme="minorHAnsi" w:eastAsia="Cambria" w:hAnsiTheme="minorHAnsi" w:cs="Cambria"/>
          <w:sz w:val="20"/>
          <w:szCs w:val="20"/>
        </w:rPr>
      </w:pPr>
      <w:r w:rsidRPr="00B0488C">
        <w:rPr>
          <w:rFonts w:asciiTheme="minorHAnsi" w:hAnsiTheme="minorHAnsi"/>
          <w:i/>
          <w:iCs/>
          <w:sz w:val="20"/>
          <w:szCs w:val="20"/>
        </w:rPr>
        <w:t>NOTANT</w:t>
      </w:r>
      <w:r w:rsidRPr="00B0488C">
        <w:rPr>
          <w:rFonts w:asciiTheme="minorHAnsi" w:hAnsiTheme="minorHAnsi"/>
          <w:sz w:val="20"/>
          <w:szCs w:val="20"/>
        </w:rPr>
        <w:t xml:space="preserve"> les engagements pris en droit international, y compris les dispositions de la Convention internationale sur la recherche et le sauvetage en mer, concernant l'élaboration d'un plan international de recherche et de sauvetage en mer pour le sauvetage des personnes en détresse en </w:t>
      </w:r>
      <w:r w:rsidR="005E3650" w:rsidRPr="00B0488C">
        <w:rPr>
          <w:rFonts w:asciiTheme="minorHAnsi" w:hAnsiTheme="minorHAnsi"/>
          <w:sz w:val="20"/>
          <w:szCs w:val="20"/>
        </w:rPr>
        <w:t>mer ;</w:t>
      </w:r>
      <w:r w:rsidRPr="00B0488C">
        <w:rPr>
          <w:rFonts w:asciiTheme="minorHAnsi" w:hAnsiTheme="minorHAnsi"/>
          <w:sz w:val="20"/>
          <w:szCs w:val="20"/>
        </w:rPr>
        <w:t xml:space="preserve"> </w:t>
      </w:r>
    </w:p>
    <w:p w14:paraId="46D4F7E7" w14:textId="77777777" w:rsidR="000D182E" w:rsidRPr="00B0488C" w:rsidRDefault="000D182E" w:rsidP="00904027">
      <w:pPr>
        <w:spacing w:line="240" w:lineRule="auto"/>
        <w:ind w:firstLine="720"/>
        <w:jc w:val="both"/>
        <w:rPr>
          <w:rFonts w:asciiTheme="minorHAnsi" w:eastAsia="Cambria" w:hAnsiTheme="minorHAnsi" w:cs="Cambria"/>
          <w:sz w:val="20"/>
          <w:szCs w:val="20"/>
        </w:rPr>
      </w:pPr>
    </w:p>
    <w:p w14:paraId="448842ED" w14:textId="49A2654E" w:rsidR="000D182E" w:rsidRPr="00B0488C" w:rsidRDefault="000D182E" w:rsidP="00F57C15">
      <w:pPr>
        <w:spacing w:line="240" w:lineRule="auto"/>
        <w:ind w:firstLine="426"/>
        <w:jc w:val="both"/>
        <w:rPr>
          <w:rFonts w:asciiTheme="minorHAnsi" w:eastAsia="Cambria" w:hAnsiTheme="minorHAnsi" w:cs="Cambria"/>
          <w:sz w:val="20"/>
          <w:szCs w:val="20"/>
        </w:rPr>
      </w:pPr>
      <w:r w:rsidRPr="00B0488C">
        <w:rPr>
          <w:rFonts w:asciiTheme="minorHAnsi" w:hAnsiTheme="minorHAnsi"/>
          <w:i/>
          <w:sz w:val="20"/>
          <w:szCs w:val="20"/>
        </w:rPr>
        <w:t xml:space="preserve">NOTANT EN OUTRE </w:t>
      </w:r>
      <w:r w:rsidRPr="00B0488C">
        <w:rPr>
          <w:rFonts w:asciiTheme="minorHAnsi" w:hAnsiTheme="minorHAnsi"/>
          <w:sz w:val="20"/>
          <w:szCs w:val="20"/>
        </w:rPr>
        <w:t xml:space="preserve">les obligations des CPC de superviser la sécurité de leurs observateurs, comme prévu dans la </w:t>
      </w:r>
      <w:r w:rsidRPr="00B0488C">
        <w:rPr>
          <w:rFonts w:asciiTheme="minorHAnsi" w:hAnsiTheme="minorHAnsi"/>
          <w:i/>
          <w:iCs/>
          <w:sz w:val="20"/>
          <w:szCs w:val="20"/>
        </w:rPr>
        <w:t xml:space="preserve">Recommandation de l’ICCAT visant à établir des normes minimales pour </w:t>
      </w:r>
      <w:r w:rsidR="005E3650" w:rsidRPr="00B0488C">
        <w:rPr>
          <w:rFonts w:asciiTheme="minorHAnsi" w:hAnsiTheme="minorHAnsi"/>
          <w:i/>
          <w:iCs/>
          <w:sz w:val="20"/>
          <w:szCs w:val="20"/>
        </w:rPr>
        <w:t>les programmes</w:t>
      </w:r>
      <w:r w:rsidRPr="00B0488C">
        <w:rPr>
          <w:rFonts w:asciiTheme="minorHAnsi" w:hAnsiTheme="minorHAnsi"/>
          <w:i/>
          <w:iCs/>
          <w:sz w:val="20"/>
          <w:szCs w:val="20"/>
        </w:rPr>
        <w:t xml:space="preserve"> d’observateurs scientifiques à bord de navires de pêche</w:t>
      </w:r>
      <w:r w:rsidRPr="00B0488C">
        <w:rPr>
          <w:rFonts w:asciiTheme="minorHAnsi" w:hAnsiTheme="minorHAnsi"/>
          <w:sz w:val="20"/>
          <w:szCs w:val="20"/>
        </w:rPr>
        <w:t xml:space="preserve"> (Rec. 16-14) ;</w:t>
      </w:r>
    </w:p>
    <w:p w14:paraId="0000000D" w14:textId="77777777" w:rsidR="00907779" w:rsidRPr="00B0488C" w:rsidRDefault="00907779" w:rsidP="00904027">
      <w:pPr>
        <w:spacing w:line="240" w:lineRule="auto"/>
        <w:jc w:val="both"/>
        <w:rPr>
          <w:rFonts w:asciiTheme="minorHAnsi" w:eastAsia="Cambria" w:hAnsiTheme="minorHAnsi" w:cs="Cambria"/>
          <w:sz w:val="20"/>
          <w:szCs w:val="20"/>
        </w:rPr>
      </w:pPr>
    </w:p>
    <w:p w14:paraId="0000000E" w14:textId="1996BB90" w:rsidR="00907779" w:rsidRPr="00B0488C" w:rsidRDefault="00682852" w:rsidP="00F57C15">
      <w:pPr>
        <w:spacing w:line="240" w:lineRule="auto"/>
        <w:ind w:firstLine="426"/>
        <w:jc w:val="both"/>
        <w:rPr>
          <w:rFonts w:asciiTheme="minorHAnsi" w:eastAsia="Cambria" w:hAnsiTheme="minorHAnsi" w:cs="Cambria"/>
          <w:sz w:val="20"/>
          <w:szCs w:val="20"/>
        </w:rPr>
      </w:pPr>
      <w:r w:rsidRPr="00B0488C">
        <w:rPr>
          <w:rFonts w:asciiTheme="minorHAnsi" w:hAnsiTheme="minorHAnsi"/>
          <w:i/>
          <w:iCs/>
          <w:sz w:val="20"/>
          <w:szCs w:val="20"/>
        </w:rPr>
        <w:t>RAPPELANT AUSSI</w:t>
      </w:r>
      <w:r w:rsidRPr="00B0488C">
        <w:rPr>
          <w:rFonts w:asciiTheme="minorHAnsi" w:hAnsiTheme="minorHAnsi"/>
          <w:sz w:val="20"/>
          <w:szCs w:val="20"/>
        </w:rPr>
        <w:t xml:space="preserve"> la </w:t>
      </w:r>
      <w:r w:rsidRPr="00B0488C">
        <w:rPr>
          <w:rFonts w:asciiTheme="minorHAnsi" w:hAnsiTheme="minorHAnsi"/>
          <w:i/>
          <w:iCs/>
          <w:sz w:val="20"/>
          <w:szCs w:val="20"/>
        </w:rPr>
        <w:t>Recommandation de l'ICCAT visant à protéger la santé et à garantir la sécurité des observateurs dans le cadre des programmes régionaux d'observateurs de l'ICCAT (</w:t>
      </w:r>
      <w:r w:rsidRPr="00B0488C">
        <w:rPr>
          <w:rFonts w:asciiTheme="minorHAnsi" w:hAnsiTheme="minorHAnsi"/>
          <w:sz w:val="20"/>
          <w:szCs w:val="20"/>
        </w:rPr>
        <w:t xml:space="preserve">Rec. 19-10) et la </w:t>
      </w:r>
      <w:r w:rsidRPr="00B0488C">
        <w:rPr>
          <w:rFonts w:asciiTheme="minorHAnsi" w:hAnsiTheme="minorHAnsi"/>
          <w:i/>
          <w:iCs/>
          <w:sz w:val="20"/>
          <w:szCs w:val="20"/>
        </w:rPr>
        <w:t>Résolution de l'ICCAT sur l'harmonisation et l'amélioration de la sécurité des observateurs</w:t>
      </w:r>
      <w:r w:rsidRPr="00B0488C">
        <w:rPr>
          <w:rFonts w:asciiTheme="minorHAnsi" w:hAnsiTheme="minorHAnsi"/>
          <w:sz w:val="20"/>
          <w:szCs w:val="20"/>
        </w:rPr>
        <w:t xml:space="preserve"> (Rés. 19-16) ; </w:t>
      </w:r>
    </w:p>
    <w:p w14:paraId="0000000F" w14:textId="77777777" w:rsidR="00907779" w:rsidRPr="00B0488C" w:rsidRDefault="00907779" w:rsidP="00904027">
      <w:pPr>
        <w:spacing w:line="240" w:lineRule="auto"/>
        <w:jc w:val="both"/>
        <w:rPr>
          <w:rFonts w:asciiTheme="minorHAnsi" w:eastAsia="Cambria" w:hAnsiTheme="minorHAnsi" w:cs="Cambria"/>
          <w:sz w:val="20"/>
          <w:szCs w:val="20"/>
        </w:rPr>
      </w:pPr>
    </w:p>
    <w:p w14:paraId="42C2B14E" w14:textId="4684333D" w:rsidR="00ED5194" w:rsidRPr="00B0488C" w:rsidRDefault="00ED5194" w:rsidP="00ED5194">
      <w:pPr>
        <w:spacing w:line="240" w:lineRule="auto"/>
        <w:ind w:firstLine="426"/>
        <w:jc w:val="both"/>
        <w:rPr>
          <w:rFonts w:asciiTheme="minorHAnsi" w:eastAsia="Cambria" w:hAnsiTheme="minorHAnsi" w:cs="Cambria"/>
          <w:sz w:val="20"/>
          <w:szCs w:val="20"/>
        </w:rPr>
      </w:pPr>
      <w:r w:rsidRPr="00B0488C">
        <w:rPr>
          <w:rFonts w:asciiTheme="minorHAnsi" w:eastAsia="Cambria" w:hAnsiTheme="minorHAnsi" w:cs="Cambria"/>
          <w:i/>
          <w:iCs/>
          <w:sz w:val="20"/>
          <w:szCs w:val="20"/>
        </w:rPr>
        <w:t>RECONNAISSANT</w:t>
      </w:r>
      <w:r w:rsidRPr="00B0488C">
        <w:rPr>
          <w:rFonts w:asciiTheme="minorHAnsi" w:eastAsia="Cambria" w:hAnsiTheme="minorHAnsi" w:cs="Cambria"/>
          <w:sz w:val="20"/>
          <w:szCs w:val="20"/>
        </w:rPr>
        <w:t xml:space="preserve"> que l'adoption de mesures visant à promouvoir la santé et la sécurité des observateurs dans les programmes</w:t>
      </w:r>
      <w:r w:rsidR="00393B12" w:rsidRPr="00B0488C">
        <w:rPr>
          <w:rFonts w:asciiTheme="minorHAnsi" w:eastAsia="Cambria" w:hAnsiTheme="minorHAnsi" w:cs="Cambria"/>
          <w:sz w:val="20"/>
          <w:szCs w:val="20"/>
        </w:rPr>
        <w:t xml:space="preserve"> des CPC</w:t>
      </w:r>
      <w:r w:rsidRPr="00B0488C">
        <w:rPr>
          <w:rFonts w:asciiTheme="minorHAnsi" w:eastAsia="Cambria" w:hAnsiTheme="minorHAnsi" w:cs="Cambria"/>
          <w:sz w:val="20"/>
          <w:szCs w:val="20"/>
        </w:rPr>
        <w:t xml:space="preserve">, en particulier celles liées à la sécurité des navires, pourrait également soutenir les objectifs reflétés dans la </w:t>
      </w:r>
      <w:r w:rsidRPr="00B0488C">
        <w:rPr>
          <w:rFonts w:asciiTheme="minorHAnsi" w:eastAsia="Cambria" w:hAnsiTheme="minorHAnsi" w:cs="Cambria"/>
          <w:i/>
          <w:iCs/>
          <w:sz w:val="20"/>
          <w:szCs w:val="20"/>
        </w:rPr>
        <w:t>Résolution de l'ICCAT sur les principes fondamentaux relatifs aux normes du travail dans les pêcheries de l'ICCAT</w:t>
      </w:r>
      <w:r w:rsidRPr="00B0488C">
        <w:rPr>
          <w:rFonts w:asciiTheme="minorHAnsi" w:eastAsia="Cambria" w:hAnsiTheme="minorHAnsi" w:cs="Cambria"/>
          <w:sz w:val="20"/>
          <w:szCs w:val="20"/>
        </w:rPr>
        <w:t xml:space="preserve"> (Rés. 23-20)</w:t>
      </w:r>
      <w:r w:rsidR="002D4EBC" w:rsidRPr="00B0488C">
        <w:rPr>
          <w:rFonts w:asciiTheme="minorHAnsi" w:eastAsia="Cambria" w:hAnsiTheme="minorHAnsi" w:cs="Cambria"/>
          <w:sz w:val="20"/>
          <w:szCs w:val="20"/>
        </w:rPr>
        <w:t> ;</w:t>
      </w:r>
    </w:p>
    <w:p w14:paraId="00000010" w14:textId="77777777" w:rsidR="00907779" w:rsidRPr="00B0488C" w:rsidRDefault="00907779" w:rsidP="00904027">
      <w:pPr>
        <w:spacing w:line="240" w:lineRule="auto"/>
        <w:jc w:val="both"/>
        <w:rPr>
          <w:rFonts w:asciiTheme="minorHAnsi" w:eastAsia="Cambria" w:hAnsiTheme="minorHAnsi" w:cs="Cambria"/>
          <w:sz w:val="20"/>
          <w:szCs w:val="20"/>
        </w:rPr>
      </w:pPr>
    </w:p>
    <w:p w14:paraId="3243EE16" w14:textId="77777777" w:rsidR="00ED5194" w:rsidRPr="00B0488C" w:rsidRDefault="00ED5194" w:rsidP="00904027">
      <w:pPr>
        <w:spacing w:line="240" w:lineRule="auto"/>
        <w:jc w:val="both"/>
        <w:rPr>
          <w:rFonts w:asciiTheme="minorHAnsi" w:eastAsia="Cambria" w:hAnsiTheme="minorHAnsi" w:cs="Cambria"/>
          <w:sz w:val="20"/>
          <w:szCs w:val="20"/>
        </w:rPr>
      </w:pPr>
    </w:p>
    <w:p w14:paraId="00000011" w14:textId="77777777" w:rsidR="00907779" w:rsidRPr="00B0488C" w:rsidRDefault="00682852" w:rsidP="00F57C15">
      <w:pPr>
        <w:spacing w:line="240" w:lineRule="auto"/>
        <w:jc w:val="center"/>
        <w:rPr>
          <w:rFonts w:asciiTheme="minorHAnsi" w:eastAsia="Cambria" w:hAnsiTheme="minorHAnsi" w:cs="Cambria"/>
          <w:sz w:val="20"/>
          <w:szCs w:val="20"/>
        </w:rPr>
      </w:pPr>
      <w:r w:rsidRPr="00B0488C">
        <w:rPr>
          <w:rFonts w:asciiTheme="minorHAnsi" w:hAnsiTheme="minorHAnsi"/>
          <w:sz w:val="20"/>
          <w:szCs w:val="20"/>
        </w:rPr>
        <w:t>LA COMMISSION INTERNATIONALE POUR LA CONSERVATION</w:t>
      </w:r>
    </w:p>
    <w:p w14:paraId="00000012" w14:textId="2892067F" w:rsidR="00907779" w:rsidRPr="00B0488C" w:rsidRDefault="00682852" w:rsidP="00F57C15">
      <w:pPr>
        <w:spacing w:line="240" w:lineRule="auto"/>
        <w:jc w:val="center"/>
        <w:rPr>
          <w:rFonts w:asciiTheme="minorHAnsi" w:eastAsia="Cambria" w:hAnsiTheme="minorHAnsi" w:cs="Cambria"/>
          <w:sz w:val="20"/>
          <w:szCs w:val="20"/>
        </w:rPr>
      </w:pPr>
      <w:r w:rsidRPr="00B0488C">
        <w:rPr>
          <w:rFonts w:asciiTheme="minorHAnsi" w:hAnsiTheme="minorHAnsi"/>
          <w:sz w:val="20"/>
          <w:szCs w:val="20"/>
        </w:rPr>
        <w:t>DES THONIDÉS DE L’ATLANTIQUE (ICCAT) RECOMMANDE CE QUI SUIT :</w:t>
      </w:r>
    </w:p>
    <w:p w14:paraId="00000013" w14:textId="77777777" w:rsidR="00907779" w:rsidRPr="00B0488C" w:rsidRDefault="00907779" w:rsidP="00904027">
      <w:pPr>
        <w:spacing w:line="240" w:lineRule="auto"/>
        <w:jc w:val="both"/>
        <w:rPr>
          <w:rFonts w:asciiTheme="minorHAnsi" w:eastAsia="Cambria" w:hAnsiTheme="minorHAnsi" w:cs="Cambria"/>
          <w:sz w:val="20"/>
          <w:szCs w:val="20"/>
        </w:rPr>
      </w:pPr>
    </w:p>
    <w:p w14:paraId="432C0C05" w14:textId="77777777" w:rsidR="00C95F7D" w:rsidRPr="00B0488C" w:rsidRDefault="00C95F7D" w:rsidP="00904027">
      <w:pPr>
        <w:spacing w:line="240" w:lineRule="auto"/>
        <w:jc w:val="both"/>
        <w:rPr>
          <w:rFonts w:asciiTheme="minorHAnsi" w:eastAsia="Cambria" w:hAnsiTheme="minorHAnsi" w:cs="Cambria"/>
          <w:sz w:val="20"/>
          <w:szCs w:val="20"/>
        </w:rPr>
      </w:pPr>
    </w:p>
    <w:p w14:paraId="00000014" w14:textId="2CC36C4C" w:rsidR="00907779" w:rsidRPr="00B0488C" w:rsidRDefault="00682852" w:rsidP="00904027">
      <w:pPr>
        <w:spacing w:line="240" w:lineRule="auto"/>
        <w:jc w:val="both"/>
        <w:rPr>
          <w:rFonts w:asciiTheme="minorHAnsi" w:eastAsia="Cambria" w:hAnsiTheme="minorHAnsi" w:cs="Cambria"/>
          <w:sz w:val="20"/>
          <w:szCs w:val="20"/>
        </w:rPr>
      </w:pPr>
      <w:r w:rsidRPr="00B0488C">
        <w:rPr>
          <w:rFonts w:asciiTheme="minorHAnsi" w:hAnsiTheme="minorHAnsi"/>
          <w:sz w:val="20"/>
          <w:szCs w:val="20"/>
        </w:rPr>
        <w:t xml:space="preserve">Les dispositions suivantes </w:t>
      </w:r>
      <w:r w:rsidR="0010550F" w:rsidRPr="00B0488C">
        <w:rPr>
          <w:rFonts w:asciiTheme="minorHAnsi" w:hAnsiTheme="minorHAnsi"/>
          <w:sz w:val="20"/>
          <w:szCs w:val="20"/>
        </w:rPr>
        <w:t xml:space="preserve">devront </w:t>
      </w:r>
      <w:r w:rsidRPr="00B0488C">
        <w:rPr>
          <w:rFonts w:asciiTheme="minorHAnsi" w:hAnsiTheme="minorHAnsi"/>
          <w:sz w:val="20"/>
          <w:szCs w:val="20"/>
        </w:rPr>
        <w:t>s'applique</w:t>
      </w:r>
      <w:r w:rsidR="0010550F" w:rsidRPr="00B0488C">
        <w:rPr>
          <w:rFonts w:asciiTheme="minorHAnsi" w:hAnsiTheme="minorHAnsi"/>
          <w:sz w:val="20"/>
          <w:szCs w:val="20"/>
        </w:rPr>
        <w:t>r</w:t>
      </w:r>
      <w:r w:rsidRPr="00B0488C">
        <w:rPr>
          <w:rFonts w:asciiTheme="minorHAnsi" w:hAnsiTheme="minorHAnsi"/>
          <w:sz w:val="20"/>
          <w:szCs w:val="20"/>
        </w:rPr>
        <w:t xml:space="preserve"> pour assurer la santé, la sécurité et le bien-être des observateurs déployés dans le cadre de la Rec. 16-14 ou tout autre observateur </w:t>
      </w:r>
      <w:r w:rsidR="001D60D1" w:rsidRPr="00B0488C">
        <w:rPr>
          <w:rFonts w:asciiTheme="minorHAnsi" w:hAnsiTheme="minorHAnsi"/>
          <w:sz w:val="20"/>
          <w:szCs w:val="20"/>
        </w:rPr>
        <w:t>d’une CPC</w:t>
      </w:r>
      <w:r w:rsidRPr="00B0488C">
        <w:rPr>
          <w:rFonts w:asciiTheme="minorHAnsi" w:hAnsiTheme="minorHAnsi"/>
          <w:sz w:val="20"/>
          <w:szCs w:val="20"/>
        </w:rPr>
        <w:t xml:space="preserve"> déployé sur le navire d'une CPC de pavillon opérant dans les pêcheries de l'ICCAT </w:t>
      </w:r>
      <w:r w:rsidR="00C82FB8" w:rsidRPr="00B0488C">
        <w:rPr>
          <w:rFonts w:asciiTheme="minorHAnsi" w:hAnsiTheme="minorHAnsi"/>
          <w:sz w:val="20"/>
          <w:szCs w:val="20"/>
        </w:rPr>
        <w:t xml:space="preserve">dans la zone de la Convention de l’ICCAT </w:t>
      </w:r>
      <w:r w:rsidRPr="00B0488C">
        <w:rPr>
          <w:rFonts w:asciiTheme="minorHAnsi" w:hAnsiTheme="minorHAnsi"/>
          <w:sz w:val="20"/>
          <w:szCs w:val="20"/>
        </w:rPr>
        <w:t xml:space="preserve">afin de remplir les obligations de la CPC en vertu des exigences de l'ICCAT en matière d'observateurs ; </w:t>
      </w:r>
    </w:p>
    <w:p w14:paraId="00000015" w14:textId="77777777" w:rsidR="00907779" w:rsidRPr="00B0488C" w:rsidRDefault="00907779" w:rsidP="00904027">
      <w:pPr>
        <w:spacing w:line="240" w:lineRule="auto"/>
        <w:jc w:val="both"/>
        <w:rPr>
          <w:rFonts w:asciiTheme="minorHAnsi" w:eastAsia="Cambria" w:hAnsiTheme="minorHAnsi" w:cs="Cambria"/>
          <w:sz w:val="20"/>
          <w:szCs w:val="20"/>
        </w:rPr>
      </w:pPr>
    </w:p>
    <w:p w14:paraId="249FF732" w14:textId="247F2349" w:rsidR="00440E8E" w:rsidRPr="00B0488C" w:rsidRDefault="005F720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Les CPC devront </w:t>
      </w:r>
      <w:r w:rsidR="00C82FB8" w:rsidRPr="00B0488C">
        <w:rPr>
          <w:rFonts w:asciiTheme="minorHAnsi" w:hAnsiTheme="minorHAnsi"/>
          <w:sz w:val="20"/>
          <w:szCs w:val="20"/>
        </w:rPr>
        <w:t xml:space="preserve">prendre les mesures nécessaires afin de s’assurer que les </w:t>
      </w:r>
      <w:r w:rsidR="005A4AAE" w:rsidRPr="00B0488C">
        <w:rPr>
          <w:rFonts w:asciiTheme="minorHAnsi" w:hAnsiTheme="minorHAnsi"/>
          <w:sz w:val="20"/>
          <w:szCs w:val="20"/>
        </w:rPr>
        <w:t xml:space="preserve">opérateurs </w:t>
      </w:r>
      <w:r w:rsidRPr="00B0488C">
        <w:rPr>
          <w:rFonts w:asciiTheme="minorHAnsi" w:hAnsiTheme="minorHAnsi"/>
          <w:sz w:val="20"/>
          <w:szCs w:val="20"/>
        </w:rPr>
        <w:t xml:space="preserve">et </w:t>
      </w:r>
      <w:r w:rsidR="005A4AAE" w:rsidRPr="00B0488C">
        <w:rPr>
          <w:rFonts w:asciiTheme="minorHAnsi" w:hAnsiTheme="minorHAnsi"/>
          <w:sz w:val="20"/>
          <w:szCs w:val="20"/>
        </w:rPr>
        <w:t>l’</w:t>
      </w:r>
      <w:r w:rsidRPr="00B0488C">
        <w:rPr>
          <w:rFonts w:asciiTheme="minorHAnsi" w:hAnsiTheme="minorHAnsi"/>
          <w:sz w:val="20"/>
          <w:szCs w:val="20"/>
        </w:rPr>
        <w:t xml:space="preserve">équipage </w:t>
      </w:r>
      <w:r w:rsidR="005A4AAE" w:rsidRPr="00B0488C">
        <w:rPr>
          <w:rFonts w:asciiTheme="minorHAnsi" w:hAnsiTheme="minorHAnsi"/>
          <w:sz w:val="20"/>
          <w:szCs w:val="20"/>
        </w:rPr>
        <w:t xml:space="preserve">de leurs navires </w:t>
      </w:r>
      <w:r w:rsidR="00C82FB8" w:rsidRPr="00B0488C">
        <w:rPr>
          <w:rFonts w:asciiTheme="minorHAnsi" w:hAnsiTheme="minorHAnsi"/>
          <w:sz w:val="20"/>
          <w:szCs w:val="20"/>
        </w:rPr>
        <w:t>ne</w:t>
      </w:r>
      <w:r w:rsidRPr="00B0488C">
        <w:rPr>
          <w:rFonts w:asciiTheme="minorHAnsi" w:hAnsiTheme="minorHAnsi"/>
          <w:sz w:val="20"/>
          <w:szCs w:val="20"/>
        </w:rPr>
        <w:t xml:space="preserve"> menace</w:t>
      </w:r>
      <w:r w:rsidR="00C82FB8" w:rsidRPr="00B0488C">
        <w:rPr>
          <w:rFonts w:asciiTheme="minorHAnsi" w:hAnsiTheme="minorHAnsi"/>
          <w:sz w:val="20"/>
          <w:szCs w:val="20"/>
        </w:rPr>
        <w:t>nt pas,</w:t>
      </w:r>
      <w:r w:rsidRPr="00B0488C">
        <w:rPr>
          <w:rFonts w:asciiTheme="minorHAnsi" w:hAnsiTheme="minorHAnsi"/>
          <w:sz w:val="20"/>
          <w:szCs w:val="20"/>
        </w:rPr>
        <w:t xml:space="preserve"> </w:t>
      </w:r>
      <w:r w:rsidR="00C82FB8" w:rsidRPr="00B0488C">
        <w:rPr>
          <w:rFonts w:asciiTheme="minorHAnsi" w:hAnsiTheme="minorHAnsi"/>
          <w:sz w:val="20"/>
          <w:szCs w:val="20"/>
        </w:rPr>
        <w:t>n’</w:t>
      </w:r>
      <w:r w:rsidRPr="00B0488C">
        <w:rPr>
          <w:rFonts w:asciiTheme="minorHAnsi" w:hAnsiTheme="minorHAnsi"/>
          <w:sz w:val="20"/>
          <w:szCs w:val="20"/>
        </w:rPr>
        <w:t>intimide</w:t>
      </w:r>
      <w:r w:rsidR="00C82FB8" w:rsidRPr="00B0488C">
        <w:rPr>
          <w:rFonts w:asciiTheme="minorHAnsi" w:hAnsiTheme="minorHAnsi"/>
          <w:sz w:val="20"/>
          <w:szCs w:val="20"/>
        </w:rPr>
        <w:t>nt</w:t>
      </w:r>
      <w:r w:rsidRPr="00B0488C">
        <w:rPr>
          <w:rFonts w:asciiTheme="minorHAnsi" w:hAnsiTheme="minorHAnsi"/>
          <w:sz w:val="20"/>
          <w:szCs w:val="20"/>
        </w:rPr>
        <w:t xml:space="preserve"> </w:t>
      </w:r>
      <w:r w:rsidR="00C82FB8" w:rsidRPr="00B0488C">
        <w:rPr>
          <w:rFonts w:asciiTheme="minorHAnsi" w:hAnsiTheme="minorHAnsi"/>
          <w:sz w:val="20"/>
          <w:szCs w:val="20"/>
        </w:rPr>
        <w:t>pas et</w:t>
      </w:r>
      <w:r w:rsidRPr="00B0488C">
        <w:rPr>
          <w:rFonts w:asciiTheme="minorHAnsi" w:hAnsiTheme="minorHAnsi"/>
          <w:sz w:val="20"/>
          <w:szCs w:val="20"/>
        </w:rPr>
        <w:t xml:space="preserve"> </w:t>
      </w:r>
      <w:r w:rsidR="00C82FB8" w:rsidRPr="00B0488C">
        <w:rPr>
          <w:rFonts w:asciiTheme="minorHAnsi" w:hAnsiTheme="minorHAnsi"/>
          <w:sz w:val="20"/>
          <w:szCs w:val="20"/>
        </w:rPr>
        <w:t>ne</w:t>
      </w:r>
      <w:r w:rsidRPr="00B0488C">
        <w:rPr>
          <w:rFonts w:asciiTheme="minorHAnsi" w:hAnsiTheme="minorHAnsi"/>
          <w:sz w:val="20"/>
          <w:szCs w:val="20"/>
        </w:rPr>
        <w:t xml:space="preserve"> blesse</w:t>
      </w:r>
      <w:r w:rsidR="00C82FB8" w:rsidRPr="00B0488C">
        <w:rPr>
          <w:rFonts w:asciiTheme="minorHAnsi" w:hAnsiTheme="minorHAnsi"/>
          <w:sz w:val="20"/>
          <w:szCs w:val="20"/>
        </w:rPr>
        <w:t>nt</w:t>
      </w:r>
      <w:r w:rsidRPr="00B0488C">
        <w:rPr>
          <w:rFonts w:asciiTheme="minorHAnsi" w:hAnsiTheme="minorHAnsi"/>
          <w:sz w:val="20"/>
          <w:szCs w:val="20"/>
        </w:rPr>
        <w:t xml:space="preserve"> </w:t>
      </w:r>
      <w:r w:rsidR="00CE66B7" w:rsidRPr="00B0488C">
        <w:rPr>
          <w:rFonts w:asciiTheme="minorHAnsi" w:hAnsiTheme="minorHAnsi"/>
          <w:sz w:val="20"/>
          <w:szCs w:val="20"/>
        </w:rPr>
        <w:t xml:space="preserve">pas les </w:t>
      </w:r>
      <w:r w:rsidRPr="00B0488C">
        <w:rPr>
          <w:rFonts w:asciiTheme="minorHAnsi" w:hAnsiTheme="minorHAnsi"/>
          <w:sz w:val="20"/>
          <w:szCs w:val="20"/>
        </w:rPr>
        <w:t>observateurs des pêcheries.</w:t>
      </w:r>
    </w:p>
    <w:p w14:paraId="15E2F3AC" w14:textId="77777777" w:rsidR="00440E8E" w:rsidRPr="00B0488C" w:rsidRDefault="00440E8E" w:rsidP="00904027">
      <w:pPr>
        <w:spacing w:line="240" w:lineRule="auto"/>
        <w:jc w:val="both"/>
        <w:rPr>
          <w:rFonts w:asciiTheme="minorHAnsi" w:eastAsia="Cambria" w:hAnsiTheme="minorHAnsi" w:cs="Cambria"/>
          <w:sz w:val="20"/>
          <w:szCs w:val="20"/>
        </w:rPr>
      </w:pPr>
    </w:p>
    <w:p w14:paraId="00000016" w14:textId="2A62A66C" w:rsidR="00907779" w:rsidRPr="00B0488C" w:rsidRDefault="000866E5" w:rsidP="005F7202">
      <w:pPr>
        <w:pStyle w:val="ListParagraph"/>
        <w:numPr>
          <w:ilvl w:val="0"/>
          <w:numId w:val="1"/>
        </w:numPr>
        <w:spacing w:line="240" w:lineRule="auto"/>
        <w:ind w:left="426" w:hanging="426"/>
        <w:jc w:val="both"/>
        <w:rPr>
          <w:rFonts w:asciiTheme="minorHAnsi" w:eastAsia="Cambria" w:hAnsiTheme="minorHAnsi" w:cs="Cambria"/>
          <w:b/>
          <w:bCs/>
          <w:sz w:val="20"/>
          <w:szCs w:val="20"/>
        </w:rPr>
      </w:pPr>
      <w:r w:rsidRPr="00B0488C">
        <w:rPr>
          <w:rFonts w:asciiTheme="minorHAnsi" w:hAnsiTheme="minorHAnsi"/>
          <w:sz w:val="20"/>
          <w:szCs w:val="20"/>
        </w:rPr>
        <w:t xml:space="preserve">Les CPC devront s’assurer que les observateurs ont reçu une formation à la sécurité de base des navires avant qu'ils ne soient déployés sur un navire pour la première fois et à des intervalles appropriés par la suite.   </w:t>
      </w:r>
    </w:p>
    <w:p w14:paraId="00000017" w14:textId="77777777" w:rsidR="00907779" w:rsidRPr="00B0488C" w:rsidRDefault="00907779" w:rsidP="00904027">
      <w:pPr>
        <w:spacing w:line="240" w:lineRule="auto"/>
        <w:jc w:val="both"/>
        <w:rPr>
          <w:rFonts w:asciiTheme="minorHAnsi" w:eastAsia="Cambria" w:hAnsiTheme="minorHAnsi" w:cs="Cambria"/>
          <w:sz w:val="20"/>
          <w:szCs w:val="20"/>
        </w:rPr>
      </w:pPr>
    </w:p>
    <w:p w14:paraId="00000018" w14:textId="773C9A38" w:rsidR="00907779" w:rsidRPr="00B0488C" w:rsidRDefault="0068285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Avant le déploiement d'un observateur sur un navire pour une sortie, les CPC devront s’assurer que l'observateur </w:t>
      </w:r>
      <w:r w:rsidR="00454614" w:rsidRPr="00B0488C">
        <w:rPr>
          <w:rFonts w:asciiTheme="minorHAnsi" w:hAnsiTheme="minorHAnsi"/>
          <w:sz w:val="20"/>
          <w:szCs w:val="20"/>
        </w:rPr>
        <w:t>dispose d’</w:t>
      </w:r>
      <w:r w:rsidRPr="00B0488C">
        <w:rPr>
          <w:rFonts w:asciiTheme="minorHAnsi" w:hAnsiTheme="minorHAnsi"/>
          <w:sz w:val="20"/>
          <w:szCs w:val="20"/>
        </w:rPr>
        <w:t>un accès indépendant et illimité à un dispositif de communication bidirectionnelle adapté à une utilisation en mer et à un équipement de sécurité approprié, notamment un vêtement de flottaison individuel (VFI)</w:t>
      </w:r>
      <w:r w:rsidR="00266F14" w:rsidRPr="00B0488C">
        <w:rPr>
          <w:rFonts w:asciiTheme="minorHAnsi" w:hAnsiTheme="minorHAnsi"/>
          <w:sz w:val="20"/>
          <w:szCs w:val="20"/>
        </w:rPr>
        <w:t xml:space="preserve">, </w:t>
      </w:r>
      <w:r w:rsidR="00337893" w:rsidRPr="00B0488C">
        <w:rPr>
          <w:rFonts w:asciiTheme="minorHAnsi" w:hAnsiTheme="minorHAnsi"/>
          <w:sz w:val="20"/>
          <w:szCs w:val="20"/>
        </w:rPr>
        <w:t>tel qu’un gilet de sauvetage</w:t>
      </w:r>
      <w:r w:rsidR="00CB5AD8" w:rsidRPr="00B0488C">
        <w:rPr>
          <w:rFonts w:asciiTheme="minorHAnsi" w:hAnsiTheme="minorHAnsi"/>
          <w:sz w:val="20"/>
          <w:szCs w:val="20"/>
        </w:rPr>
        <w:t xml:space="preserve"> </w:t>
      </w:r>
      <w:r w:rsidRPr="00B0488C">
        <w:rPr>
          <w:rFonts w:asciiTheme="minorHAnsi" w:hAnsiTheme="minorHAnsi"/>
          <w:sz w:val="20"/>
          <w:szCs w:val="20"/>
        </w:rPr>
        <w:t xml:space="preserve">ou </w:t>
      </w:r>
      <w:r w:rsidR="00CB5AD8" w:rsidRPr="00B0488C">
        <w:rPr>
          <w:rFonts w:asciiTheme="minorHAnsi" w:hAnsiTheme="minorHAnsi"/>
          <w:sz w:val="20"/>
          <w:szCs w:val="20"/>
        </w:rPr>
        <w:t>une</w:t>
      </w:r>
      <w:r w:rsidRPr="00B0488C">
        <w:rPr>
          <w:rFonts w:asciiTheme="minorHAnsi" w:hAnsiTheme="minorHAnsi"/>
          <w:sz w:val="20"/>
          <w:szCs w:val="20"/>
        </w:rPr>
        <w:t xml:space="preserve"> combinaison d'immersion, en fonction des opérations et activités de pêche spécifiques, y compris la zone océanique et la distance par rapport au rivage.</w:t>
      </w:r>
    </w:p>
    <w:p w14:paraId="0000001C" w14:textId="77777777" w:rsidR="00907779" w:rsidRPr="00B0488C" w:rsidRDefault="00907779" w:rsidP="00904027">
      <w:pPr>
        <w:spacing w:line="240" w:lineRule="auto"/>
        <w:ind w:left="720"/>
        <w:jc w:val="both"/>
        <w:rPr>
          <w:rFonts w:asciiTheme="minorHAnsi" w:eastAsia="Cambria" w:hAnsiTheme="minorHAnsi" w:cs="Cambria"/>
          <w:sz w:val="20"/>
          <w:szCs w:val="20"/>
        </w:rPr>
      </w:pPr>
    </w:p>
    <w:p w14:paraId="69A826CC" w14:textId="46663FCD" w:rsidR="008F08EB" w:rsidRPr="00B0488C" w:rsidRDefault="00682852" w:rsidP="00C82FB8">
      <w:pPr>
        <w:pStyle w:val="ListParagraph"/>
        <w:numPr>
          <w:ilvl w:val="0"/>
          <w:numId w:val="1"/>
        </w:numPr>
        <w:spacing w:line="240" w:lineRule="auto"/>
        <w:ind w:left="426" w:hanging="426"/>
        <w:jc w:val="both"/>
        <w:rPr>
          <w:rFonts w:asciiTheme="minorHAnsi" w:hAnsiTheme="minorHAnsi"/>
          <w:sz w:val="20"/>
          <w:szCs w:val="20"/>
        </w:rPr>
      </w:pPr>
      <w:r w:rsidRPr="00B0488C">
        <w:rPr>
          <w:rFonts w:asciiTheme="minorHAnsi" w:hAnsiTheme="minorHAnsi"/>
          <w:sz w:val="20"/>
          <w:szCs w:val="20"/>
        </w:rPr>
        <w:lastRenderedPageBreak/>
        <w:t xml:space="preserve">Les CPC de pavillon devront veiller à ce que leurs navires qui embarquent des observateurs visés par la présente Recommandation soient pourvus de l'équipement de sécurité approprié pour la durée totale de chaque sortie, y compris : </w:t>
      </w:r>
    </w:p>
    <w:p w14:paraId="382F0F88" w14:textId="77777777" w:rsidR="00C82FB8" w:rsidRPr="00B0488C" w:rsidRDefault="00C82FB8" w:rsidP="00C82FB8">
      <w:pPr>
        <w:pStyle w:val="ListParagraph"/>
        <w:spacing w:line="240" w:lineRule="auto"/>
        <w:ind w:left="426"/>
        <w:jc w:val="both"/>
        <w:rPr>
          <w:rFonts w:asciiTheme="minorHAnsi" w:hAnsiTheme="minorHAnsi"/>
          <w:sz w:val="20"/>
          <w:szCs w:val="20"/>
        </w:rPr>
      </w:pPr>
    </w:p>
    <w:p w14:paraId="00000022" w14:textId="4A0A8EEC" w:rsidR="00907779" w:rsidRPr="00B0488C" w:rsidRDefault="00682852" w:rsidP="00C82FB8">
      <w:pPr>
        <w:spacing w:line="240" w:lineRule="auto"/>
        <w:ind w:left="850" w:hanging="425"/>
        <w:contextualSpacing/>
        <w:jc w:val="both"/>
        <w:rPr>
          <w:rFonts w:asciiTheme="minorHAnsi" w:hAnsiTheme="minorHAnsi"/>
          <w:sz w:val="20"/>
          <w:szCs w:val="20"/>
        </w:rPr>
      </w:pPr>
      <w:r w:rsidRPr="00B0488C">
        <w:rPr>
          <w:rFonts w:asciiTheme="minorHAnsi" w:hAnsiTheme="minorHAnsi"/>
          <w:sz w:val="20"/>
          <w:szCs w:val="20"/>
        </w:rPr>
        <w:t>a)</w:t>
      </w:r>
      <w:r w:rsidR="00092E26" w:rsidRPr="00B0488C">
        <w:rPr>
          <w:rFonts w:asciiTheme="minorHAnsi" w:hAnsiTheme="minorHAnsi"/>
          <w:sz w:val="20"/>
          <w:szCs w:val="20"/>
        </w:rPr>
        <w:tab/>
      </w:r>
      <w:r w:rsidRPr="00B0488C">
        <w:rPr>
          <w:rFonts w:asciiTheme="minorHAnsi" w:hAnsiTheme="minorHAnsi"/>
          <w:sz w:val="20"/>
          <w:szCs w:val="20"/>
        </w:rPr>
        <w:t xml:space="preserve">un radeau de sauvetage disposant d’une capacité suffisante pour recevoir toutes les personnes à bord et d’un certificat </w:t>
      </w:r>
      <w:r w:rsidR="00092E26" w:rsidRPr="00B0488C">
        <w:rPr>
          <w:rFonts w:asciiTheme="minorHAnsi" w:hAnsiTheme="minorHAnsi"/>
          <w:sz w:val="20"/>
          <w:szCs w:val="20"/>
        </w:rPr>
        <w:t>d’inspection valide</w:t>
      </w:r>
      <w:r w:rsidRPr="00B0488C">
        <w:rPr>
          <w:rFonts w:asciiTheme="minorHAnsi" w:hAnsiTheme="minorHAnsi"/>
          <w:sz w:val="20"/>
          <w:szCs w:val="20"/>
        </w:rPr>
        <w:t xml:space="preserve"> pendant toute la durée du déploiement de l'observateur</w:t>
      </w:r>
      <w:r w:rsidR="00092E26" w:rsidRPr="00B0488C">
        <w:rPr>
          <w:rFonts w:asciiTheme="minorHAnsi" w:hAnsiTheme="minorHAnsi"/>
          <w:sz w:val="20"/>
          <w:szCs w:val="20"/>
        </w:rPr>
        <w:t> </w:t>
      </w:r>
      <w:r w:rsidRPr="00B0488C">
        <w:rPr>
          <w:rFonts w:asciiTheme="minorHAnsi" w:hAnsiTheme="minorHAnsi"/>
          <w:sz w:val="20"/>
          <w:szCs w:val="20"/>
        </w:rPr>
        <w:t>;</w:t>
      </w:r>
    </w:p>
    <w:p w14:paraId="05C4B17D" w14:textId="77777777" w:rsidR="00C82FB8" w:rsidRPr="00B0488C" w:rsidRDefault="00C82FB8" w:rsidP="00C82FB8">
      <w:pPr>
        <w:spacing w:line="240" w:lineRule="auto"/>
        <w:ind w:left="850" w:hanging="425"/>
        <w:contextualSpacing/>
        <w:jc w:val="both"/>
        <w:rPr>
          <w:rFonts w:asciiTheme="minorHAnsi" w:eastAsia="Cambria" w:hAnsiTheme="minorHAnsi" w:cs="Cambria"/>
          <w:sz w:val="20"/>
          <w:szCs w:val="20"/>
        </w:rPr>
      </w:pPr>
    </w:p>
    <w:p w14:paraId="00000024" w14:textId="67B704CA" w:rsidR="00907779" w:rsidRPr="00B0488C" w:rsidRDefault="00895131" w:rsidP="00C82FB8">
      <w:pPr>
        <w:spacing w:line="240" w:lineRule="auto"/>
        <w:ind w:left="851" w:hanging="425"/>
        <w:contextualSpacing/>
        <w:jc w:val="both"/>
        <w:rPr>
          <w:rFonts w:asciiTheme="minorHAnsi" w:hAnsiTheme="minorHAnsi"/>
          <w:sz w:val="20"/>
          <w:szCs w:val="20"/>
        </w:rPr>
      </w:pPr>
      <w:r w:rsidRPr="00B0488C">
        <w:rPr>
          <w:rFonts w:asciiTheme="minorHAnsi" w:hAnsiTheme="minorHAnsi"/>
          <w:sz w:val="20"/>
          <w:szCs w:val="20"/>
        </w:rPr>
        <w:t>b)</w:t>
      </w:r>
      <w:r w:rsidR="00092E26" w:rsidRPr="00B0488C">
        <w:rPr>
          <w:rFonts w:asciiTheme="minorHAnsi" w:hAnsiTheme="minorHAnsi"/>
          <w:sz w:val="20"/>
          <w:szCs w:val="20"/>
        </w:rPr>
        <w:tab/>
      </w:r>
      <w:r w:rsidRPr="00B0488C">
        <w:rPr>
          <w:rFonts w:asciiTheme="minorHAnsi" w:hAnsiTheme="minorHAnsi"/>
          <w:sz w:val="20"/>
          <w:szCs w:val="20"/>
        </w:rPr>
        <w:t>un équipement d'extinction d'incendie ;</w:t>
      </w:r>
    </w:p>
    <w:p w14:paraId="6A0CE831" w14:textId="77777777" w:rsidR="00C82FB8" w:rsidRPr="00B0488C" w:rsidRDefault="00C82FB8" w:rsidP="00C82FB8">
      <w:pPr>
        <w:spacing w:line="240" w:lineRule="auto"/>
        <w:ind w:left="851" w:hanging="425"/>
        <w:contextualSpacing/>
        <w:jc w:val="both"/>
        <w:rPr>
          <w:rFonts w:asciiTheme="minorHAnsi" w:eastAsia="Cambria" w:hAnsiTheme="minorHAnsi" w:cs="Cambria"/>
          <w:sz w:val="20"/>
          <w:szCs w:val="20"/>
        </w:rPr>
      </w:pPr>
    </w:p>
    <w:p w14:paraId="00000026" w14:textId="22FD8B4B" w:rsidR="00907779" w:rsidRPr="00B0488C" w:rsidRDefault="00895131" w:rsidP="00C82FB8">
      <w:pPr>
        <w:spacing w:line="240" w:lineRule="auto"/>
        <w:ind w:left="851" w:hanging="425"/>
        <w:contextualSpacing/>
        <w:jc w:val="both"/>
        <w:rPr>
          <w:rFonts w:asciiTheme="minorHAnsi" w:eastAsia="Cambria" w:hAnsiTheme="minorHAnsi" w:cs="Cambria"/>
          <w:sz w:val="20"/>
          <w:szCs w:val="20"/>
        </w:rPr>
      </w:pPr>
      <w:r w:rsidRPr="00B0488C">
        <w:rPr>
          <w:rFonts w:asciiTheme="minorHAnsi" w:hAnsiTheme="minorHAnsi"/>
          <w:sz w:val="20"/>
          <w:szCs w:val="20"/>
        </w:rPr>
        <w:t xml:space="preserve">c) </w:t>
      </w:r>
      <w:r w:rsidR="00092E26" w:rsidRPr="00B0488C">
        <w:rPr>
          <w:rFonts w:asciiTheme="minorHAnsi" w:hAnsiTheme="minorHAnsi"/>
          <w:sz w:val="20"/>
          <w:szCs w:val="20"/>
        </w:rPr>
        <w:tab/>
      </w:r>
      <w:r w:rsidR="00BE1B63" w:rsidRPr="00B0488C">
        <w:rPr>
          <w:rFonts w:asciiTheme="minorHAnsi" w:hAnsiTheme="minorHAnsi"/>
          <w:sz w:val="20"/>
          <w:szCs w:val="20"/>
        </w:rPr>
        <w:t xml:space="preserve">des </w:t>
      </w:r>
      <w:r w:rsidR="00A615A4" w:rsidRPr="00B0488C">
        <w:rPr>
          <w:rFonts w:asciiTheme="minorHAnsi" w:hAnsiTheme="minorHAnsi"/>
          <w:sz w:val="20"/>
          <w:szCs w:val="20"/>
        </w:rPr>
        <w:t>vêtements de flottaison indi</w:t>
      </w:r>
      <w:r w:rsidR="000F04EC" w:rsidRPr="00B0488C">
        <w:rPr>
          <w:rFonts w:asciiTheme="minorHAnsi" w:hAnsiTheme="minorHAnsi"/>
          <w:sz w:val="20"/>
          <w:szCs w:val="20"/>
        </w:rPr>
        <w:t>viduels (</w:t>
      </w:r>
      <w:r w:rsidR="00BE1B63" w:rsidRPr="00B0488C">
        <w:rPr>
          <w:rFonts w:asciiTheme="minorHAnsi" w:hAnsiTheme="minorHAnsi"/>
          <w:sz w:val="20"/>
          <w:szCs w:val="20"/>
        </w:rPr>
        <w:t>VFI</w:t>
      </w:r>
      <w:r w:rsidR="000F04EC" w:rsidRPr="00B0488C">
        <w:rPr>
          <w:rFonts w:asciiTheme="minorHAnsi" w:hAnsiTheme="minorHAnsi"/>
          <w:sz w:val="20"/>
          <w:szCs w:val="20"/>
        </w:rPr>
        <w:t>)</w:t>
      </w:r>
      <w:r w:rsidR="00BE1B63" w:rsidRPr="00B0488C">
        <w:rPr>
          <w:rFonts w:asciiTheme="minorHAnsi" w:hAnsiTheme="minorHAnsi"/>
          <w:sz w:val="20"/>
          <w:szCs w:val="20"/>
        </w:rPr>
        <w:t xml:space="preserve"> e</w:t>
      </w:r>
      <w:r w:rsidRPr="00B0488C">
        <w:rPr>
          <w:rFonts w:asciiTheme="minorHAnsi" w:hAnsiTheme="minorHAnsi"/>
          <w:sz w:val="20"/>
          <w:szCs w:val="20"/>
        </w:rPr>
        <w:t>n quantité suffisante pour toutes les personnes à bord et conformes aux normes internationales pertinentes, telles que l'Accord du Cap, le cas échéant</w:t>
      </w:r>
      <w:r w:rsidR="00C82FB8" w:rsidRPr="00B0488C">
        <w:rPr>
          <w:rFonts w:asciiTheme="minorHAnsi" w:hAnsiTheme="minorHAnsi"/>
          <w:sz w:val="20"/>
          <w:szCs w:val="20"/>
        </w:rPr>
        <w:t xml:space="preserve">, ou les normes </w:t>
      </w:r>
      <w:r w:rsidR="00B36D92" w:rsidRPr="00B0488C">
        <w:rPr>
          <w:rFonts w:asciiTheme="minorHAnsi" w:hAnsiTheme="minorHAnsi"/>
          <w:sz w:val="20"/>
          <w:szCs w:val="20"/>
        </w:rPr>
        <w:t>internes</w:t>
      </w:r>
      <w:r w:rsidR="00C82FB8" w:rsidRPr="00B0488C">
        <w:rPr>
          <w:rFonts w:asciiTheme="minorHAnsi" w:hAnsiTheme="minorHAnsi"/>
          <w:sz w:val="20"/>
          <w:szCs w:val="20"/>
        </w:rPr>
        <w:t xml:space="preserve"> équivalentes</w:t>
      </w:r>
      <w:r w:rsidR="00E32CA9" w:rsidRPr="00B0488C">
        <w:rPr>
          <w:rFonts w:asciiTheme="minorHAnsi" w:hAnsiTheme="minorHAnsi"/>
          <w:sz w:val="20"/>
          <w:szCs w:val="20"/>
        </w:rPr>
        <w:t xml:space="preserve"> ; et</w:t>
      </w:r>
      <w:r w:rsidRPr="00B0488C">
        <w:rPr>
          <w:rFonts w:asciiTheme="minorHAnsi" w:hAnsiTheme="minorHAnsi"/>
          <w:sz w:val="20"/>
          <w:szCs w:val="20"/>
        </w:rPr>
        <w:t xml:space="preserve"> </w:t>
      </w:r>
    </w:p>
    <w:p w14:paraId="00000027" w14:textId="77777777" w:rsidR="00907779" w:rsidRPr="00B0488C" w:rsidRDefault="00907779" w:rsidP="00C82FB8">
      <w:pPr>
        <w:spacing w:line="240" w:lineRule="auto"/>
        <w:ind w:left="720"/>
        <w:contextualSpacing/>
        <w:jc w:val="both"/>
        <w:rPr>
          <w:rFonts w:asciiTheme="minorHAnsi" w:eastAsia="Cambria" w:hAnsiTheme="minorHAnsi" w:cs="Cambria"/>
          <w:sz w:val="20"/>
          <w:szCs w:val="20"/>
        </w:rPr>
      </w:pPr>
    </w:p>
    <w:p w14:paraId="00000028" w14:textId="33EB6DDF" w:rsidR="00907779" w:rsidRPr="00B0488C" w:rsidRDefault="00895131" w:rsidP="00C82FB8">
      <w:pPr>
        <w:spacing w:line="240" w:lineRule="auto"/>
        <w:ind w:left="851" w:hanging="425"/>
        <w:contextualSpacing/>
        <w:jc w:val="both"/>
        <w:rPr>
          <w:rFonts w:asciiTheme="minorHAnsi" w:eastAsia="Cambria" w:hAnsiTheme="minorHAnsi" w:cs="Cambria"/>
          <w:sz w:val="20"/>
          <w:szCs w:val="20"/>
        </w:rPr>
      </w:pPr>
      <w:r w:rsidRPr="00B0488C">
        <w:rPr>
          <w:rFonts w:asciiTheme="minorHAnsi" w:hAnsiTheme="minorHAnsi"/>
          <w:sz w:val="20"/>
          <w:szCs w:val="20"/>
        </w:rPr>
        <w:t>d)</w:t>
      </w:r>
      <w:r w:rsidRPr="00B0488C">
        <w:rPr>
          <w:rFonts w:asciiTheme="minorHAnsi" w:hAnsiTheme="minorHAnsi"/>
          <w:sz w:val="20"/>
          <w:szCs w:val="20"/>
        </w:rPr>
        <w:tab/>
        <w:t>une radiobalise d'indication de position d'urgence (EPIRB)</w:t>
      </w:r>
      <w:r w:rsidR="00C82FB8" w:rsidRPr="00B0488C">
        <w:rPr>
          <w:rFonts w:asciiTheme="minorHAnsi" w:hAnsiTheme="minorHAnsi"/>
          <w:sz w:val="20"/>
          <w:szCs w:val="20"/>
        </w:rPr>
        <w:t xml:space="preserve">, </w:t>
      </w:r>
      <w:r w:rsidRPr="00B0488C">
        <w:rPr>
          <w:rFonts w:asciiTheme="minorHAnsi" w:hAnsiTheme="minorHAnsi"/>
          <w:sz w:val="20"/>
          <w:szCs w:val="20"/>
        </w:rPr>
        <w:t xml:space="preserve">un transpondeur de recherche et de sauvetage (SART) </w:t>
      </w:r>
      <w:r w:rsidR="00C82FB8" w:rsidRPr="00B0488C">
        <w:rPr>
          <w:rFonts w:asciiTheme="minorHAnsi" w:hAnsiTheme="minorHAnsi"/>
          <w:sz w:val="20"/>
          <w:szCs w:val="20"/>
        </w:rPr>
        <w:t xml:space="preserve">ou un équipement équivalent </w:t>
      </w:r>
      <w:r w:rsidRPr="00B0488C">
        <w:rPr>
          <w:rFonts w:asciiTheme="minorHAnsi" w:hAnsiTheme="minorHAnsi"/>
          <w:sz w:val="20"/>
          <w:szCs w:val="20"/>
        </w:rPr>
        <w:t>dûment enregistré</w:t>
      </w:r>
      <w:r w:rsidR="00C82FB8" w:rsidRPr="00B0488C">
        <w:rPr>
          <w:rFonts w:asciiTheme="minorHAnsi" w:hAnsiTheme="minorHAnsi"/>
          <w:sz w:val="20"/>
          <w:szCs w:val="20"/>
        </w:rPr>
        <w:t xml:space="preserve"> </w:t>
      </w:r>
      <w:r w:rsidRPr="00B0488C">
        <w:rPr>
          <w:rFonts w:asciiTheme="minorHAnsi" w:hAnsiTheme="minorHAnsi"/>
          <w:sz w:val="20"/>
          <w:szCs w:val="20"/>
        </w:rPr>
        <w:t>qui n</w:t>
      </w:r>
      <w:r w:rsidR="00D56A91" w:rsidRPr="00B0488C">
        <w:rPr>
          <w:rFonts w:asciiTheme="minorHAnsi" w:hAnsiTheme="minorHAnsi"/>
          <w:sz w:val="20"/>
          <w:szCs w:val="20"/>
        </w:rPr>
        <w:t xml:space="preserve">e devra pas </w:t>
      </w:r>
      <w:r w:rsidRPr="00B0488C">
        <w:rPr>
          <w:rFonts w:asciiTheme="minorHAnsi" w:hAnsiTheme="minorHAnsi"/>
          <w:sz w:val="20"/>
          <w:szCs w:val="20"/>
        </w:rPr>
        <w:t xml:space="preserve">expirer tant que le déploiement de l'observateur n'aura pas pris fin. </w:t>
      </w:r>
    </w:p>
    <w:p w14:paraId="00000029" w14:textId="77777777" w:rsidR="00907779" w:rsidRPr="00B0488C" w:rsidRDefault="00907779" w:rsidP="00904027">
      <w:pPr>
        <w:spacing w:line="240" w:lineRule="auto"/>
        <w:jc w:val="both"/>
        <w:rPr>
          <w:rFonts w:asciiTheme="minorHAnsi" w:eastAsia="Cambria" w:hAnsiTheme="minorHAnsi" w:cs="Cambria"/>
          <w:sz w:val="20"/>
          <w:szCs w:val="20"/>
        </w:rPr>
      </w:pPr>
    </w:p>
    <w:p w14:paraId="0000002A" w14:textId="49BCDFDA" w:rsidR="00907779" w:rsidRPr="00B0488C" w:rsidRDefault="00682852" w:rsidP="00420DB1">
      <w:pPr>
        <w:spacing w:line="240" w:lineRule="auto"/>
        <w:ind w:left="426"/>
        <w:jc w:val="both"/>
        <w:rPr>
          <w:rFonts w:asciiTheme="minorHAnsi" w:eastAsia="Cambria" w:hAnsiTheme="minorHAnsi" w:cs="Cambria"/>
          <w:sz w:val="20"/>
          <w:szCs w:val="20"/>
        </w:rPr>
      </w:pPr>
      <w:r w:rsidRPr="00B0488C">
        <w:rPr>
          <w:rFonts w:asciiTheme="minorHAnsi" w:hAnsiTheme="minorHAnsi"/>
          <w:sz w:val="20"/>
          <w:szCs w:val="20"/>
        </w:rPr>
        <w:t xml:space="preserve">Les CPC pourraient choisir d'exempter leurs navires de 12 mètres </w:t>
      </w:r>
      <w:r w:rsidR="00C171A3" w:rsidRPr="00B0488C">
        <w:rPr>
          <w:rFonts w:asciiTheme="minorHAnsi" w:hAnsiTheme="minorHAnsi"/>
          <w:sz w:val="20"/>
          <w:szCs w:val="20"/>
        </w:rPr>
        <w:t xml:space="preserve">ou moins </w:t>
      </w:r>
      <w:r w:rsidRPr="00B0488C">
        <w:rPr>
          <w:rFonts w:asciiTheme="minorHAnsi" w:hAnsiTheme="minorHAnsi"/>
          <w:sz w:val="20"/>
          <w:szCs w:val="20"/>
        </w:rPr>
        <w:t>de longueur hors tout (LHT)</w:t>
      </w:r>
      <w:r w:rsidR="00C82FB8" w:rsidRPr="00B0488C">
        <w:rPr>
          <w:rFonts w:asciiTheme="minorHAnsi" w:hAnsiTheme="minorHAnsi"/>
          <w:sz w:val="20"/>
          <w:szCs w:val="20"/>
        </w:rPr>
        <w:t xml:space="preserve"> </w:t>
      </w:r>
      <w:r w:rsidRPr="00B0488C">
        <w:rPr>
          <w:rFonts w:asciiTheme="minorHAnsi" w:hAnsiTheme="minorHAnsi"/>
          <w:sz w:val="20"/>
          <w:szCs w:val="20"/>
        </w:rPr>
        <w:t xml:space="preserve">et opérant à moins de </w:t>
      </w:r>
      <w:r w:rsidR="00C82FB8" w:rsidRPr="00B0488C">
        <w:rPr>
          <w:rFonts w:asciiTheme="minorHAnsi" w:hAnsiTheme="minorHAnsi"/>
          <w:sz w:val="20"/>
          <w:szCs w:val="20"/>
        </w:rPr>
        <w:t>12</w:t>
      </w:r>
      <w:r w:rsidRPr="00B0488C">
        <w:rPr>
          <w:rFonts w:asciiTheme="minorHAnsi" w:hAnsiTheme="minorHAnsi"/>
          <w:sz w:val="20"/>
          <w:szCs w:val="20"/>
        </w:rPr>
        <w:t xml:space="preserve"> milles marins de la ligne de base</w:t>
      </w:r>
      <w:r w:rsidR="007F7604" w:rsidRPr="00B0488C">
        <w:rPr>
          <w:rFonts w:asciiTheme="minorHAnsi" w:hAnsiTheme="minorHAnsi"/>
          <w:sz w:val="20"/>
          <w:szCs w:val="20"/>
        </w:rPr>
        <w:t>,</w:t>
      </w:r>
      <w:r w:rsidRPr="00B0488C">
        <w:rPr>
          <w:rFonts w:asciiTheme="minorHAnsi" w:hAnsiTheme="minorHAnsi"/>
          <w:sz w:val="20"/>
          <w:szCs w:val="20"/>
        </w:rPr>
        <w:t xml:space="preserve"> </w:t>
      </w:r>
      <w:r w:rsidR="00ED5194" w:rsidRPr="00B0488C">
        <w:rPr>
          <w:rFonts w:asciiTheme="minorHAnsi" w:hAnsiTheme="minorHAnsi"/>
          <w:sz w:val="20"/>
          <w:szCs w:val="20"/>
        </w:rPr>
        <w:t xml:space="preserve">des obligations énoncées aux </w:t>
      </w:r>
      <w:r w:rsidR="00F273BF">
        <w:rPr>
          <w:rFonts w:asciiTheme="minorHAnsi" w:hAnsiTheme="minorHAnsi"/>
          <w:sz w:val="20"/>
          <w:szCs w:val="20"/>
        </w:rPr>
        <w:t>paragraphes</w:t>
      </w:r>
      <w:r w:rsidR="00ED5194" w:rsidRPr="00B0488C">
        <w:rPr>
          <w:rFonts w:asciiTheme="minorHAnsi" w:hAnsiTheme="minorHAnsi"/>
          <w:sz w:val="20"/>
          <w:szCs w:val="20"/>
        </w:rPr>
        <w:t xml:space="preserve"> 4a et 4d ci-dessus</w:t>
      </w:r>
      <w:r w:rsidR="007F7604" w:rsidRPr="00B0488C">
        <w:rPr>
          <w:rFonts w:asciiTheme="minorHAnsi" w:hAnsiTheme="minorHAnsi"/>
          <w:sz w:val="20"/>
          <w:szCs w:val="20"/>
        </w:rPr>
        <w:t>,</w:t>
      </w:r>
      <w:r w:rsidR="00ED5194" w:rsidRPr="00B0488C">
        <w:rPr>
          <w:rFonts w:asciiTheme="minorHAnsi" w:hAnsiTheme="minorHAnsi"/>
          <w:sz w:val="20"/>
          <w:szCs w:val="20"/>
        </w:rPr>
        <w:t xml:space="preserve"> si une balise de localisation personnelle est remise à l'observateur</w:t>
      </w:r>
      <w:r w:rsidRPr="00B0488C">
        <w:rPr>
          <w:rFonts w:asciiTheme="minorHAnsi" w:hAnsiTheme="minorHAnsi"/>
          <w:sz w:val="20"/>
          <w:szCs w:val="20"/>
        </w:rPr>
        <w:t>.</w:t>
      </w:r>
    </w:p>
    <w:p w14:paraId="0000002B" w14:textId="77777777" w:rsidR="00907779" w:rsidRPr="00B0488C" w:rsidRDefault="00907779" w:rsidP="00904027">
      <w:pPr>
        <w:spacing w:line="240" w:lineRule="auto"/>
        <w:jc w:val="both"/>
        <w:rPr>
          <w:rFonts w:asciiTheme="minorHAnsi" w:eastAsia="Cambria" w:hAnsiTheme="minorHAnsi" w:cs="Cambria"/>
          <w:sz w:val="20"/>
          <w:szCs w:val="20"/>
        </w:rPr>
      </w:pPr>
    </w:p>
    <w:p w14:paraId="0000002C" w14:textId="2CEC0B01" w:rsidR="00907779" w:rsidRPr="00B0488C" w:rsidRDefault="0068285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La CPC devra s'assurer qu'un observateur n'est pas déployé sur un navire à moins et jusqu'à ce que l'observateur ait </w:t>
      </w:r>
      <w:r w:rsidR="003B7FED" w:rsidRPr="00B0488C">
        <w:rPr>
          <w:rFonts w:asciiTheme="minorHAnsi" w:hAnsiTheme="minorHAnsi"/>
          <w:sz w:val="20"/>
          <w:szCs w:val="20"/>
        </w:rPr>
        <w:t>été autorisé</w:t>
      </w:r>
      <w:r w:rsidRPr="00B0488C">
        <w:rPr>
          <w:rFonts w:asciiTheme="minorHAnsi" w:hAnsiTheme="minorHAnsi"/>
          <w:sz w:val="20"/>
          <w:szCs w:val="20"/>
        </w:rPr>
        <w:t xml:space="preserve"> </w:t>
      </w:r>
      <w:r w:rsidR="00B36D92" w:rsidRPr="00B0488C">
        <w:rPr>
          <w:rFonts w:asciiTheme="minorHAnsi" w:hAnsiTheme="minorHAnsi"/>
          <w:sz w:val="20"/>
          <w:szCs w:val="20"/>
        </w:rPr>
        <w:t xml:space="preserve">1) </w:t>
      </w:r>
      <w:r w:rsidR="006867B0" w:rsidRPr="00B0488C">
        <w:rPr>
          <w:rFonts w:asciiTheme="minorHAnsi" w:hAnsiTheme="minorHAnsi"/>
          <w:sz w:val="20"/>
          <w:szCs w:val="20"/>
        </w:rPr>
        <w:t xml:space="preserve">à </w:t>
      </w:r>
      <w:r w:rsidR="00C82FB8" w:rsidRPr="00B0488C">
        <w:rPr>
          <w:rFonts w:asciiTheme="minorHAnsi" w:hAnsiTheme="minorHAnsi"/>
          <w:sz w:val="20"/>
          <w:szCs w:val="20"/>
        </w:rPr>
        <w:t>visiter</w:t>
      </w:r>
      <w:r w:rsidRPr="00B0488C">
        <w:rPr>
          <w:rFonts w:asciiTheme="minorHAnsi" w:hAnsiTheme="minorHAnsi"/>
          <w:sz w:val="20"/>
          <w:szCs w:val="20"/>
        </w:rPr>
        <w:t xml:space="preserve"> les principaux espaces du navire afin de s'assurer qu'il n'existe pas de conditions manifestement dangereuses, </w:t>
      </w:r>
      <w:r w:rsidR="00190D30" w:rsidRPr="00B0488C">
        <w:rPr>
          <w:rFonts w:asciiTheme="minorHAnsi" w:hAnsiTheme="minorHAnsi"/>
          <w:sz w:val="20"/>
          <w:szCs w:val="20"/>
        </w:rPr>
        <w:t xml:space="preserve">2) </w:t>
      </w:r>
      <w:r w:rsidR="00FD5857" w:rsidRPr="00B0488C">
        <w:rPr>
          <w:rFonts w:asciiTheme="minorHAnsi" w:hAnsiTheme="minorHAnsi"/>
          <w:sz w:val="20"/>
          <w:szCs w:val="20"/>
        </w:rPr>
        <w:t>à</w:t>
      </w:r>
      <w:r w:rsidR="006867B0" w:rsidRPr="00B0488C">
        <w:rPr>
          <w:rFonts w:asciiTheme="minorHAnsi" w:hAnsiTheme="minorHAnsi"/>
          <w:sz w:val="20"/>
          <w:szCs w:val="20"/>
        </w:rPr>
        <w:t xml:space="preserve"> </w:t>
      </w:r>
      <w:r w:rsidR="00C82FB8" w:rsidRPr="00B0488C">
        <w:rPr>
          <w:rFonts w:asciiTheme="minorHAnsi" w:hAnsiTheme="minorHAnsi"/>
          <w:sz w:val="20"/>
          <w:szCs w:val="20"/>
        </w:rPr>
        <w:t>confirmer la présence d’</w:t>
      </w:r>
      <w:r w:rsidRPr="00B0488C">
        <w:rPr>
          <w:rFonts w:asciiTheme="minorHAnsi" w:hAnsiTheme="minorHAnsi"/>
          <w:sz w:val="20"/>
          <w:szCs w:val="20"/>
        </w:rPr>
        <w:t>équipement</w:t>
      </w:r>
      <w:r w:rsidR="00C82FB8" w:rsidRPr="00B0488C">
        <w:rPr>
          <w:rFonts w:asciiTheme="minorHAnsi" w:hAnsiTheme="minorHAnsi"/>
          <w:sz w:val="20"/>
          <w:szCs w:val="20"/>
        </w:rPr>
        <w:t>s</w:t>
      </w:r>
      <w:r w:rsidRPr="00B0488C">
        <w:rPr>
          <w:rFonts w:asciiTheme="minorHAnsi" w:hAnsiTheme="minorHAnsi"/>
          <w:sz w:val="20"/>
          <w:szCs w:val="20"/>
        </w:rPr>
        <w:t xml:space="preserve"> de sécurité, et</w:t>
      </w:r>
      <w:r w:rsidR="00C82FB8" w:rsidRPr="00B0488C">
        <w:rPr>
          <w:rFonts w:asciiTheme="minorHAnsi" w:hAnsiTheme="minorHAnsi"/>
          <w:sz w:val="20"/>
          <w:szCs w:val="20"/>
        </w:rPr>
        <w:t xml:space="preserve">, si nécessaire, </w:t>
      </w:r>
      <w:r w:rsidR="00190D30" w:rsidRPr="00B0488C">
        <w:rPr>
          <w:rFonts w:asciiTheme="minorHAnsi" w:hAnsiTheme="minorHAnsi"/>
          <w:sz w:val="20"/>
          <w:szCs w:val="20"/>
        </w:rPr>
        <w:t xml:space="preserve">3) </w:t>
      </w:r>
      <w:r w:rsidR="0095343B" w:rsidRPr="00B0488C">
        <w:rPr>
          <w:rFonts w:asciiTheme="minorHAnsi" w:hAnsiTheme="minorHAnsi"/>
          <w:sz w:val="20"/>
          <w:szCs w:val="20"/>
        </w:rPr>
        <w:t>à</w:t>
      </w:r>
      <w:r w:rsidR="006867B0" w:rsidRPr="00B0488C">
        <w:rPr>
          <w:rFonts w:asciiTheme="minorHAnsi" w:hAnsiTheme="minorHAnsi"/>
          <w:sz w:val="20"/>
          <w:szCs w:val="20"/>
        </w:rPr>
        <w:t xml:space="preserve"> </w:t>
      </w:r>
      <w:r w:rsidRPr="00B0488C">
        <w:rPr>
          <w:rFonts w:asciiTheme="minorHAnsi" w:hAnsiTheme="minorHAnsi"/>
          <w:sz w:val="20"/>
          <w:szCs w:val="20"/>
        </w:rPr>
        <w:t>faire un rapport sur son état au prestataire des services d’observateurs ou aux autorités compétentes de la CPC</w:t>
      </w:r>
      <w:r w:rsidR="00345AC7" w:rsidRPr="00B0488C">
        <w:rPr>
          <w:rFonts w:asciiTheme="minorHAnsi" w:hAnsiTheme="minorHAnsi"/>
          <w:sz w:val="20"/>
          <w:szCs w:val="20"/>
        </w:rPr>
        <w:t>.</w:t>
      </w:r>
      <w:r w:rsidR="0026338D" w:rsidRPr="00B0488C">
        <w:rPr>
          <w:rFonts w:asciiTheme="minorHAnsi" w:hAnsiTheme="minorHAnsi"/>
          <w:sz w:val="20"/>
          <w:szCs w:val="20"/>
        </w:rPr>
        <w:t xml:space="preserve"> </w:t>
      </w:r>
      <w:r w:rsidR="005B6B3D" w:rsidRPr="00B0488C">
        <w:rPr>
          <w:rFonts w:asciiTheme="minorHAnsi" w:hAnsiTheme="minorHAnsi"/>
          <w:sz w:val="20"/>
          <w:szCs w:val="20"/>
        </w:rPr>
        <w:t xml:space="preserve">Les CPC devront accorder toute l'attention nécessaire </w:t>
      </w:r>
      <w:r w:rsidR="006867B0" w:rsidRPr="00B0488C">
        <w:rPr>
          <w:rFonts w:asciiTheme="minorHAnsi" w:hAnsiTheme="minorHAnsi"/>
          <w:sz w:val="20"/>
          <w:szCs w:val="20"/>
        </w:rPr>
        <w:t>à tous</w:t>
      </w:r>
      <w:r w:rsidR="005B6B3D" w:rsidRPr="00B0488C">
        <w:rPr>
          <w:rFonts w:asciiTheme="minorHAnsi" w:hAnsiTheme="minorHAnsi"/>
          <w:sz w:val="20"/>
          <w:szCs w:val="20"/>
        </w:rPr>
        <w:t xml:space="preserve"> problèmes de sécurité signalés.</w:t>
      </w:r>
    </w:p>
    <w:p w14:paraId="0000002D" w14:textId="77777777" w:rsidR="00907779" w:rsidRPr="00B0488C" w:rsidRDefault="00907779" w:rsidP="00904027">
      <w:pPr>
        <w:spacing w:line="240" w:lineRule="auto"/>
        <w:jc w:val="both"/>
        <w:rPr>
          <w:rFonts w:asciiTheme="minorHAnsi" w:eastAsia="Cambria" w:hAnsiTheme="minorHAnsi" w:cs="Cambria"/>
          <w:sz w:val="20"/>
          <w:szCs w:val="20"/>
        </w:rPr>
      </w:pPr>
    </w:p>
    <w:p w14:paraId="05E0F734" w14:textId="71DBBA13" w:rsidR="00656F9C" w:rsidRPr="00B0488C" w:rsidRDefault="00656F9C" w:rsidP="00512BBE">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Les CPC devront s'assurer qu'il existe une procédure établie pour contacter et être contacté par l'observateur et le navire et que cette procédure prévoit des contacts réguliers</w:t>
      </w:r>
      <w:r w:rsidR="001430EB" w:rsidRPr="00B0488C">
        <w:rPr>
          <w:rFonts w:asciiTheme="minorHAnsi" w:hAnsiTheme="minorHAnsi"/>
          <w:sz w:val="20"/>
          <w:szCs w:val="20"/>
        </w:rPr>
        <w:t xml:space="preserve"> programmés</w:t>
      </w:r>
      <w:r w:rsidRPr="00B0488C">
        <w:rPr>
          <w:rFonts w:asciiTheme="minorHAnsi" w:hAnsiTheme="minorHAnsi"/>
          <w:sz w:val="20"/>
          <w:szCs w:val="20"/>
        </w:rPr>
        <w:t xml:space="preserve"> avec les observateurs afin de confirmer leur état de santé, de sécurité et de bien-être. Les CPC devront s’assurer qu’il existe un point de contact désigné auquel les observateurs déployés peuvent faire appel en cas d'urgence.</w:t>
      </w:r>
    </w:p>
    <w:p w14:paraId="22782896" w14:textId="77777777" w:rsidR="00656F9C" w:rsidRPr="00B0488C" w:rsidRDefault="00656F9C" w:rsidP="00656F9C">
      <w:pPr>
        <w:rPr>
          <w:rFonts w:asciiTheme="minorHAnsi" w:eastAsia="Cambria" w:hAnsiTheme="minorHAnsi" w:cs="Cambria"/>
          <w:sz w:val="20"/>
          <w:szCs w:val="20"/>
        </w:rPr>
      </w:pPr>
    </w:p>
    <w:p w14:paraId="15A17D6D" w14:textId="53466ABE" w:rsidR="00C82FB8" w:rsidRPr="00B0488C" w:rsidRDefault="00656F9C" w:rsidP="00A07166">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color w:val="000000"/>
          <w:sz w:val="20"/>
          <w:szCs w:val="20"/>
        </w:rPr>
        <w:t>Les CPC devront élaborer et mettre en œuvre un protocole d’urgence qui décrive clairement les mesures à prendre en cas de diverses urgences, y compris les situations où un observateur décède, disparait ou est présumé être tombé par-dessus bord, souffre d'une maladie ou d'une blessure grave qui met sa santé ou sa sécurité en danger, a été agressé, intimidé, menacé ou harcelé à bord d'un navire, ou si l'observateur demande à être retiré du navire avant la fin de la sortie.</w:t>
      </w:r>
    </w:p>
    <w:p w14:paraId="103A4F25" w14:textId="77777777" w:rsidR="004819FC" w:rsidRPr="00B0488C" w:rsidRDefault="004819FC" w:rsidP="004819FC">
      <w:pPr>
        <w:pStyle w:val="ListParagraph"/>
        <w:rPr>
          <w:rFonts w:asciiTheme="minorHAnsi" w:eastAsia="Cambria" w:hAnsiTheme="minorHAnsi" w:cs="Cambria"/>
          <w:sz w:val="20"/>
          <w:szCs w:val="20"/>
        </w:rPr>
      </w:pPr>
    </w:p>
    <w:p w14:paraId="5EA835A8" w14:textId="02E82D85" w:rsidR="007604B1" w:rsidRPr="00B0488C" w:rsidRDefault="007604B1" w:rsidP="007604B1">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Les CPC de pavillon dont les navires transportent des observateurs visés par la présente Recommandation devront, sous réserve des lois </w:t>
      </w:r>
      <w:r w:rsidR="0015326B" w:rsidRPr="00B0488C">
        <w:rPr>
          <w:rFonts w:asciiTheme="minorHAnsi" w:hAnsiTheme="minorHAnsi"/>
          <w:sz w:val="20"/>
          <w:szCs w:val="20"/>
        </w:rPr>
        <w:t>internes</w:t>
      </w:r>
      <w:r w:rsidRPr="00B0488C">
        <w:rPr>
          <w:rFonts w:asciiTheme="minorHAnsi" w:hAnsiTheme="minorHAnsi"/>
          <w:sz w:val="20"/>
          <w:szCs w:val="20"/>
        </w:rPr>
        <w:t xml:space="preserve"> relatives à la confidentialité et au respect de la vie privée, soumettre au Secrétaire exécutif des rapports sur les incidents impliquant des observateurs et entraînant des blessures graves, des décès, ou dans le cas d'un observateur</w:t>
      </w:r>
      <w:r w:rsidRPr="00B0488C">
        <w:rPr>
          <w:rFonts w:asciiTheme="minorHAnsi" w:hAnsiTheme="minorHAnsi"/>
          <w:color w:val="000000"/>
          <w:sz w:val="20"/>
          <w:szCs w:val="20"/>
        </w:rPr>
        <w:t xml:space="preserve"> disparu ou présumé être tombé </w:t>
      </w:r>
      <w:r w:rsidRPr="00B0488C">
        <w:rPr>
          <w:rFonts w:asciiTheme="minorHAnsi" w:hAnsiTheme="minorHAnsi"/>
          <w:sz w:val="20"/>
          <w:szCs w:val="20"/>
        </w:rPr>
        <w:t xml:space="preserve">par-dessus bord, y compris toute action corrective prise par la CPC de pavillon. Le Secrétaire exécutif devra transmettre ces rapports à la Commission, conformément aux </w:t>
      </w:r>
      <w:r w:rsidR="00C82FB8" w:rsidRPr="00B0488C">
        <w:rPr>
          <w:rFonts w:asciiTheme="minorHAnsi" w:hAnsiTheme="minorHAnsi"/>
          <w:sz w:val="20"/>
          <w:szCs w:val="20"/>
        </w:rPr>
        <w:t>normes et procédures pour la protection, l’accès et la diffusion des données compilées par l’ICCAT,</w:t>
      </w:r>
      <w:r w:rsidRPr="00B0488C">
        <w:rPr>
          <w:rFonts w:asciiTheme="minorHAnsi" w:hAnsiTheme="minorHAnsi"/>
          <w:sz w:val="20"/>
          <w:szCs w:val="20"/>
        </w:rPr>
        <w:t xml:space="preserve"> aux fins de leur examen à chaque réunion annuelle ou, lorsque cela est justifié, plus fréquemment.</w:t>
      </w:r>
    </w:p>
    <w:p w14:paraId="0000002F" w14:textId="77777777" w:rsidR="00907779" w:rsidRPr="00B0488C" w:rsidRDefault="00907779" w:rsidP="00904027">
      <w:pPr>
        <w:spacing w:line="240" w:lineRule="auto"/>
        <w:jc w:val="both"/>
        <w:rPr>
          <w:rFonts w:asciiTheme="minorHAnsi" w:eastAsia="Cambria" w:hAnsiTheme="minorHAnsi" w:cs="Cambria"/>
          <w:sz w:val="20"/>
          <w:szCs w:val="20"/>
        </w:rPr>
      </w:pPr>
    </w:p>
    <w:p w14:paraId="223F75F0" w14:textId="2D7317E0" w:rsidR="00C82FB8" w:rsidRPr="00B0488C" w:rsidRDefault="00916A21" w:rsidP="00685059">
      <w:pPr>
        <w:pStyle w:val="ListParagraph"/>
        <w:numPr>
          <w:ilvl w:val="0"/>
          <w:numId w:val="1"/>
        </w:numPr>
        <w:spacing w:line="240" w:lineRule="auto"/>
        <w:ind w:left="426" w:hanging="426"/>
        <w:jc w:val="both"/>
        <w:rPr>
          <w:rFonts w:asciiTheme="minorHAnsi" w:hAnsiTheme="minorHAnsi"/>
          <w:sz w:val="20"/>
          <w:szCs w:val="20"/>
        </w:rPr>
      </w:pPr>
      <w:r w:rsidRPr="00B0488C">
        <w:rPr>
          <w:rFonts w:asciiTheme="minorHAnsi" w:hAnsiTheme="minorHAnsi"/>
          <w:sz w:val="20"/>
          <w:szCs w:val="20"/>
        </w:rPr>
        <w:t>Les CPC de pavillon devront coopérer dans toute la mesure du possible avec les autres CPC et/ou les non-CPC</w:t>
      </w:r>
      <w:r w:rsidR="00964E53" w:rsidRPr="00B0488C">
        <w:rPr>
          <w:rFonts w:asciiTheme="minorHAnsi" w:hAnsiTheme="minorHAnsi"/>
          <w:sz w:val="20"/>
          <w:szCs w:val="20"/>
        </w:rPr>
        <w:t xml:space="preserve"> pertinentes</w:t>
      </w:r>
      <w:r w:rsidRPr="00B0488C">
        <w:rPr>
          <w:rFonts w:asciiTheme="minorHAnsi" w:hAnsiTheme="minorHAnsi"/>
          <w:sz w:val="20"/>
          <w:szCs w:val="20"/>
        </w:rPr>
        <w:t xml:space="preserve">, et prévoir la participation avec celles-ci, lorsque cela est approprié et conforme au droit </w:t>
      </w:r>
      <w:r w:rsidR="00912F65" w:rsidRPr="00B0488C">
        <w:rPr>
          <w:rFonts w:asciiTheme="minorHAnsi" w:hAnsiTheme="minorHAnsi"/>
          <w:sz w:val="20"/>
          <w:szCs w:val="20"/>
        </w:rPr>
        <w:t>interne</w:t>
      </w:r>
      <w:r w:rsidRPr="00B0488C">
        <w:rPr>
          <w:rFonts w:asciiTheme="minorHAnsi" w:hAnsiTheme="minorHAnsi"/>
          <w:sz w:val="20"/>
          <w:szCs w:val="20"/>
        </w:rPr>
        <w:t>, dans le cadre d'opérations de recherche et de sauvetage et d’enquêtes si l’observateur décède, disparaît ou est présumé être tombé par-dessus bord, s’il souffre d'une maladie ou d'une blessure grave qui menace sa santé ou sa sécurité, ou s’il a été agressé, intimidé, menacé ou harcelé à bord d'un navire.</w:t>
      </w:r>
      <w:r w:rsidR="00C82FB8" w:rsidRPr="00B0488C">
        <w:rPr>
          <w:rFonts w:asciiTheme="minorHAnsi" w:hAnsiTheme="minorHAnsi"/>
          <w:sz w:val="20"/>
          <w:szCs w:val="20"/>
        </w:rPr>
        <w:br w:type="page"/>
      </w:r>
    </w:p>
    <w:p w14:paraId="0000003C" w14:textId="5A5E1F7E" w:rsidR="00907779" w:rsidRPr="00B0488C" w:rsidRDefault="0068285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lastRenderedPageBreak/>
        <w:t xml:space="preserve">La présente Recommandation ne </w:t>
      </w:r>
      <w:r w:rsidR="002B3AC6" w:rsidRPr="00B0488C">
        <w:rPr>
          <w:rFonts w:asciiTheme="minorHAnsi" w:hAnsiTheme="minorHAnsi"/>
          <w:sz w:val="20"/>
          <w:szCs w:val="20"/>
        </w:rPr>
        <w:t xml:space="preserve">devra </w:t>
      </w:r>
      <w:r w:rsidRPr="00B0488C">
        <w:rPr>
          <w:rFonts w:asciiTheme="minorHAnsi" w:hAnsiTheme="minorHAnsi"/>
          <w:sz w:val="20"/>
          <w:szCs w:val="20"/>
        </w:rPr>
        <w:t>porte</w:t>
      </w:r>
      <w:r w:rsidR="002B3AC6" w:rsidRPr="00B0488C">
        <w:rPr>
          <w:rFonts w:asciiTheme="minorHAnsi" w:hAnsiTheme="minorHAnsi"/>
          <w:sz w:val="20"/>
          <w:szCs w:val="20"/>
        </w:rPr>
        <w:t>r</w:t>
      </w:r>
      <w:r w:rsidRPr="00B0488C">
        <w:rPr>
          <w:rFonts w:asciiTheme="minorHAnsi" w:hAnsiTheme="minorHAnsi"/>
          <w:sz w:val="20"/>
          <w:szCs w:val="20"/>
        </w:rPr>
        <w:t xml:space="preserve"> en rien atteinte à l'exercice du pouvoir discrétionnaire des autorités des CPC pertinentes de ne pas déployer d’observateur à bord d’un navire si elles craignent qu</w:t>
      </w:r>
      <w:r w:rsidR="00DE5E50" w:rsidRPr="00B0488C">
        <w:rPr>
          <w:rFonts w:asciiTheme="minorHAnsi" w:hAnsiTheme="minorHAnsi"/>
          <w:sz w:val="20"/>
          <w:szCs w:val="20"/>
        </w:rPr>
        <w:t>’il existe un risque pour</w:t>
      </w:r>
      <w:r w:rsidRPr="00B0488C">
        <w:rPr>
          <w:rFonts w:asciiTheme="minorHAnsi" w:hAnsiTheme="minorHAnsi"/>
          <w:sz w:val="20"/>
          <w:szCs w:val="20"/>
        </w:rPr>
        <w:t xml:space="preserve"> la santé, la sécurité ou le bien-être de l'observateur.</w:t>
      </w:r>
    </w:p>
    <w:p w14:paraId="0000003D" w14:textId="77777777" w:rsidR="00907779" w:rsidRPr="00B0488C" w:rsidRDefault="00907779" w:rsidP="00904027">
      <w:pPr>
        <w:spacing w:line="240" w:lineRule="auto"/>
        <w:jc w:val="both"/>
        <w:rPr>
          <w:rFonts w:asciiTheme="minorHAnsi" w:eastAsia="Cambria" w:hAnsiTheme="minorHAnsi" w:cs="Cambria"/>
          <w:sz w:val="20"/>
          <w:szCs w:val="20"/>
        </w:rPr>
      </w:pPr>
    </w:p>
    <w:p w14:paraId="0000003E" w14:textId="07FD891C" w:rsidR="00907779" w:rsidRPr="00B0488C" w:rsidRDefault="0068285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La présente mesure ne </w:t>
      </w:r>
      <w:r w:rsidR="00B0488C" w:rsidRPr="00B0488C">
        <w:rPr>
          <w:rFonts w:asciiTheme="minorHAnsi" w:hAnsiTheme="minorHAnsi"/>
          <w:sz w:val="20"/>
          <w:szCs w:val="20"/>
        </w:rPr>
        <w:t xml:space="preserve">devra </w:t>
      </w:r>
      <w:r w:rsidRPr="00B0488C">
        <w:rPr>
          <w:rFonts w:asciiTheme="minorHAnsi" w:hAnsiTheme="minorHAnsi"/>
          <w:sz w:val="20"/>
          <w:szCs w:val="20"/>
        </w:rPr>
        <w:t>porte</w:t>
      </w:r>
      <w:r w:rsidR="00B0488C" w:rsidRPr="00B0488C">
        <w:rPr>
          <w:rFonts w:asciiTheme="minorHAnsi" w:hAnsiTheme="minorHAnsi"/>
          <w:sz w:val="20"/>
          <w:szCs w:val="20"/>
        </w:rPr>
        <w:t>r</w:t>
      </w:r>
      <w:r w:rsidRPr="00B0488C">
        <w:rPr>
          <w:rFonts w:asciiTheme="minorHAnsi" w:hAnsiTheme="minorHAnsi"/>
          <w:sz w:val="20"/>
          <w:szCs w:val="20"/>
        </w:rPr>
        <w:t xml:space="preserve"> en rien atteinte aux droits des CPC concernées de faire appliquer leurs lois en ce qui concerne la sécurité des observateurs conformément au droit international.</w:t>
      </w:r>
    </w:p>
    <w:p w14:paraId="5C1B8CD6" w14:textId="3367BF52" w:rsidR="008F08EB" w:rsidRPr="00B0488C" w:rsidRDefault="008F08EB">
      <w:pPr>
        <w:rPr>
          <w:rFonts w:asciiTheme="minorHAnsi" w:hAnsiTheme="minorHAnsi"/>
          <w:sz w:val="20"/>
          <w:szCs w:val="20"/>
        </w:rPr>
      </w:pPr>
    </w:p>
    <w:p w14:paraId="00000040" w14:textId="09713456" w:rsidR="00907779" w:rsidRPr="00B0488C" w:rsidRDefault="00682852" w:rsidP="005F7202">
      <w:pPr>
        <w:pStyle w:val="ListParagraph"/>
        <w:numPr>
          <w:ilvl w:val="0"/>
          <w:numId w:val="1"/>
        </w:numPr>
        <w:spacing w:line="240" w:lineRule="auto"/>
        <w:ind w:left="426" w:hanging="426"/>
        <w:jc w:val="both"/>
        <w:rPr>
          <w:rFonts w:asciiTheme="minorHAnsi" w:eastAsia="Cambria" w:hAnsiTheme="minorHAnsi" w:cs="Cambria"/>
          <w:sz w:val="20"/>
          <w:szCs w:val="20"/>
        </w:rPr>
      </w:pPr>
      <w:r w:rsidRPr="00B0488C">
        <w:rPr>
          <w:rFonts w:asciiTheme="minorHAnsi" w:hAnsiTheme="minorHAnsi"/>
          <w:sz w:val="20"/>
          <w:szCs w:val="20"/>
        </w:rPr>
        <w:t xml:space="preserve">La présente Recommandation </w:t>
      </w:r>
      <w:r w:rsidR="00B0488C" w:rsidRPr="00B0488C">
        <w:rPr>
          <w:rFonts w:asciiTheme="minorHAnsi" w:hAnsiTheme="minorHAnsi"/>
          <w:sz w:val="20"/>
          <w:szCs w:val="20"/>
        </w:rPr>
        <w:t>devra être</w:t>
      </w:r>
      <w:r w:rsidRPr="00B0488C">
        <w:rPr>
          <w:rFonts w:asciiTheme="minorHAnsi" w:hAnsiTheme="minorHAnsi"/>
          <w:sz w:val="20"/>
          <w:szCs w:val="20"/>
        </w:rPr>
        <w:t xml:space="preserve"> réexaminée trois ans après son adoption, en tenant compte de toute orientation de la FAO sur les normes relatives à la sécurité des observateurs des pêcheries, comme demandé par le Groupe de travail </w:t>
      </w:r>
      <w:r w:rsidRPr="00B0488C">
        <w:rPr>
          <w:rFonts w:asciiTheme="minorHAnsi" w:hAnsiTheme="minorHAnsi"/>
          <w:i/>
          <w:iCs/>
          <w:sz w:val="20"/>
          <w:szCs w:val="20"/>
        </w:rPr>
        <w:t xml:space="preserve">ad hoc </w:t>
      </w:r>
      <w:r w:rsidRPr="00B0488C">
        <w:rPr>
          <w:rFonts w:asciiTheme="minorHAnsi" w:hAnsiTheme="minorHAnsi"/>
          <w:sz w:val="20"/>
          <w:szCs w:val="20"/>
        </w:rPr>
        <w:t>mixte FAO/OMI/OIT sur la pêche illicite, non déclarée et non réglementée et les questions connexes.</w:t>
      </w:r>
    </w:p>
    <w:p w14:paraId="00000080" w14:textId="77777777" w:rsidR="00907779" w:rsidRPr="00B0488C" w:rsidRDefault="00907779" w:rsidP="00904027">
      <w:pPr>
        <w:spacing w:line="240" w:lineRule="auto"/>
        <w:jc w:val="both"/>
        <w:rPr>
          <w:rFonts w:asciiTheme="minorHAnsi" w:eastAsia="Cambria" w:hAnsiTheme="minorHAnsi" w:cs="Cambria"/>
          <w:sz w:val="20"/>
          <w:szCs w:val="20"/>
        </w:rPr>
      </w:pPr>
    </w:p>
    <w:sectPr w:rsidR="00907779" w:rsidRPr="00B0488C" w:rsidSect="0041322A">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E7B29" w14:textId="77777777" w:rsidR="00173DFD" w:rsidRDefault="00173DFD" w:rsidP="00226CF0">
      <w:pPr>
        <w:spacing w:line="240" w:lineRule="auto"/>
      </w:pPr>
      <w:r>
        <w:separator/>
      </w:r>
    </w:p>
  </w:endnote>
  <w:endnote w:type="continuationSeparator" w:id="0">
    <w:p w14:paraId="68285CB7" w14:textId="77777777" w:rsidR="00173DFD" w:rsidRDefault="00173DFD" w:rsidP="00226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65F8" w14:textId="0A9B8DF7" w:rsidR="008253CA" w:rsidRPr="008253CA" w:rsidRDefault="008253CA" w:rsidP="008253CA">
    <w:pPr>
      <w:tabs>
        <w:tab w:val="center" w:pos="4513"/>
        <w:tab w:val="right" w:pos="9026"/>
      </w:tabs>
      <w:spacing w:line="240" w:lineRule="auto"/>
      <w:jc w:val="center"/>
      <w:rPr>
        <w:rFonts w:ascii="Cambria" w:eastAsia="Calibri" w:hAnsi="Cambria"/>
        <w:sz w:val="20"/>
        <w:szCs w:val="20"/>
      </w:rPr>
    </w:pPr>
    <w:r w:rsidRPr="008253CA">
      <w:rPr>
        <w:rFonts w:ascii="Cambria" w:eastAsia="Calibri" w:hAnsi="Cambria"/>
        <w:sz w:val="20"/>
      </w:rPr>
      <w:fldChar w:fldCharType="begin"/>
    </w:r>
    <w:r w:rsidRPr="008253CA">
      <w:rPr>
        <w:rFonts w:ascii="Cambria" w:eastAsia="Calibri" w:hAnsi="Cambria"/>
        <w:sz w:val="20"/>
      </w:rPr>
      <w:instrText xml:space="preserve"> PAGE </w:instrText>
    </w:r>
    <w:r w:rsidRPr="008253CA">
      <w:rPr>
        <w:rFonts w:ascii="Cambria" w:eastAsia="Calibri" w:hAnsi="Cambria"/>
        <w:sz w:val="20"/>
      </w:rPr>
      <w:fldChar w:fldCharType="separate"/>
    </w:r>
    <w:r w:rsidRPr="008253CA">
      <w:rPr>
        <w:rFonts w:ascii="Cambria" w:eastAsia="Calibri" w:hAnsi="Cambria"/>
        <w:sz w:val="20"/>
      </w:rPr>
      <w:t>1</w:t>
    </w:r>
    <w:r w:rsidRPr="008253CA">
      <w:rPr>
        <w:rFonts w:ascii="Cambria" w:eastAsia="Calibri"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5C1D" w14:textId="77777777" w:rsidR="00173DFD" w:rsidRDefault="00173DFD" w:rsidP="00226CF0">
      <w:pPr>
        <w:spacing w:line="240" w:lineRule="auto"/>
      </w:pPr>
      <w:r>
        <w:separator/>
      </w:r>
    </w:p>
  </w:footnote>
  <w:footnote w:type="continuationSeparator" w:id="0">
    <w:p w14:paraId="599EBFD9" w14:textId="77777777" w:rsidR="00173DFD" w:rsidRDefault="00173DFD" w:rsidP="00226C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613B4"/>
    <w:multiLevelType w:val="hybridMultilevel"/>
    <w:tmpl w:val="A34AF044"/>
    <w:lvl w:ilvl="0" w:tplc="E1AA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2801177">
    <w:abstractNumId w:val="0"/>
  </w:num>
  <w:num w:numId="2" w16cid:durableId="37125249">
    <w:abstractNumId w:val="1"/>
  </w:num>
  <w:num w:numId="3" w16cid:durableId="1369184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79"/>
    <w:rsid w:val="00075733"/>
    <w:rsid w:val="0007666D"/>
    <w:rsid w:val="000866E5"/>
    <w:rsid w:val="000867D3"/>
    <w:rsid w:val="00092E26"/>
    <w:rsid w:val="000A1F60"/>
    <w:rsid w:val="000D182E"/>
    <w:rsid w:val="000F04EC"/>
    <w:rsid w:val="0010550F"/>
    <w:rsid w:val="00140658"/>
    <w:rsid w:val="001430EB"/>
    <w:rsid w:val="0015326B"/>
    <w:rsid w:val="00173DFD"/>
    <w:rsid w:val="00183EBD"/>
    <w:rsid w:val="00190D30"/>
    <w:rsid w:val="001D3AE3"/>
    <w:rsid w:val="001D60D1"/>
    <w:rsid w:val="001E474E"/>
    <w:rsid w:val="001F69EA"/>
    <w:rsid w:val="00207F8E"/>
    <w:rsid w:val="00217E81"/>
    <w:rsid w:val="00226CF0"/>
    <w:rsid w:val="00227726"/>
    <w:rsid w:val="00237681"/>
    <w:rsid w:val="00246FF4"/>
    <w:rsid w:val="0026338D"/>
    <w:rsid w:val="00266F14"/>
    <w:rsid w:val="00280A40"/>
    <w:rsid w:val="00282D83"/>
    <w:rsid w:val="00294E2E"/>
    <w:rsid w:val="00295A15"/>
    <w:rsid w:val="0029679D"/>
    <w:rsid w:val="002A261A"/>
    <w:rsid w:val="002B3AC6"/>
    <w:rsid w:val="002C0712"/>
    <w:rsid w:val="002C428B"/>
    <w:rsid w:val="002D4EBC"/>
    <w:rsid w:val="002E303E"/>
    <w:rsid w:val="0032689A"/>
    <w:rsid w:val="00334A5F"/>
    <w:rsid w:val="00337893"/>
    <w:rsid w:val="00345AC7"/>
    <w:rsid w:val="00346AD0"/>
    <w:rsid w:val="003476A4"/>
    <w:rsid w:val="003631B8"/>
    <w:rsid w:val="00393B12"/>
    <w:rsid w:val="00395694"/>
    <w:rsid w:val="003A043C"/>
    <w:rsid w:val="003A7E14"/>
    <w:rsid w:val="003B7FED"/>
    <w:rsid w:val="003D04D7"/>
    <w:rsid w:val="00412F63"/>
    <w:rsid w:val="0041322A"/>
    <w:rsid w:val="00420DB1"/>
    <w:rsid w:val="00433EFA"/>
    <w:rsid w:val="00440E8E"/>
    <w:rsid w:val="00453729"/>
    <w:rsid w:val="00454614"/>
    <w:rsid w:val="0047089C"/>
    <w:rsid w:val="004728DE"/>
    <w:rsid w:val="00473E79"/>
    <w:rsid w:val="00480BAB"/>
    <w:rsid w:val="004819FC"/>
    <w:rsid w:val="004B5A2D"/>
    <w:rsid w:val="004E66E2"/>
    <w:rsid w:val="004F189B"/>
    <w:rsid w:val="004F2E21"/>
    <w:rsid w:val="005065D1"/>
    <w:rsid w:val="00512BBE"/>
    <w:rsid w:val="00533681"/>
    <w:rsid w:val="00536131"/>
    <w:rsid w:val="005423FB"/>
    <w:rsid w:val="0054689E"/>
    <w:rsid w:val="005A4AAE"/>
    <w:rsid w:val="005A698C"/>
    <w:rsid w:val="005B6B3D"/>
    <w:rsid w:val="005B6F36"/>
    <w:rsid w:val="005D19EA"/>
    <w:rsid w:val="005D1CE9"/>
    <w:rsid w:val="005D7C2B"/>
    <w:rsid w:val="005E3650"/>
    <w:rsid w:val="005E7A7F"/>
    <w:rsid w:val="005F50C4"/>
    <w:rsid w:val="005F7202"/>
    <w:rsid w:val="00604E70"/>
    <w:rsid w:val="00640D2A"/>
    <w:rsid w:val="00656F9C"/>
    <w:rsid w:val="00682852"/>
    <w:rsid w:val="006867B0"/>
    <w:rsid w:val="006A693A"/>
    <w:rsid w:val="006B14FB"/>
    <w:rsid w:val="006C26F6"/>
    <w:rsid w:val="007021E0"/>
    <w:rsid w:val="00712A70"/>
    <w:rsid w:val="0074457E"/>
    <w:rsid w:val="00745BF1"/>
    <w:rsid w:val="007604B1"/>
    <w:rsid w:val="007629FD"/>
    <w:rsid w:val="00783420"/>
    <w:rsid w:val="007A235F"/>
    <w:rsid w:val="007E1996"/>
    <w:rsid w:val="007F7604"/>
    <w:rsid w:val="008253CA"/>
    <w:rsid w:val="0085092B"/>
    <w:rsid w:val="00866744"/>
    <w:rsid w:val="00891456"/>
    <w:rsid w:val="00895131"/>
    <w:rsid w:val="008A0E9D"/>
    <w:rsid w:val="008B72A8"/>
    <w:rsid w:val="008D6740"/>
    <w:rsid w:val="008E0456"/>
    <w:rsid w:val="008F08EB"/>
    <w:rsid w:val="008F326D"/>
    <w:rsid w:val="00904027"/>
    <w:rsid w:val="00907779"/>
    <w:rsid w:val="00912F65"/>
    <w:rsid w:val="00916A21"/>
    <w:rsid w:val="00920F2E"/>
    <w:rsid w:val="00922B41"/>
    <w:rsid w:val="00925490"/>
    <w:rsid w:val="0095343B"/>
    <w:rsid w:val="00961461"/>
    <w:rsid w:val="00964E53"/>
    <w:rsid w:val="009C78F5"/>
    <w:rsid w:val="009D5A51"/>
    <w:rsid w:val="00A23980"/>
    <w:rsid w:val="00A314A4"/>
    <w:rsid w:val="00A31620"/>
    <w:rsid w:val="00A4355D"/>
    <w:rsid w:val="00A609B8"/>
    <w:rsid w:val="00A615A4"/>
    <w:rsid w:val="00A62115"/>
    <w:rsid w:val="00AC20A7"/>
    <w:rsid w:val="00B0488C"/>
    <w:rsid w:val="00B177AB"/>
    <w:rsid w:val="00B2603C"/>
    <w:rsid w:val="00B3514F"/>
    <w:rsid w:val="00B36D92"/>
    <w:rsid w:val="00B37889"/>
    <w:rsid w:val="00B44DD2"/>
    <w:rsid w:val="00B70E43"/>
    <w:rsid w:val="00BA444B"/>
    <w:rsid w:val="00BA4ED6"/>
    <w:rsid w:val="00BA7890"/>
    <w:rsid w:val="00BB3DF2"/>
    <w:rsid w:val="00BD4995"/>
    <w:rsid w:val="00BE1B63"/>
    <w:rsid w:val="00BF2891"/>
    <w:rsid w:val="00BF4379"/>
    <w:rsid w:val="00C079ED"/>
    <w:rsid w:val="00C1233C"/>
    <w:rsid w:val="00C171A3"/>
    <w:rsid w:val="00C24513"/>
    <w:rsid w:val="00C328B0"/>
    <w:rsid w:val="00C44CAE"/>
    <w:rsid w:val="00C7106B"/>
    <w:rsid w:val="00C82FB8"/>
    <w:rsid w:val="00C95F7D"/>
    <w:rsid w:val="00CB5AD8"/>
    <w:rsid w:val="00CE66B7"/>
    <w:rsid w:val="00D13A54"/>
    <w:rsid w:val="00D30741"/>
    <w:rsid w:val="00D3297F"/>
    <w:rsid w:val="00D4413C"/>
    <w:rsid w:val="00D51667"/>
    <w:rsid w:val="00D53A71"/>
    <w:rsid w:val="00D56A91"/>
    <w:rsid w:val="00D74F32"/>
    <w:rsid w:val="00DB07FC"/>
    <w:rsid w:val="00DC2E1C"/>
    <w:rsid w:val="00DE5E50"/>
    <w:rsid w:val="00E32CA9"/>
    <w:rsid w:val="00E51B40"/>
    <w:rsid w:val="00E615A4"/>
    <w:rsid w:val="00E847E9"/>
    <w:rsid w:val="00E93743"/>
    <w:rsid w:val="00EB00C5"/>
    <w:rsid w:val="00EB4601"/>
    <w:rsid w:val="00EB7055"/>
    <w:rsid w:val="00ED5194"/>
    <w:rsid w:val="00F24B07"/>
    <w:rsid w:val="00F273BF"/>
    <w:rsid w:val="00F57C15"/>
    <w:rsid w:val="00F66A76"/>
    <w:rsid w:val="00FA2A40"/>
    <w:rsid w:val="00FA6A0F"/>
    <w:rsid w:val="00FC3459"/>
    <w:rsid w:val="00FC3C37"/>
    <w:rsid w:val="00FD5857"/>
    <w:rsid w:val="00FD610D"/>
    <w:rsid w:val="00FE2AEA"/>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8890"/>
  <w15:docId w15:val="{BD49B310-7773-4367-87DD-F0B6A8D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4F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32"/>
    <w:rPr>
      <w:rFonts w:ascii="Segoe UI" w:hAnsi="Segoe UI" w:cs="Segoe UI"/>
      <w:sz w:val="18"/>
      <w:szCs w:val="18"/>
    </w:rPr>
  </w:style>
  <w:style w:type="paragraph" w:styleId="Revision">
    <w:name w:val="Revision"/>
    <w:hidden/>
    <w:uiPriority w:val="99"/>
    <w:semiHidden/>
    <w:rsid w:val="00895131"/>
    <w:pPr>
      <w:spacing w:line="240" w:lineRule="auto"/>
    </w:pPr>
  </w:style>
  <w:style w:type="paragraph" w:styleId="CommentSubject">
    <w:name w:val="annotation subject"/>
    <w:basedOn w:val="CommentText"/>
    <w:next w:val="CommentText"/>
    <w:link w:val="CommentSubjectChar"/>
    <w:uiPriority w:val="99"/>
    <w:semiHidden/>
    <w:unhideWhenUsed/>
    <w:rsid w:val="00DB07FC"/>
    <w:rPr>
      <w:b/>
      <w:bCs/>
    </w:rPr>
  </w:style>
  <w:style w:type="character" w:customStyle="1" w:styleId="CommentSubjectChar">
    <w:name w:val="Comment Subject Char"/>
    <w:basedOn w:val="CommentTextChar"/>
    <w:link w:val="CommentSubject"/>
    <w:uiPriority w:val="99"/>
    <w:semiHidden/>
    <w:rsid w:val="00DB07FC"/>
    <w:rPr>
      <w:b/>
      <w:bCs/>
      <w:sz w:val="20"/>
      <w:szCs w:val="20"/>
    </w:rPr>
  </w:style>
  <w:style w:type="paragraph" w:styleId="Header">
    <w:name w:val="header"/>
    <w:basedOn w:val="Normal"/>
    <w:link w:val="HeaderChar"/>
    <w:uiPriority w:val="99"/>
    <w:unhideWhenUsed/>
    <w:rsid w:val="00226CF0"/>
    <w:pPr>
      <w:tabs>
        <w:tab w:val="center" w:pos="4680"/>
        <w:tab w:val="right" w:pos="9360"/>
      </w:tabs>
      <w:spacing w:line="240" w:lineRule="auto"/>
    </w:pPr>
  </w:style>
  <w:style w:type="character" w:customStyle="1" w:styleId="HeaderChar">
    <w:name w:val="Header Char"/>
    <w:basedOn w:val="DefaultParagraphFont"/>
    <w:link w:val="Header"/>
    <w:uiPriority w:val="99"/>
    <w:rsid w:val="00226CF0"/>
  </w:style>
  <w:style w:type="paragraph" w:styleId="Footer">
    <w:name w:val="footer"/>
    <w:basedOn w:val="Normal"/>
    <w:link w:val="FooterChar"/>
    <w:uiPriority w:val="99"/>
    <w:unhideWhenUsed/>
    <w:rsid w:val="00226CF0"/>
    <w:pPr>
      <w:tabs>
        <w:tab w:val="center" w:pos="4680"/>
        <w:tab w:val="right" w:pos="9360"/>
      </w:tabs>
      <w:spacing w:line="240" w:lineRule="auto"/>
    </w:pPr>
  </w:style>
  <w:style w:type="character" w:customStyle="1" w:styleId="FooterChar">
    <w:name w:val="Footer Char"/>
    <w:basedOn w:val="DefaultParagraphFont"/>
    <w:link w:val="Footer"/>
    <w:uiPriority w:val="99"/>
    <w:rsid w:val="00226CF0"/>
  </w:style>
  <w:style w:type="paragraph" w:styleId="ListParagraph">
    <w:name w:val="List Paragraph"/>
    <w:basedOn w:val="Normal"/>
    <w:uiPriority w:val="34"/>
    <w:qFormat/>
    <w:rsid w:val="005F7202"/>
    <w:pPr>
      <w:ind w:left="720"/>
      <w:contextualSpacing/>
    </w:pPr>
  </w:style>
  <w:style w:type="character" w:styleId="Hyperlink">
    <w:name w:val="Hyperlink"/>
    <w:rsid w:val="00922B41"/>
    <w:rPr>
      <w:color w:val="0000FF"/>
      <w:u w:val="single"/>
    </w:rPr>
  </w:style>
  <w:style w:type="character" w:styleId="UnresolvedMention">
    <w:name w:val="Unresolved Mention"/>
    <w:basedOn w:val="DefaultParagraphFont"/>
    <w:uiPriority w:val="99"/>
    <w:semiHidden/>
    <w:unhideWhenUsed/>
    <w:rsid w:val="0092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8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E0E6-563D-43CC-88C7-E58FC517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Madison.Harris</dc:creator>
  <cp:lastModifiedBy>Dorothee Pinet</cp:lastModifiedBy>
  <cp:revision>54</cp:revision>
  <cp:lastPrinted>2024-11-17T08:39:00Z</cp:lastPrinted>
  <dcterms:created xsi:type="dcterms:W3CDTF">2024-11-17T08:10:00Z</dcterms:created>
  <dcterms:modified xsi:type="dcterms:W3CDTF">2024-12-09T14:02:00Z</dcterms:modified>
</cp:coreProperties>
</file>