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6C5F0" w14:textId="5A081C05" w:rsidR="007E24EA" w:rsidRPr="00BA02B0" w:rsidRDefault="007E24EA" w:rsidP="007E24EA">
      <w:pPr>
        <w:pBdr>
          <w:top w:val="double" w:sz="4" w:space="1" w:color="auto"/>
          <w:left w:val="double" w:sz="4" w:space="4" w:color="auto"/>
          <w:bottom w:val="double" w:sz="4" w:space="1" w:color="auto"/>
          <w:right w:val="double" w:sz="4" w:space="4" w:color="auto"/>
        </w:pBdr>
        <w:autoSpaceDE/>
        <w:autoSpaceDN/>
        <w:ind w:right="-1"/>
        <w:jc w:val="both"/>
        <w:rPr>
          <w:rFonts w:eastAsia="Times New Roman"/>
          <w:b/>
          <w:bCs/>
          <w:color w:val="000000"/>
          <w:sz w:val="20"/>
          <w:szCs w:val="20"/>
        </w:rPr>
      </w:pPr>
      <w:bookmarkStart w:id="0" w:name="_Hlk182733586"/>
      <w:r w:rsidRPr="00BA02B0">
        <w:rPr>
          <w:rFonts w:eastAsia="Times New Roman"/>
          <w:b/>
          <w:bCs/>
          <w:color w:val="000000"/>
          <w:sz w:val="20"/>
          <w:szCs w:val="20"/>
        </w:rPr>
        <w:t>24-1</w:t>
      </w:r>
      <w:r w:rsidR="001D28EC" w:rsidRPr="00BA02B0">
        <w:rPr>
          <w:rFonts w:eastAsia="Times New Roman"/>
          <w:b/>
          <w:bCs/>
          <w:color w:val="000000"/>
          <w:sz w:val="20"/>
          <w:szCs w:val="20"/>
        </w:rPr>
        <w:t>4</w:t>
      </w:r>
      <w:r w:rsidRPr="00BA02B0">
        <w:rPr>
          <w:rFonts w:eastAsia="Times New Roman"/>
          <w:b/>
          <w:bCs/>
          <w:color w:val="000000"/>
          <w:sz w:val="20"/>
          <w:szCs w:val="20"/>
        </w:rPr>
        <w:t xml:space="preserve"> </w:t>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Pr="00BA02B0">
        <w:rPr>
          <w:rFonts w:eastAsia="Times New Roman"/>
          <w:b/>
          <w:bCs/>
          <w:color w:val="000000"/>
          <w:sz w:val="20"/>
          <w:szCs w:val="20"/>
        </w:rPr>
        <w:tab/>
      </w:r>
      <w:r w:rsidR="00E52F56" w:rsidRPr="00BA02B0">
        <w:rPr>
          <w:rFonts w:eastAsia="Times New Roman"/>
          <w:b/>
          <w:bCs/>
          <w:color w:val="000000"/>
          <w:sz w:val="20"/>
          <w:szCs w:val="20"/>
        </w:rPr>
        <w:t>GEN</w:t>
      </w:r>
    </w:p>
    <w:p w14:paraId="092AA88D" w14:textId="66A0C018" w:rsidR="007E24EA" w:rsidRPr="00BA02B0" w:rsidRDefault="007E24EA" w:rsidP="007E24EA">
      <w:pPr>
        <w:pBdr>
          <w:top w:val="double" w:sz="4" w:space="1" w:color="auto"/>
          <w:left w:val="double" w:sz="4" w:space="4" w:color="auto"/>
          <w:bottom w:val="double" w:sz="4" w:space="1" w:color="auto"/>
          <w:right w:val="double" w:sz="4" w:space="4" w:color="auto"/>
        </w:pBdr>
        <w:autoSpaceDE/>
        <w:autoSpaceDN/>
        <w:ind w:right="-1"/>
        <w:jc w:val="center"/>
        <w:rPr>
          <w:rFonts w:eastAsia="Times New Roman"/>
          <w:b/>
          <w:bCs/>
          <w:color w:val="000000"/>
          <w:sz w:val="20"/>
          <w:szCs w:val="20"/>
        </w:rPr>
      </w:pPr>
      <w:r w:rsidRPr="00BA02B0">
        <w:rPr>
          <w:rFonts w:eastAsia="Times New Roman"/>
          <w:b/>
          <w:bCs/>
          <w:color w:val="000000"/>
          <w:sz w:val="20"/>
          <w:szCs w:val="20"/>
        </w:rPr>
        <w:t>RECOMMENDATION BY ICCAT ON PROTECTING THE HEALTH AND SAFETY OF</w:t>
      </w:r>
    </w:p>
    <w:p w14:paraId="6C49B15B" w14:textId="4BEDDCC3" w:rsidR="007E24EA" w:rsidRPr="00BA02B0" w:rsidRDefault="007E24EA" w:rsidP="007E24EA">
      <w:pPr>
        <w:pBdr>
          <w:top w:val="double" w:sz="4" w:space="1" w:color="auto"/>
          <w:left w:val="double" w:sz="4" w:space="4" w:color="auto"/>
          <w:bottom w:val="double" w:sz="4" w:space="1" w:color="auto"/>
          <w:right w:val="double" w:sz="4" w:space="4" w:color="auto"/>
        </w:pBdr>
        <w:autoSpaceDE/>
        <w:autoSpaceDN/>
        <w:ind w:right="-1"/>
        <w:jc w:val="center"/>
        <w:rPr>
          <w:rFonts w:eastAsia="Times New Roman"/>
          <w:b/>
          <w:bCs/>
          <w:color w:val="000000"/>
          <w:sz w:val="20"/>
          <w:szCs w:val="20"/>
        </w:rPr>
      </w:pPr>
      <w:r w:rsidRPr="00BA02B0">
        <w:rPr>
          <w:rFonts w:eastAsia="Times New Roman"/>
          <w:b/>
          <w:bCs/>
          <w:color w:val="000000"/>
          <w:sz w:val="20"/>
          <w:szCs w:val="20"/>
        </w:rPr>
        <w:t>OBSERVERS IN CPC OBSERVER PROGRAM</w:t>
      </w:r>
      <w:r w:rsidR="00F47037" w:rsidRPr="00BA02B0">
        <w:rPr>
          <w:rFonts w:eastAsia="Times New Roman"/>
          <w:b/>
          <w:bCs/>
          <w:color w:val="000000"/>
          <w:sz w:val="20"/>
          <w:szCs w:val="20"/>
        </w:rPr>
        <w:t>ME</w:t>
      </w:r>
      <w:r w:rsidRPr="00BA02B0">
        <w:rPr>
          <w:rFonts w:eastAsia="Times New Roman"/>
          <w:b/>
          <w:bCs/>
          <w:color w:val="000000"/>
          <w:sz w:val="20"/>
          <w:szCs w:val="20"/>
        </w:rPr>
        <w:t>S</w:t>
      </w:r>
    </w:p>
    <w:bookmarkEnd w:id="0"/>
    <w:p w14:paraId="6283EEB7" w14:textId="77777777" w:rsidR="007E24EA" w:rsidRPr="00BA02B0" w:rsidRDefault="007E24EA" w:rsidP="00757F8C">
      <w:pPr>
        <w:jc w:val="center"/>
        <w:rPr>
          <w:b/>
          <w:sz w:val="20"/>
          <w:szCs w:val="20"/>
        </w:rPr>
      </w:pPr>
    </w:p>
    <w:p w14:paraId="3B233B48" w14:textId="77777777" w:rsidR="00AD7B5D" w:rsidRPr="00BA02B0" w:rsidRDefault="00AD7B5D" w:rsidP="00757F8C">
      <w:pPr>
        <w:ind w:firstLine="426"/>
        <w:jc w:val="both"/>
        <w:rPr>
          <w:i/>
          <w:sz w:val="20"/>
          <w:szCs w:val="20"/>
        </w:rPr>
      </w:pPr>
    </w:p>
    <w:p w14:paraId="7A5754B7" w14:textId="3CAFB0ED" w:rsidR="00757F8C" w:rsidRPr="00BA02B0" w:rsidRDefault="00757F8C" w:rsidP="00757F8C">
      <w:pPr>
        <w:ind w:firstLine="426"/>
        <w:jc w:val="both"/>
        <w:rPr>
          <w:sz w:val="20"/>
          <w:szCs w:val="20"/>
        </w:rPr>
      </w:pPr>
      <w:r w:rsidRPr="00BA02B0">
        <w:rPr>
          <w:i/>
          <w:sz w:val="20"/>
          <w:szCs w:val="20"/>
        </w:rPr>
        <w:t>UNDERSCORING</w:t>
      </w:r>
      <w:r w:rsidRPr="00BA02B0">
        <w:rPr>
          <w:sz w:val="20"/>
          <w:szCs w:val="20"/>
        </w:rPr>
        <w:t xml:space="preserve"> that safety of life at sea is a longstanding objective of international maritime governance, that observers collect data that are essential to the functions of the Commission, and that the health, safety, and welfare of observers is critical to their ability to perform their </w:t>
      </w:r>
      <w:proofErr w:type="gramStart"/>
      <w:r w:rsidRPr="00BA02B0">
        <w:rPr>
          <w:sz w:val="20"/>
          <w:szCs w:val="20"/>
        </w:rPr>
        <w:t>duties;</w:t>
      </w:r>
      <w:proofErr w:type="gramEnd"/>
      <w:r w:rsidRPr="00BA02B0">
        <w:rPr>
          <w:sz w:val="20"/>
          <w:szCs w:val="20"/>
        </w:rPr>
        <w:t xml:space="preserve"> </w:t>
      </w:r>
    </w:p>
    <w:p w14:paraId="0359DA22" w14:textId="77777777" w:rsidR="00757F8C" w:rsidRPr="00BA02B0" w:rsidRDefault="00757F8C" w:rsidP="00757F8C">
      <w:pPr>
        <w:jc w:val="both"/>
        <w:rPr>
          <w:sz w:val="20"/>
          <w:szCs w:val="20"/>
        </w:rPr>
      </w:pPr>
    </w:p>
    <w:p w14:paraId="29120253" w14:textId="77777777" w:rsidR="00757F8C" w:rsidRPr="00BA02B0" w:rsidRDefault="00757F8C" w:rsidP="00757F8C">
      <w:pPr>
        <w:ind w:firstLine="426"/>
        <w:jc w:val="both"/>
        <w:rPr>
          <w:sz w:val="20"/>
          <w:szCs w:val="20"/>
        </w:rPr>
      </w:pPr>
      <w:r w:rsidRPr="00BA02B0">
        <w:rPr>
          <w:i/>
          <w:sz w:val="20"/>
          <w:szCs w:val="20"/>
        </w:rPr>
        <w:t>RECALLING</w:t>
      </w:r>
      <w:r w:rsidRPr="00BA02B0">
        <w:rPr>
          <w:sz w:val="20"/>
          <w:szCs w:val="20"/>
        </w:rPr>
        <w:t xml:space="preserve"> that the International Convention on Standards of Training, Certification, and Watch keeping for Fishing Vessel Personnel (STCW-F), adopted by the International Maritime Organization (IMO) in 1995, sets forth safety training standards for personnel serving onboard seagoing fishing </w:t>
      </w:r>
      <w:proofErr w:type="gramStart"/>
      <w:r w:rsidRPr="00BA02B0">
        <w:rPr>
          <w:sz w:val="20"/>
          <w:szCs w:val="20"/>
        </w:rPr>
        <w:t>vessels;</w:t>
      </w:r>
      <w:proofErr w:type="gramEnd"/>
      <w:r w:rsidRPr="00BA02B0">
        <w:rPr>
          <w:sz w:val="20"/>
          <w:szCs w:val="20"/>
        </w:rPr>
        <w:t xml:space="preserve"> </w:t>
      </w:r>
    </w:p>
    <w:p w14:paraId="32EFF7EE" w14:textId="77777777" w:rsidR="00757F8C" w:rsidRPr="00BA02B0" w:rsidRDefault="00757F8C" w:rsidP="00757F8C">
      <w:pPr>
        <w:jc w:val="both"/>
        <w:rPr>
          <w:sz w:val="20"/>
          <w:szCs w:val="20"/>
        </w:rPr>
      </w:pPr>
    </w:p>
    <w:p w14:paraId="3B072DC4" w14:textId="77777777" w:rsidR="00757F8C" w:rsidRPr="00BA02B0" w:rsidRDefault="00757F8C" w:rsidP="00757F8C">
      <w:pPr>
        <w:ind w:firstLine="426"/>
        <w:jc w:val="both"/>
        <w:rPr>
          <w:sz w:val="20"/>
          <w:szCs w:val="20"/>
        </w:rPr>
      </w:pPr>
      <w:r w:rsidRPr="00BA02B0">
        <w:rPr>
          <w:i/>
          <w:sz w:val="20"/>
          <w:szCs w:val="20"/>
        </w:rPr>
        <w:t>NOTING</w:t>
      </w:r>
      <w:r w:rsidRPr="00BA02B0">
        <w:rPr>
          <w:sz w:val="20"/>
          <w:szCs w:val="20"/>
        </w:rPr>
        <w:t xml:space="preserve"> the commitments in international law, including the provisions of the International Convention on Maritime Search and Rescue, with regard to the development of an international maritime search and rescue plan for the rescue of persons in distress at </w:t>
      </w:r>
      <w:proofErr w:type="gramStart"/>
      <w:r w:rsidRPr="00BA02B0">
        <w:rPr>
          <w:sz w:val="20"/>
          <w:szCs w:val="20"/>
        </w:rPr>
        <w:t>sea;</w:t>
      </w:r>
      <w:proofErr w:type="gramEnd"/>
      <w:r w:rsidRPr="00BA02B0">
        <w:rPr>
          <w:sz w:val="20"/>
          <w:szCs w:val="20"/>
        </w:rPr>
        <w:t xml:space="preserve"> </w:t>
      </w:r>
    </w:p>
    <w:p w14:paraId="1D739CE9" w14:textId="77777777" w:rsidR="00757F8C" w:rsidRPr="00BA02B0" w:rsidRDefault="00757F8C" w:rsidP="00757F8C">
      <w:pPr>
        <w:ind w:firstLine="720"/>
        <w:jc w:val="both"/>
        <w:rPr>
          <w:sz w:val="20"/>
          <w:szCs w:val="20"/>
        </w:rPr>
      </w:pPr>
    </w:p>
    <w:p w14:paraId="77574EEA" w14:textId="500507B5" w:rsidR="00757F8C" w:rsidRPr="00BA02B0" w:rsidRDefault="00757F8C" w:rsidP="00757F8C">
      <w:pPr>
        <w:ind w:firstLine="426"/>
        <w:jc w:val="both"/>
        <w:rPr>
          <w:sz w:val="20"/>
          <w:szCs w:val="20"/>
        </w:rPr>
      </w:pPr>
      <w:r w:rsidRPr="00BA02B0">
        <w:rPr>
          <w:i/>
          <w:sz w:val="20"/>
          <w:szCs w:val="20"/>
        </w:rPr>
        <w:t xml:space="preserve">FURTHER NOTING </w:t>
      </w:r>
      <w:r w:rsidRPr="00BA02B0">
        <w:rPr>
          <w:sz w:val="20"/>
          <w:szCs w:val="20"/>
        </w:rPr>
        <w:t xml:space="preserve">the obligations of CPCs to oversee the safety of its observers, as provided for in the </w:t>
      </w:r>
      <w:r w:rsidRPr="00BA02B0">
        <w:rPr>
          <w:i/>
          <w:sz w:val="20"/>
          <w:szCs w:val="20"/>
        </w:rPr>
        <w:t xml:space="preserve">Recommendation by ICCAT to </w:t>
      </w:r>
      <w:r w:rsidR="00CC14F4" w:rsidRPr="00BA02B0">
        <w:rPr>
          <w:i/>
          <w:sz w:val="20"/>
          <w:szCs w:val="20"/>
        </w:rPr>
        <w:t>e</w:t>
      </w:r>
      <w:r w:rsidRPr="00BA02B0">
        <w:rPr>
          <w:i/>
          <w:sz w:val="20"/>
          <w:szCs w:val="20"/>
        </w:rPr>
        <w:t xml:space="preserve">stablish </w:t>
      </w:r>
      <w:r w:rsidR="00CC14F4" w:rsidRPr="00BA02B0">
        <w:rPr>
          <w:i/>
          <w:sz w:val="20"/>
          <w:szCs w:val="20"/>
        </w:rPr>
        <w:t>m</w:t>
      </w:r>
      <w:r w:rsidRPr="00BA02B0">
        <w:rPr>
          <w:i/>
          <w:sz w:val="20"/>
          <w:szCs w:val="20"/>
        </w:rPr>
        <w:t xml:space="preserve">inimum </w:t>
      </w:r>
      <w:r w:rsidR="00CC14F4" w:rsidRPr="00BA02B0">
        <w:rPr>
          <w:i/>
          <w:sz w:val="20"/>
          <w:szCs w:val="20"/>
        </w:rPr>
        <w:t>s</w:t>
      </w:r>
      <w:r w:rsidRPr="00BA02B0">
        <w:rPr>
          <w:i/>
          <w:sz w:val="20"/>
          <w:szCs w:val="20"/>
        </w:rPr>
        <w:t xml:space="preserve">tandards for </w:t>
      </w:r>
      <w:r w:rsidR="00CC14F4" w:rsidRPr="00BA02B0">
        <w:rPr>
          <w:i/>
          <w:sz w:val="20"/>
          <w:szCs w:val="20"/>
        </w:rPr>
        <w:t>f</w:t>
      </w:r>
      <w:r w:rsidRPr="00BA02B0">
        <w:rPr>
          <w:i/>
          <w:sz w:val="20"/>
          <w:szCs w:val="20"/>
        </w:rPr>
        <w:t xml:space="preserve">ishing </w:t>
      </w:r>
      <w:r w:rsidR="00CC14F4" w:rsidRPr="00BA02B0">
        <w:rPr>
          <w:i/>
          <w:sz w:val="20"/>
          <w:szCs w:val="20"/>
        </w:rPr>
        <w:t>v</w:t>
      </w:r>
      <w:r w:rsidRPr="00BA02B0">
        <w:rPr>
          <w:i/>
          <w:sz w:val="20"/>
          <w:szCs w:val="20"/>
        </w:rPr>
        <w:t xml:space="preserve">essel </w:t>
      </w:r>
      <w:r w:rsidR="00CC14F4" w:rsidRPr="00BA02B0">
        <w:rPr>
          <w:i/>
          <w:sz w:val="20"/>
          <w:szCs w:val="20"/>
        </w:rPr>
        <w:t>s</w:t>
      </w:r>
      <w:r w:rsidRPr="00BA02B0">
        <w:rPr>
          <w:i/>
          <w:sz w:val="20"/>
          <w:szCs w:val="20"/>
        </w:rPr>
        <w:t xml:space="preserve">cientific </w:t>
      </w:r>
      <w:r w:rsidR="00CC14F4" w:rsidRPr="00BA02B0">
        <w:rPr>
          <w:i/>
          <w:sz w:val="20"/>
          <w:szCs w:val="20"/>
        </w:rPr>
        <w:t>o</w:t>
      </w:r>
      <w:r w:rsidRPr="00BA02B0">
        <w:rPr>
          <w:i/>
          <w:sz w:val="20"/>
          <w:szCs w:val="20"/>
        </w:rPr>
        <w:t xml:space="preserve">bserver </w:t>
      </w:r>
      <w:r w:rsidR="00CC14F4" w:rsidRPr="00BA02B0">
        <w:rPr>
          <w:i/>
          <w:sz w:val="20"/>
          <w:szCs w:val="20"/>
        </w:rPr>
        <w:t>p</w:t>
      </w:r>
      <w:r w:rsidRPr="00BA02B0">
        <w:rPr>
          <w:i/>
          <w:sz w:val="20"/>
          <w:szCs w:val="20"/>
        </w:rPr>
        <w:t>rogram</w:t>
      </w:r>
      <w:r w:rsidR="00CC14F4" w:rsidRPr="00BA02B0">
        <w:rPr>
          <w:i/>
          <w:sz w:val="20"/>
          <w:szCs w:val="20"/>
        </w:rPr>
        <w:t>s</w:t>
      </w:r>
      <w:r w:rsidRPr="00BA02B0">
        <w:rPr>
          <w:sz w:val="20"/>
          <w:szCs w:val="20"/>
        </w:rPr>
        <w:t xml:space="preserve"> (Rec. 16-14</w:t>
      </w:r>
      <w:proofErr w:type="gramStart"/>
      <w:r w:rsidRPr="00BA02B0">
        <w:rPr>
          <w:sz w:val="20"/>
          <w:szCs w:val="20"/>
        </w:rPr>
        <w:t>);</w:t>
      </w:r>
      <w:proofErr w:type="gramEnd"/>
    </w:p>
    <w:p w14:paraId="6B7B50A8" w14:textId="77777777" w:rsidR="00757F8C" w:rsidRPr="00BA02B0" w:rsidRDefault="00757F8C" w:rsidP="00757F8C">
      <w:pPr>
        <w:jc w:val="both"/>
        <w:rPr>
          <w:sz w:val="20"/>
          <w:szCs w:val="20"/>
        </w:rPr>
      </w:pPr>
    </w:p>
    <w:p w14:paraId="74D21B5D" w14:textId="72B94CDB" w:rsidR="00757F8C" w:rsidRPr="00BA02B0" w:rsidRDefault="00757F8C" w:rsidP="00757F8C">
      <w:pPr>
        <w:ind w:firstLine="426"/>
        <w:jc w:val="both"/>
        <w:rPr>
          <w:sz w:val="20"/>
          <w:szCs w:val="20"/>
        </w:rPr>
      </w:pPr>
      <w:r w:rsidRPr="00BA02B0">
        <w:rPr>
          <w:i/>
          <w:sz w:val="20"/>
          <w:szCs w:val="20"/>
        </w:rPr>
        <w:t>ALSO RECALLING</w:t>
      </w:r>
      <w:r w:rsidRPr="00BA02B0">
        <w:rPr>
          <w:sz w:val="20"/>
          <w:szCs w:val="20"/>
        </w:rPr>
        <w:t xml:space="preserve"> the </w:t>
      </w:r>
      <w:r w:rsidRPr="00BA02B0">
        <w:rPr>
          <w:i/>
          <w:sz w:val="20"/>
          <w:szCs w:val="20"/>
        </w:rPr>
        <w:t xml:space="preserve">Recommendation by ICCAT on </w:t>
      </w:r>
      <w:r w:rsidR="00237194" w:rsidRPr="00BA02B0">
        <w:rPr>
          <w:i/>
          <w:sz w:val="20"/>
          <w:szCs w:val="20"/>
        </w:rPr>
        <w:t>p</w:t>
      </w:r>
      <w:r w:rsidRPr="00BA02B0">
        <w:rPr>
          <w:i/>
          <w:sz w:val="20"/>
          <w:szCs w:val="20"/>
        </w:rPr>
        <w:t xml:space="preserve">rotecting the </w:t>
      </w:r>
      <w:r w:rsidR="00237194" w:rsidRPr="00BA02B0">
        <w:rPr>
          <w:i/>
          <w:sz w:val="20"/>
          <w:szCs w:val="20"/>
        </w:rPr>
        <w:t>h</w:t>
      </w:r>
      <w:r w:rsidRPr="00BA02B0">
        <w:rPr>
          <w:i/>
          <w:sz w:val="20"/>
          <w:szCs w:val="20"/>
        </w:rPr>
        <w:t xml:space="preserve">ealth and </w:t>
      </w:r>
      <w:r w:rsidR="00237194" w:rsidRPr="00BA02B0">
        <w:rPr>
          <w:i/>
          <w:sz w:val="20"/>
          <w:szCs w:val="20"/>
        </w:rPr>
        <w:t>s</w:t>
      </w:r>
      <w:r w:rsidRPr="00BA02B0">
        <w:rPr>
          <w:i/>
          <w:sz w:val="20"/>
          <w:szCs w:val="20"/>
        </w:rPr>
        <w:t xml:space="preserve">afety of </w:t>
      </w:r>
      <w:r w:rsidR="00237194" w:rsidRPr="00BA02B0">
        <w:rPr>
          <w:i/>
          <w:sz w:val="20"/>
          <w:szCs w:val="20"/>
        </w:rPr>
        <w:t>o</w:t>
      </w:r>
      <w:r w:rsidRPr="00BA02B0">
        <w:rPr>
          <w:i/>
          <w:sz w:val="20"/>
          <w:szCs w:val="20"/>
        </w:rPr>
        <w:t>bservers in ICCAT</w:t>
      </w:r>
      <w:r w:rsidR="00BB526A" w:rsidRPr="00BA02B0">
        <w:rPr>
          <w:i/>
          <w:sz w:val="20"/>
          <w:szCs w:val="20"/>
        </w:rPr>
        <w:t>’s</w:t>
      </w:r>
      <w:r w:rsidRPr="00BA02B0">
        <w:rPr>
          <w:i/>
          <w:sz w:val="20"/>
          <w:szCs w:val="20"/>
        </w:rPr>
        <w:t xml:space="preserve"> </w:t>
      </w:r>
      <w:r w:rsidR="00237194" w:rsidRPr="00BA02B0">
        <w:rPr>
          <w:i/>
          <w:sz w:val="20"/>
          <w:szCs w:val="20"/>
        </w:rPr>
        <w:t>r</w:t>
      </w:r>
      <w:r w:rsidRPr="00BA02B0">
        <w:rPr>
          <w:i/>
          <w:sz w:val="20"/>
          <w:szCs w:val="20"/>
        </w:rPr>
        <w:t xml:space="preserve">egional </w:t>
      </w:r>
      <w:r w:rsidR="00237194" w:rsidRPr="00BA02B0">
        <w:rPr>
          <w:i/>
          <w:sz w:val="20"/>
          <w:szCs w:val="20"/>
        </w:rPr>
        <w:t>o</w:t>
      </w:r>
      <w:r w:rsidRPr="00BA02B0">
        <w:rPr>
          <w:i/>
          <w:sz w:val="20"/>
          <w:szCs w:val="20"/>
        </w:rPr>
        <w:t xml:space="preserve">bserver </w:t>
      </w:r>
      <w:r w:rsidR="003B62DB" w:rsidRPr="00BA02B0">
        <w:rPr>
          <w:i/>
          <w:sz w:val="20"/>
          <w:szCs w:val="20"/>
        </w:rPr>
        <w:t>p</w:t>
      </w:r>
      <w:r w:rsidRPr="00BA02B0">
        <w:rPr>
          <w:i/>
          <w:sz w:val="20"/>
          <w:szCs w:val="20"/>
        </w:rPr>
        <w:t xml:space="preserve">rograms </w:t>
      </w:r>
      <w:r w:rsidRPr="00BA02B0">
        <w:rPr>
          <w:sz w:val="20"/>
          <w:szCs w:val="20"/>
        </w:rPr>
        <w:t xml:space="preserve">(Rec. 19-10) and the </w:t>
      </w:r>
      <w:r w:rsidRPr="00BA02B0">
        <w:rPr>
          <w:i/>
          <w:sz w:val="20"/>
          <w:szCs w:val="20"/>
        </w:rPr>
        <w:t xml:space="preserve">Resolution by ICCAT on </w:t>
      </w:r>
      <w:proofErr w:type="spellStart"/>
      <w:r w:rsidR="003B62DB" w:rsidRPr="00BA02B0">
        <w:rPr>
          <w:i/>
          <w:sz w:val="20"/>
          <w:szCs w:val="20"/>
        </w:rPr>
        <w:t>h</w:t>
      </w:r>
      <w:r w:rsidRPr="00BA02B0">
        <w:rPr>
          <w:i/>
          <w:sz w:val="20"/>
          <w:szCs w:val="20"/>
        </w:rPr>
        <w:t>armonisation</w:t>
      </w:r>
      <w:proofErr w:type="spellEnd"/>
      <w:r w:rsidRPr="00BA02B0">
        <w:rPr>
          <w:i/>
          <w:sz w:val="20"/>
          <w:szCs w:val="20"/>
        </w:rPr>
        <w:t xml:space="preserve"> and </w:t>
      </w:r>
      <w:r w:rsidR="003B62DB" w:rsidRPr="00BA02B0">
        <w:rPr>
          <w:i/>
          <w:sz w:val="20"/>
          <w:szCs w:val="20"/>
        </w:rPr>
        <w:t>i</w:t>
      </w:r>
      <w:r w:rsidRPr="00BA02B0">
        <w:rPr>
          <w:i/>
          <w:sz w:val="20"/>
          <w:szCs w:val="20"/>
        </w:rPr>
        <w:t xml:space="preserve">mproved </w:t>
      </w:r>
      <w:r w:rsidR="003B62DB" w:rsidRPr="00BA02B0">
        <w:rPr>
          <w:i/>
          <w:sz w:val="20"/>
          <w:szCs w:val="20"/>
        </w:rPr>
        <w:t>o</w:t>
      </w:r>
      <w:r w:rsidRPr="00BA02B0">
        <w:rPr>
          <w:i/>
          <w:sz w:val="20"/>
          <w:szCs w:val="20"/>
        </w:rPr>
        <w:t xml:space="preserve">bserver </w:t>
      </w:r>
      <w:r w:rsidR="003B62DB" w:rsidRPr="00BA02B0">
        <w:rPr>
          <w:i/>
          <w:sz w:val="20"/>
          <w:szCs w:val="20"/>
        </w:rPr>
        <w:t>s</w:t>
      </w:r>
      <w:r w:rsidRPr="00BA02B0">
        <w:rPr>
          <w:i/>
          <w:sz w:val="20"/>
          <w:szCs w:val="20"/>
        </w:rPr>
        <w:t xml:space="preserve">afety </w:t>
      </w:r>
      <w:r w:rsidRPr="00BA02B0">
        <w:rPr>
          <w:sz w:val="20"/>
          <w:szCs w:val="20"/>
        </w:rPr>
        <w:t>(Res. 19-16</w:t>
      </w:r>
      <w:proofErr w:type="gramStart"/>
      <w:r w:rsidRPr="00BA02B0">
        <w:rPr>
          <w:sz w:val="20"/>
          <w:szCs w:val="20"/>
        </w:rPr>
        <w:t>);</w:t>
      </w:r>
      <w:proofErr w:type="gramEnd"/>
    </w:p>
    <w:p w14:paraId="3B70B300" w14:textId="77777777" w:rsidR="00757F8C" w:rsidRPr="00BA02B0" w:rsidRDefault="00757F8C" w:rsidP="00757F8C">
      <w:pPr>
        <w:ind w:firstLine="426"/>
        <w:jc w:val="both"/>
        <w:rPr>
          <w:sz w:val="20"/>
          <w:szCs w:val="20"/>
        </w:rPr>
      </w:pPr>
    </w:p>
    <w:p w14:paraId="6D8FD659" w14:textId="0E3CF3CD" w:rsidR="00757F8C" w:rsidRPr="00BA02B0" w:rsidRDefault="00757F8C" w:rsidP="00757F8C">
      <w:pPr>
        <w:ind w:firstLine="426"/>
        <w:jc w:val="both"/>
        <w:rPr>
          <w:iCs/>
          <w:sz w:val="20"/>
          <w:szCs w:val="20"/>
        </w:rPr>
      </w:pPr>
      <w:r w:rsidRPr="00BA02B0">
        <w:rPr>
          <w:i/>
          <w:sz w:val="20"/>
          <w:szCs w:val="20"/>
        </w:rPr>
        <w:t>RECOGNIZING</w:t>
      </w:r>
      <w:r w:rsidRPr="00BA02B0">
        <w:rPr>
          <w:sz w:val="20"/>
          <w:szCs w:val="20"/>
        </w:rPr>
        <w:t xml:space="preserve"> that the adoption of measures that promote the health and safety of observers in </w:t>
      </w:r>
      <w:r w:rsidR="000A2D40" w:rsidRPr="00BA02B0">
        <w:rPr>
          <w:sz w:val="20"/>
          <w:szCs w:val="20"/>
        </w:rPr>
        <w:t xml:space="preserve">CPC </w:t>
      </w:r>
      <w:proofErr w:type="spellStart"/>
      <w:r w:rsidRPr="00BA02B0">
        <w:rPr>
          <w:sz w:val="20"/>
          <w:szCs w:val="20"/>
        </w:rPr>
        <w:t>program</w:t>
      </w:r>
      <w:r w:rsidR="00DE5C23" w:rsidRPr="00BA02B0">
        <w:rPr>
          <w:sz w:val="20"/>
          <w:szCs w:val="20"/>
        </w:rPr>
        <w:t>me</w:t>
      </w:r>
      <w:r w:rsidRPr="00BA02B0">
        <w:rPr>
          <w:sz w:val="20"/>
          <w:szCs w:val="20"/>
        </w:rPr>
        <w:t>s</w:t>
      </w:r>
      <w:proofErr w:type="spellEnd"/>
      <w:r w:rsidRPr="00BA02B0">
        <w:rPr>
          <w:sz w:val="20"/>
          <w:szCs w:val="20"/>
        </w:rPr>
        <w:t xml:space="preserve">, particularly those related to vessel safety, could also support the objectives reflected in the </w:t>
      </w:r>
      <w:r w:rsidRPr="00BA02B0">
        <w:rPr>
          <w:i/>
          <w:sz w:val="20"/>
          <w:szCs w:val="20"/>
        </w:rPr>
        <w:t xml:space="preserve">Resolution by ICCAT on </w:t>
      </w:r>
      <w:r w:rsidR="003B023C" w:rsidRPr="00BA02B0">
        <w:rPr>
          <w:i/>
          <w:sz w:val="20"/>
          <w:szCs w:val="20"/>
        </w:rPr>
        <w:t>c</w:t>
      </w:r>
      <w:r w:rsidRPr="00BA02B0">
        <w:rPr>
          <w:i/>
          <w:sz w:val="20"/>
          <w:szCs w:val="20"/>
        </w:rPr>
        <w:t xml:space="preserve">ore </w:t>
      </w:r>
      <w:r w:rsidR="003B023C" w:rsidRPr="00BA02B0">
        <w:rPr>
          <w:i/>
          <w:sz w:val="20"/>
          <w:szCs w:val="20"/>
        </w:rPr>
        <w:t>p</w:t>
      </w:r>
      <w:r w:rsidRPr="00BA02B0">
        <w:rPr>
          <w:i/>
          <w:sz w:val="20"/>
          <w:szCs w:val="20"/>
        </w:rPr>
        <w:t xml:space="preserve">rinciples on </w:t>
      </w:r>
      <w:proofErr w:type="spellStart"/>
      <w:r w:rsidR="003B023C" w:rsidRPr="00BA02B0">
        <w:rPr>
          <w:i/>
          <w:sz w:val="20"/>
          <w:szCs w:val="20"/>
        </w:rPr>
        <w:t>l</w:t>
      </w:r>
      <w:r w:rsidRPr="00BA02B0">
        <w:rPr>
          <w:i/>
          <w:sz w:val="20"/>
          <w:szCs w:val="20"/>
        </w:rPr>
        <w:t>abour</w:t>
      </w:r>
      <w:proofErr w:type="spellEnd"/>
      <w:r w:rsidRPr="00BA02B0">
        <w:rPr>
          <w:i/>
          <w:sz w:val="20"/>
          <w:szCs w:val="20"/>
        </w:rPr>
        <w:t xml:space="preserve"> </w:t>
      </w:r>
      <w:r w:rsidR="003B023C" w:rsidRPr="00BA02B0">
        <w:rPr>
          <w:i/>
          <w:sz w:val="20"/>
          <w:szCs w:val="20"/>
        </w:rPr>
        <w:t>s</w:t>
      </w:r>
      <w:r w:rsidRPr="00BA02B0">
        <w:rPr>
          <w:i/>
          <w:sz w:val="20"/>
          <w:szCs w:val="20"/>
        </w:rPr>
        <w:t xml:space="preserve">tandards in ICCAT </w:t>
      </w:r>
      <w:r w:rsidR="003B023C" w:rsidRPr="00BA02B0">
        <w:rPr>
          <w:i/>
          <w:sz w:val="20"/>
          <w:szCs w:val="20"/>
        </w:rPr>
        <w:t>f</w:t>
      </w:r>
      <w:r w:rsidRPr="00BA02B0">
        <w:rPr>
          <w:i/>
          <w:sz w:val="20"/>
          <w:szCs w:val="20"/>
        </w:rPr>
        <w:t>isheries</w:t>
      </w:r>
      <w:r w:rsidRPr="00BA02B0">
        <w:rPr>
          <w:iCs/>
          <w:sz w:val="20"/>
          <w:szCs w:val="20"/>
        </w:rPr>
        <w:t xml:space="preserve"> (Res. 23-20</w:t>
      </w:r>
      <w:proofErr w:type="gramStart"/>
      <w:r w:rsidRPr="00BA02B0">
        <w:rPr>
          <w:iCs/>
          <w:sz w:val="20"/>
          <w:szCs w:val="20"/>
        </w:rPr>
        <w:t>);</w:t>
      </w:r>
      <w:proofErr w:type="gramEnd"/>
    </w:p>
    <w:p w14:paraId="421EFBE2" w14:textId="77777777" w:rsidR="00757F8C" w:rsidRPr="00BA02B0" w:rsidRDefault="00757F8C" w:rsidP="00757F8C">
      <w:pPr>
        <w:ind w:firstLine="426"/>
        <w:jc w:val="both"/>
        <w:rPr>
          <w:sz w:val="20"/>
          <w:szCs w:val="20"/>
        </w:rPr>
      </w:pPr>
      <w:r w:rsidRPr="00BA02B0">
        <w:rPr>
          <w:sz w:val="20"/>
          <w:szCs w:val="20"/>
        </w:rPr>
        <w:t xml:space="preserve"> </w:t>
      </w:r>
    </w:p>
    <w:p w14:paraId="79237B26" w14:textId="77777777" w:rsidR="00757F8C" w:rsidRPr="00BA02B0" w:rsidRDefault="00757F8C" w:rsidP="00757F8C">
      <w:pPr>
        <w:jc w:val="both"/>
        <w:rPr>
          <w:sz w:val="20"/>
          <w:szCs w:val="20"/>
        </w:rPr>
      </w:pPr>
    </w:p>
    <w:p w14:paraId="61386B58" w14:textId="77777777" w:rsidR="00757F8C" w:rsidRPr="00BA02B0" w:rsidRDefault="00757F8C" w:rsidP="00757F8C">
      <w:pPr>
        <w:jc w:val="center"/>
        <w:rPr>
          <w:sz w:val="20"/>
          <w:szCs w:val="20"/>
        </w:rPr>
      </w:pPr>
      <w:r w:rsidRPr="00BA02B0">
        <w:rPr>
          <w:sz w:val="20"/>
          <w:szCs w:val="20"/>
        </w:rPr>
        <w:t>THE INTERNATIONAL COMMISSION FOR THE CONSERVATION</w:t>
      </w:r>
    </w:p>
    <w:p w14:paraId="4C7B09A0" w14:textId="77777777" w:rsidR="00757F8C" w:rsidRPr="00BA02B0" w:rsidRDefault="00757F8C" w:rsidP="00757F8C">
      <w:pPr>
        <w:jc w:val="center"/>
        <w:rPr>
          <w:sz w:val="20"/>
          <w:szCs w:val="20"/>
        </w:rPr>
      </w:pPr>
      <w:r w:rsidRPr="00BA02B0">
        <w:rPr>
          <w:sz w:val="20"/>
          <w:szCs w:val="20"/>
        </w:rPr>
        <w:t>OF ATLANTIC TUNAS (ICCAT) RECOMMENDS THAT:</w:t>
      </w:r>
    </w:p>
    <w:p w14:paraId="272D263A" w14:textId="77777777" w:rsidR="00757F8C" w:rsidRPr="00BA02B0" w:rsidRDefault="00757F8C" w:rsidP="00757F8C">
      <w:pPr>
        <w:jc w:val="both"/>
        <w:rPr>
          <w:sz w:val="20"/>
          <w:szCs w:val="20"/>
        </w:rPr>
      </w:pPr>
    </w:p>
    <w:p w14:paraId="0A205684" w14:textId="533475E1" w:rsidR="00757F8C" w:rsidRPr="00BA02B0" w:rsidRDefault="00757F8C" w:rsidP="00757F8C">
      <w:pPr>
        <w:jc w:val="both"/>
        <w:rPr>
          <w:sz w:val="20"/>
          <w:szCs w:val="20"/>
        </w:rPr>
      </w:pPr>
      <w:r w:rsidRPr="00BA02B0">
        <w:rPr>
          <w:sz w:val="20"/>
          <w:szCs w:val="20"/>
        </w:rPr>
        <w:t>The following shall apply to ensure the health, safety, and welfare of observers deployed pursuant to Rec.</w:t>
      </w:r>
      <w:r w:rsidR="002B7A90" w:rsidRPr="00BA02B0">
        <w:rPr>
          <w:sz w:val="20"/>
          <w:szCs w:val="20"/>
        </w:rPr>
        <w:t> </w:t>
      </w:r>
      <w:r w:rsidRPr="00BA02B0">
        <w:rPr>
          <w:sz w:val="20"/>
          <w:szCs w:val="20"/>
        </w:rPr>
        <w:t xml:space="preserve">16-14 or any other </w:t>
      </w:r>
      <w:r w:rsidR="000A2D40" w:rsidRPr="00BA02B0">
        <w:rPr>
          <w:sz w:val="20"/>
          <w:szCs w:val="20"/>
        </w:rPr>
        <w:t xml:space="preserve">CPC </w:t>
      </w:r>
      <w:r w:rsidRPr="00BA02B0">
        <w:rPr>
          <w:sz w:val="20"/>
          <w:szCs w:val="20"/>
        </w:rPr>
        <w:t xml:space="preserve">observer deployed on a flag CPC’s vessel operating in ICCAT fisheries </w:t>
      </w:r>
      <w:r w:rsidR="00062526" w:rsidRPr="00BA02B0">
        <w:rPr>
          <w:sz w:val="20"/>
          <w:szCs w:val="20"/>
        </w:rPr>
        <w:t xml:space="preserve">in the ICCAT </w:t>
      </w:r>
      <w:r w:rsidR="0096480E" w:rsidRPr="00BA02B0">
        <w:rPr>
          <w:sz w:val="20"/>
          <w:szCs w:val="20"/>
        </w:rPr>
        <w:t>C</w:t>
      </w:r>
      <w:r w:rsidR="00062526" w:rsidRPr="00BA02B0">
        <w:rPr>
          <w:sz w:val="20"/>
          <w:szCs w:val="20"/>
        </w:rPr>
        <w:t xml:space="preserve">onvention area </w:t>
      </w:r>
      <w:r w:rsidRPr="00BA02B0">
        <w:rPr>
          <w:sz w:val="20"/>
          <w:szCs w:val="20"/>
        </w:rPr>
        <w:t xml:space="preserve">in furtherance of fulfillment of the CPC’s obligations under ICCAT observer requirements: </w:t>
      </w:r>
    </w:p>
    <w:p w14:paraId="15A3B875" w14:textId="77777777" w:rsidR="00757F8C" w:rsidRPr="00BA02B0" w:rsidRDefault="00757F8C" w:rsidP="00757F8C">
      <w:pPr>
        <w:jc w:val="both"/>
        <w:rPr>
          <w:sz w:val="20"/>
          <w:szCs w:val="20"/>
        </w:rPr>
      </w:pPr>
    </w:p>
    <w:p w14:paraId="44E82450" w14:textId="371A8369"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 xml:space="preserve">CPCs shall </w:t>
      </w:r>
      <w:r w:rsidR="00062526" w:rsidRPr="00BA02B0">
        <w:rPr>
          <w:color w:val="000000"/>
          <w:sz w:val="20"/>
          <w:szCs w:val="20"/>
        </w:rPr>
        <w:t>take the necessary measures to ensure that</w:t>
      </w:r>
      <w:r w:rsidRPr="00BA02B0">
        <w:rPr>
          <w:color w:val="000000"/>
          <w:sz w:val="20"/>
          <w:szCs w:val="20"/>
        </w:rPr>
        <w:t xml:space="preserve"> its vessels’ operators and crew </w:t>
      </w:r>
      <w:r w:rsidR="00062526" w:rsidRPr="00BA02B0">
        <w:rPr>
          <w:color w:val="000000"/>
          <w:sz w:val="20"/>
          <w:szCs w:val="20"/>
        </w:rPr>
        <w:t>do not</w:t>
      </w:r>
      <w:r w:rsidRPr="00BA02B0">
        <w:rPr>
          <w:color w:val="000000"/>
          <w:sz w:val="20"/>
          <w:szCs w:val="20"/>
        </w:rPr>
        <w:t xml:space="preserve"> threaten, intimidat</w:t>
      </w:r>
      <w:r w:rsidR="00062526" w:rsidRPr="00BA02B0">
        <w:rPr>
          <w:color w:val="000000"/>
          <w:sz w:val="20"/>
          <w:szCs w:val="20"/>
        </w:rPr>
        <w:t>e</w:t>
      </w:r>
      <w:r w:rsidRPr="00BA02B0">
        <w:rPr>
          <w:color w:val="000000"/>
          <w:sz w:val="20"/>
          <w:szCs w:val="20"/>
        </w:rPr>
        <w:t>, or harm fisheries observers.</w:t>
      </w:r>
    </w:p>
    <w:p w14:paraId="18C5F9AA" w14:textId="77777777" w:rsidR="00757F8C" w:rsidRPr="00BA02B0" w:rsidRDefault="00757F8C" w:rsidP="00757F8C">
      <w:pPr>
        <w:jc w:val="both"/>
        <w:rPr>
          <w:sz w:val="20"/>
          <w:szCs w:val="20"/>
        </w:rPr>
      </w:pPr>
    </w:p>
    <w:p w14:paraId="7E07B81C" w14:textId="77777777"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b/>
          <w:color w:val="000000"/>
          <w:sz w:val="20"/>
          <w:szCs w:val="20"/>
        </w:rPr>
      </w:pPr>
      <w:r w:rsidRPr="00BA02B0">
        <w:rPr>
          <w:color w:val="000000"/>
          <w:sz w:val="20"/>
          <w:szCs w:val="20"/>
        </w:rPr>
        <w:t xml:space="preserve">CPCs shall ensure that observers have received training in basic vessel safety before they are deployed on a vessel for the first time and at appropriate intervals thereafter. </w:t>
      </w:r>
    </w:p>
    <w:p w14:paraId="092F03B6" w14:textId="77777777" w:rsidR="00757F8C" w:rsidRPr="00BA02B0" w:rsidRDefault="00757F8C" w:rsidP="00757F8C">
      <w:pPr>
        <w:jc w:val="both"/>
        <w:rPr>
          <w:sz w:val="20"/>
          <w:szCs w:val="20"/>
        </w:rPr>
      </w:pPr>
    </w:p>
    <w:p w14:paraId="6BAE0234" w14:textId="30B87469"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Before deploying an observer on a vessel for a trip, CPCs shall ensure the observer has independent and unrestricted access to a two-way communication device suitable for use at sea and appropriate safety equipment, including a personal flotation device (PFDs)</w:t>
      </w:r>
      <w:r w:rsidR="000A2D40" w:rsidRPr="00BA02B0">
        <w:rPr>
          <w:color w:val="000000"/>
          <w:sz w:val="20"/>
          <w:szCs w:val="20"/>
        </w:rPr>
        <w:t>, such as a life jacket or immersion suit,</w:t>
      </w:r>
      <w:r w:rsidRPr="00BA02B0">
        <w:rPr>
          <w:color w:val="000000"/>
          <w:sz w:val="20"/>
          <w:szCs w:val="20"/>
        </w:rPr>
        <w:t xml:space="preserve"> appropriate to the specific fishing operations and activities, including ocean area and distance from shore.</w:t>
      </w:r>
    </w:p>
    <w:p w14:paraId="0D9781B9" w14:textId="77777777" w:rsidR="00757F8C" w:rsidRPr="00BA02B0" w:rsidRDefault="00757F8C" w:rsidP="00757F8C">
      <w:pPr>
        <w:ind w:left="720"/>
        <w:jc w:val="both"/>
        <w:rPr>
          <w:sz w:val="20"/>
          <w:szCs w:val="20"/>
        </w:rPr>
      </w:pPr>
    </w:p>
    <w:p w14:paraId="0858615D" w14:textId="77777777"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 xml:space="preserve">Flag CPCs shall ensure their vessels that carry observers covered by this Recommendation are outfitted with appropriate safety equipment for the entirety of each voyage, including the following: </w:t>
      </w:r>
    </w:p>
    <w:p w14:paraId="419BE761" w14:textId="77777777" w:rsidR="00757F8C" w:rsidRPr="00BA02B0" w:rsidRDefault="00757F8C" w:rsidP="00757F8C">
      <w:pPr>
        <w:ind w:left="426" w:hanging="426"/>
        <w:jc w:val="both"/>
        <w:rPr>
          <w:sz w:val="20"/>
          <w:szCs w:val="20"/>
        </w:rPr>
      </w:pPr>
    </w:p>
    <w:p w14:paraId="15084FBB" w14:textId="77777777" w:rsidR="00757F8C" w:rsidRPr="00BA02B0" w:rsidRDefault="00757F8C" w:rsidP="00757F8C">
      <w:pPr>
        <w:ind w:left="851" w:hanging="425"/>
        <w:jc w:val="both"/>
        <w:rPr>
          <w:sz w:val="20"/>
          <w:szCs w:val="20"/>
        </w:rPr>
      </w:pPr>
      <w:r w:rsidRPr="00BA02B0">
        <w:rPr>
          <w:sz w:val="20"/>
          <w:szCs w:val="20"/>
        </w:rPr>
        <w:t xml:space="preserve">a) </w:t>
      </w:r>
      <w:r w:rsidRPr="00BA02B0">
        <w:rPr>
          <w:sz w:val="20"/>
          <w:szCs w:val="20"/>
        </w:rPr>
        <w:tab/>
        <w:t xml:space="preserve">A life raft of sufficient capacity for all persons onboard and with a certificate of inspection that is valid throughout the observer’s </w:t>
      </w:r>
      <w:proofErr w:type="gramStart"/>
      <w:r w:rsidRPr="00BA02B0">
        <w:rPr>
          <w:sz w:val="20"/>
          <w:szCs w:val="20"/>
        </w:rPr>
        <w:t>deployment;</w:t>
      </w:r>
      <w:proofErr w:type="gramEnd"/>
      <w:r w:rsidRPr="00BA02B0">
        <w:rPr>
          <w:sz w:val="20"/>
          <w:szCs w:val="20"/>
        </w:rPr>
        <w:t xml:space="preserve"> </w:t>
      </w:r>
    </w:p>
    <w:p w14:paraId="7AE76417" w14:textId="77777777" w:rsidR="00757F8C" w:rsidRPr="00BA02B0" w:rsidRDefault="00757F8C" w:rsidP="00757F8C">
      <w:pPr>
        <w:ind w:left="851" w:hanging="425"/>
        <w:jc w:val="both"/>
        <w:rPr>
          <w:sz w:val="20"/>
          <w:szCs w:val="20"/>
        </w:rPr>
      </w:pPr>
    </w:p>
    <w:p w14:paraId="19F7B82D" w14:textId="77777777" w:rsidR="00757F8C" w:rsidRPr="00BA02B0" w:rsidRDefault="00757F8C" w:rsidP="00757F8C">
      <w:pPr>
        <w:ind w:left="851" w:hanging="425"/>
        <w:jc w:val="both"/>
        <w:rPr>
          <w:sz w:val="20"/>
          <w:szCs w:val="20"/>
        </w:rPr>
      </w:pPr>
      <w:r w:rsidRPr="00BA02B0">
        <w:rPr>
          <w:sz w:val="20"/>
          <w:szCs w:val="20"/>
        </w:rPr>
        <w:t xml:space="preserve">b) </w:t>
      </w:r>
      <w:r w:rsidRPr="00BA02B0">
        <w:rPr>
          <w:sz w:val="20"/>
          <w:szCs w:val="20"/>
        </w:rPr>
        <w:tab/>
        <w:t xml:space="preserve">Fire extinguishing </w:t>
      </w:r>
      <w:proofErr w:type="gramStart"/>
      <w:r w:rsidRPr="00BA02B0">
        <w:rPr>
          <w:sz w:val="20"/>
          <w:szCs w:val="20"/>
        </w:rPr>
        <w:t>equipment;</w:t>
      </w:r>
      <w:proofErr w:type="gramEnd"/>
    </w:p>
    <w:p w14:paraId="05D15BA6" w14:textId="77777777" w:rsidR="00B41BB5" w:rsidRPr="00BA02B0" w:rsidRDefault="00B41BB5" w:rsidP="00757F8C">
      <w:pPr>
        <w:ind w:left="851" w:hanging="425"/>
        <w:jc w:val="both"/>
        <w:rPr>
          <w:sz w:val="20"/>
          <w:szCs w:val="20"/>
        </w:rPr>
      </w:pPr>
    </w:p>
    <w:p w14:paraId="27B691EF" w14:textId="77777777" w:rsidR="00F64DD9" w:rsidRPr="00BA02B0" w:rsidRDefault="00F64DD9" w:rsidP="00757F8C">
      <w:pPr>
        <w:ind w:left="851" w:hanging="425"/>
        <w:jc w:val="both"/>
        <w:rPr>
          <w:sz w:val="20"/>
          <w:szCs w:val="20"/>
        </w:rPr>
      </w:pPr>
    </w:p>
    <w:p w14:paraId="61DB7B03" w14:textId="043E89DF" w:rsidR="00757F8C" w:rsidRPr="00BA02B0" w:rsidRDefault="00757F8C" w:rsidP="00757F8C">
      <w:pPr>
        <w:ind w:left="851" w:hanging="425"/>
        <w:jc w:val="both"/>
        <w:rPr>
          <w:sz w:val="20"/>
          <w:szCs w:val="20"/>
        </w:rPr>
      </w:pPr>
      <w:r w:rsidRPr="00BA02B0">
        <w:rPr>
          <w:sz w:val="20"/>
          <w:szCs w:val="20"/>
        </w:rPr>
        <w:lastRenderedPageBreak/>
        <w:t xml:space="preserve">c) </w:t>
      </w:r>
      <w:r w:rsidRPr="00BA02B0">
        <w:rPr>
          <w:sz w:val="20"/>
          <w:szCs w:val="20"/>
        </w:rPr>
        <w:tab/>
      </w:r>
      <w:r w:rsidR="00B41BB5" w:rsidRPr="00BA02B0">
        <w:rPr>
          <w:color w:val="000000"/>
          <w:sz w:val="20"/>
          <w:szCs w:val="20"/>
        </w:rPr>
        <w:t>Personal flotation device (PFDs)</w:t>
      </w:r>
      <w:r w:rsidRPr="00BA02B0">
        <w:rPr>
          <w:sz w:val="20"/>
          <w:szCs w:val="20"/>
        </w:rPr>
        <w:t xml:space="preserve"> of sufficient number for all persons onboard, and compliant with relevant international standards, such as, where applicable, the Cape Town Agreement</w:t>
      </w:r>
      <w:r w:rsidR="00062526" w:rsidRPr="00BA02B0">
        <w:rPr>
          <w:sz w:val="20"/>
          <w:szCs w:val="20"/>
        </w:rPr>
        <w:t xml:space="preserve">, or equivalent </w:t>
      </w:r>
      <w:r w:rsidR="000A2D40" w:rsidRPr="00BA02B0">
        <w:rPr>
          <w:sz w:val="20"/>
          <w:szCs w:val="20"/>
        </w:rPr>
        <w:t xml:space="preserve">domestic </w:t>
      </w:r>
      <w:r w:rsidR="00062526" w:rsidRPr="00BA02B0">
        <w:rPr>
          <w:sz w:val="20"/>
          <w:szCs w:val="20"/>
        </w:rPr>
        <w:t>standards</w:t>
      </w:r>
      <w:r w:rsidRPr="00BA02B0">
        <w:rPr>
          <w:sz w:val="20"/>
          <w:szCs w:val="20"/>
        </w:rPr>
        <w:t xml:space="preserve">; and </w:t>
      </w:r>
    </w:p>
    <w:p w14:paraId="3C0B175A" w14:textId="77777777" w:rsidR="00757F8C" w:rsidRPr="00BA02B0" w:rsidRDefault="00757F8C" w:rsidP="00757F8C">
      <w:pPr>
        <w:ind w:left="720"/>
        <w:jc w:val="both"/>
        <w:rPr>
          <w:sz w:val="20"/>
          <w:szCs w:val="20"/>
        </w:rPr>
      </w:pPr>
    </w:p>
    <w:p w14:paraId="108BBBCD" w14:textId="3A4CABCA" w:rsidR="00757F8C" w:rsidRPr="00BA02B0" w:rsidRDefault="00757F8C" w:rsidP="00757F8C">
      <w:pPr>
        <w:ind w:left="851" w:hanging="425"/>
        <w:jc w:val="both"/>
        <w:rPr>
          <w:sz w:val="20"/>
          <w:szCs w:val="20"/>
        </w:rPr>
      </w:pPr>
      <w:r w:rsidRPr="00BA02B0">
        <w:rPr>
          <w:sz w:val="20"/>
          <w:szCs w:val="20"/>
        </w:rPr>
        <w:t xml:space="preserve">d) </w:t>
      </w:r>
      <w:r w:rsidRPr="00BA02B0">
        <w:rPr>
          <w:sz w:val="20"/>
          <w:szCs w:val="20"/>
        </w:rPr>
        <w:tab/>
        <w:t>A properly registered Emergency Position Indicating Radio Beacon (EPIRB)</w:t>
      </w:r>
      <w:r w:rsidR="00062526" w:rsidRPr="00BA02B0">
        <w:rPr>
          <w:sz w:val="20"/>
          <w:szCs w:val="20"/>
        </w:rPr>
        <w:t>,</w:t>
      </w:r>
      <w:r w:rsidRPr="00BA02B0">
        <w:rPr>
          <w:sz w:val="20"/>
          <w:szCs w:val="20"/>
        </w:rPr>
        <w:t xml:space="preserve"> a Search and Rescue Transponder (SART)</w:t>
      </w:r>
      <w:r w:rsidR="00062526" w:rsidRPr="00BA02B0">
        <w:rPr>
          <w:sz w:val="20"/>
          <w:szCs w:val="20"/>
        </w:rPr>
        <w:t>, or equivalent equipment</w:t>
      </w:r>
      <w:r w:rsidRPr="00BA02B0">
        <w:rPr>
          <w:sz w:val="20"/>
          <w:szCs w:val="20"/>
        </w:rPr>
        <w:t xml:space="preserve"> that </w:t>
      </w:r>
      <w:r w:rsidR="00F76683" w:rsidRPr="00BA02B0">
        <w:rPr>
          <w:sz w:val="20"/>
          <w:szCs w:val="20"/>
        </w:rPr>
        <w:t>shall</w:t>
      </w:r>
      <w:r w:rsidRPr="00BA02B0">
        <w:rPr>
          <w:sz w:val="20"/>
          <w:szCs w:val="20"/>
        </w:rPr>
        <w:t xml:space="preserve"> not expire until after the observer deployment ends. </w:t>
      </w:r>
    </w:p>
    <w:p w14:paraId="5BB074B9" w14:textId="77777777" w:rsidR="00757F8C" w:rsidRPr="00BA02B0" w:rsidRDefault="00757F8C" w:rsidP="00757F8C">
      <w:pPr>
        <w:jc w:val="both"/>
        <w:rPr>
          <w:sz w:val="20"/>
          <w:szCs w:val="20"/>
        </w:rPr>
      </w:pPr>
    </w:p>
    <w:p w14:paraId="1B7AC177" w14:textId="18AF273D" w:rsidR="00757F8C" w:rsidRPr="00BA02B0" w:rsidRDefault="00757F8C" w:rsidP="00757F8C">
      <w:pPr>
        <w:ind w:left="426"/>
        <w:jc w:val="both"/>
        <w:rPr>
          <w:sz w:val="20"/>
          <w:szCs w:val="20"/>
        </w:rPr>
      </w:pPr>
      <w:r w:rsidRPr="00BA02B0">
        <w:rPr>
          <w:sz w:val="20"/>
          <w:szCs w:val="20"/>
        </w:rPr>
        <w:t>CPCs may choose to exempt their vessels 12 m in length overall (LOA)</w:t>
      </w:r>
      <w:r w:rsidR="00062526" w:rsidRPr="00BA02B0">
        <w:rPr>
          <w:sz w:val="20"/>
          <w:szCs w:val="20"/>
        </w:rPr>
        <w:t xml:space="preserve"> or less</w:t>
      </w:r>
      <w:r w:rsidRPr="00BA02B0">
        <w:rPr>
          <w:sz w:val="20"/>
          <w:szCs w:val="20"/>
        </w:rPr>
        <w:t xml:space="preserve"> and operating within </w:t>
      </w:r>
      <w:r w:rsidR="00062526" w:rsidRPr="00BA02B0">
        <w:rPr>
          <w:sz w:val="20"/>
          <w:szCs w:val="20"/>
        </w:rPr>
        <w:t>12</w:t>
      </w:r>
      <w:r w:rsidRPr="00BA02B0">
        <w:rPr>
          <w:sz w:val="20"/>
          <w:szCs w:val="20"/>
        </w:rPr>
        <w:t> nm of the baseline from the requirements set out in 4a and 4d above if a Personal Locator Beacon is issued to the observer.</w:t>
      </w:r>
    </w:p>
    <w:p w14:paraId="4F5CA70E" w14:textId="77777777" w:rsidR="00757F8C" w:rsidRPr="00BA02B0" w:rsidRDefault="00757F8C" w:rsidP="00757F8C">
      <w:pPr>
        <w:jc w:val="both"/>
        <w:rPr>
          <w:sz w:val="20"/>
          <w:szCs w:val="20"/>
        </w:rPr>
      </w:pPr>
    </w:p>
    <w:p w14:paraId="3081A019" w14:textId="26AB3373"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 xml:space="preserve">The CPC shall ensure that an observer is not deployed on a vessel unless and until the observer is allowed to </w:t>
      </w:r>
      <w:r w:rsidR="000A2D40" w:rsidRPr="00BA02B0">
        <w:rPr>
          <w:color w:val="000000"/>
          <w:sz w:val="20"/>
          <w:szCs w:val="20"/>
        </w:rPr>
        <w:t xml:space="preserve">1) </w:t>
      </w:r>
      <w:r w:rsidR="00062526" w:rsidRPr="00BA02B0">
        <w:rPr>
          <w:color w:val="000000"/>
          <w:sz w:val="20"/>
          <w:szCs w:val="20"/>
        </w:rPr>
        <w:t xml:space="preserve">view </w:t>
      </w:r>
      <w:r w:rsidRPr="00BA02B0">
        <w:rPr>
          <w:color w:val="000000"/>
          <w:sz w:val="20"/>
          <w:szCs w:val="20"/>
        </w:rPr>
        <w:t xml:space="preserve">the vessel’s major spaces to ensure that no obviously hazardous conditions exist, </w:t>
      </w:r>
      <w:r w:rsidR="000A2D40" w:rsidRPr="00BA02B0">
        <w:rPr>
          <w:color w:val="000000"/>
          <w:sz w:val="20"/>
          <w:szCs w:val="20"/>
        </w:rPr>
        <w:t>2)</w:t>
      </w:r>
      <w:r w:rsidR="0066276E" w:rsidRPr="00BA02B0">
        <w:rPr>
          <w:color w:val="000000"/>
          <w:sz w:val="20"/>
          <w:szCs w:val="20"/>
        </w:rPr>
        <w:t> </w:t>
      </w:r>
      <w:r w:rsidR="00062526" w:rsidRPr="00BA02B0">
        <w:rPr>
          <w:color w:val="000000"/>
          <w:sz w:val="20"/>
          <w:szCs w:val="20"/>
        </w:rPr>
        <w:t xml:space="preserve">confirm the presence of </w:t>
      </w:r>
      <w:r w:rsidRPr="00BA02B0">
        <w:rPr>
          <w:color w:val="000000"/>
          <w:sz w:val="20"/>
          <w:szCs w:val="20"/>
        </w:rPr>
        <w:t>safety equipment</w:t>
      </w:r>
      <w:r w:rsidR="00062526" w:rsidRPr="00BA02B0">
        <w:rPr>
          <w:color w:val="000000"/>
          <w:sz w:val="20"/>
          <w:szCs w:val="20"/>
        </w:rPr>
        <w:t>,</w:t>
      </w:r>
      <w:r w:rsidRPr="00BA02B0">
        <w:rPr>
          <w:color w:val="000000"/>
          <w:sz w:val="20"/>
          <w:szCs w:val="20"/>
        </w:rPr>
        <w:t xml:space="preserve"> and</w:t>
      </w:r>
      <w:r w:rsidR="009271DD" w:rsidRPr="00BA02B0">
        <w:rPr>
          <w:color w:val="000000"/>
          <w:sz w:val="20"/>
          <w:szCs w:val="20"/>
        </w:rPr>
        <w:t xml:space="preserve"> 3) </w:t>
      </w:r>
      <w:r w:rsidRPr="00BA02B0">
        <w:rPr>
          <w:color w:val="000000"/>
          <w:sz w:val="20"/>
          <w:szCs w:val="20"/>
        </w:rPr>
        <w:t>report</w:t>
      </w:r>
      <w:r w:rsidR="009271DD" w:rsidRPr="00BA02B0">
        <w:rPr>
          <w:color w:val="000000"/>
          <w:sz w:val="20"/>
        </w:rPr>
        <w:t>, as necessary,</w:t>
      </w:r>
      <w:r w:rsidRPr="00BA02B0">
        <w:rPr>
          <w:color w:val="000000"/>
          <w:sz w:val="20"/>
        </w:rPr>
        <w:t xml:space="preserve"> </w:t>
      </w:r>
      <w:r w:rsidRPr="00BA02B0">
        <w:rPr>
          <w:color w:val="000000"/>
          <w:sz w:val="20"/>
          <w:szCs w:val="20"/>
        </w:rPr>
        <w:t xml:space="preserve">its status to the observer provider or relevant CPC authorities. </w:t>
      </w:r>
      <w:r w:rsidR="009271DD" w:rsidRPr="00BA02B0">
        <w:rPr>
          <w:color w:val="000000"/>
          <w:sz w:val="20"/>
          <w:szCs w:val="20"/>
        </w:rPr>
        <w:t>CPCs shall give due consideration to any safety concerns reported.</w:t>
      </w:r>
    </w:p>
    <w:p w14:paraId="77E7BB04" w14:textId="77777777" w:rsidR="00757F8C" w:rsidRPr="00BA02B0" w:rsidRDefault="00757F8C" w:rsidP="00757F8C">
      <w:pPr>
        <w:jc w:val="both"/>
        <w:rPr>
          <w:sz w:val="20"/>
          <w:szCs w:val="20"/>
        </w:rPr>
      </w:pPr>
    </w:p>
    <w:p w14:paraId="0FFE83CA" w14:textId="77777777"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CPCs shall ensure there is an established procedure for contacting and being contacted by the observer and the vessel and that this procedure provides for regularly scheduled contact with observers to confirm their health, safety, and welfare status. CPCs shall ensure there is a designated contact point for deployed observers to use in cases of emergency.</w:t>
      </w:r>
    </w:p>
    <w:p w14:paraId="32128F43" w14:textId="77777777" w:rsidR="00757F8C" w:rsidRPr="00BA02B0" w:rsidRDefault="00757F8C" w:rsidP="00757F8C">
      <w:pPr>
        <w:rPr>
          <w:sz w:val="20"/>
          <w:szCs w:val="20"/>
        </w:rPr>
      </w:pPr>
    </w:p>
    <w:p w14:paraId="0D0EBDA2" w14:textId="70D82723"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 xml:space="preserve">CPCs shall develop and implement an emergency protocol that clearly describes what actions must be taken in the event of various emergencies, including situations where an observer dies, is missing or presumed fallen overboard, suffers from a serious illness or injury that puts his or her health or safety at risk, has been assaulted, intimidated, threatened or harassed while on board a vessel, or if the observer requests to be removed from the vessel prior to the conclusion of the trip.  </w:t>
      </w:r>
    </w:p>
    <w:p w14:paraId="098D9D7D" w14:textId="77777777" w:rsidR="00757F8C" w:rsidRPr="00BA02B0" w:rsidRDefault="00757F8C" w:rsidP="00757F8C">
      <w:pPr>
        <w:jc w:val="both"/>
        <w:rPr>
          <w:sz w:val="20"/>
          <w:szCs w:val="20"/>
        </w:rPr>
      </w:pPr>
    </w:p>
    <w:p w14:paraId="18DF6947" w14:textId="0530EBD6" w:rsidR="00757F8C" w:rsidRPr="00BA02B0" w:rsidRDefault="00757F8C" w:rsidP="00357B5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 xml:space="preserve">Flag CPCs with vessels carrying observers covered by this Recommendation shall, subject to </w:t>
      </w:r>
      <w:r w:rsidR="00DE5971" w:rsidRPr="00BA02B0">
        <w:rPr>
          <w:color w:val="000000"/>
          <w:sz w:val="20"/>
          <w:szCs w:val="20"/>
        </w:rPr>
        <w:t>domestic</w:t>
      </w:r>
      <w:r w:rsidRPr="00BA02B0">
        <w:rPr>
          <w:color w:val="000000"/>
          <w:sz w:val="20"/>
          <w:szCs w:val="20"/>
        </w:rPr>
        <w:t xml:space="preserve"> laws on confidentiality and privacy, submit to the Executive Secretary reports on observer incidents involving serious injury, death, or in the event of an observer that is missing or presumed fallen overboard, including any corrective action taken by the flag CPC. The Executive Secretary shall transmit such reports to the Commission, consistent with</w:t>
      </w:r>
      <w:r w:rsidR="00183BB8" w:rsidRPr="00BA02B0">
        <w:rPr>
          <w:color w:val="000000"/>
          <w:sz w:val="20"/>
          <w:szCs w:val="20"/>
        </w:rPr>
        <w:t xml:space="preserve"> the Rules and Procedures </w:t>
      </w:r>
      <w:r w:rsidR="00243B03" w:rsidRPr="00BA02B0">
        <w:rPr>
          <w:color w:val="000000"/>
          <w:sz w:val="20"/>
          <w:szCs w:val="20"/>
        </w:rPr>
        <w:t xml:space="preserve">for the protection, access to, and dissemination of data compiled by </w:t>
      </w:r>
      <w:r w:rsidR="00183BB8" w:rsidRPr="00BA02B0">
        <w:rPr>
          <w:color w:val="000000"/>
          <w:sz w:val="20"/>
          <w:szCs w:val="20"/>
        </w:rPr>
        <w:t>ICCAT</w:t>
      </w:r>
      <w:r w:rsidRPr="00BA02B0">
        <w:rPr>
          <w:color w:val="000000"/>
          <w:sz w:val="20"/>
          <w:szCs w:val="20"/>
        </w:rPr>
        <w:t xml:space="preserve">, for its review at each annual meeting or, where warranted, more frequently. </w:t>
      </w:r>
    </w:p>
    <w:p w14:paraId="4DD68A5B" w14:textId="77777777" w:rsidR="00757F8C" w:rsidRPr="00BA02B0" w:rsidRDefault="00757F8C" w:rsidP="00757F8C">
      <w:pPr>
        <w:jc w:val="both"/>
        <w:rPr>
          <w:sz w:val="20"/>
          <w:szCs w:val="20"/>
        </w:rPr>
      </w:pPr>
    </w:p>
    <w:p w14:paraId="3A869C6D" w14:textId="77777777"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 xml:space="preserve">Flag CPCs shall cooperate to the maximum extent possible with and provide for the participation of, as appropriate and consistent with domestic law, other relevant CPCs and/or non-CPCs in search and rescue operations and investigations of cases where the observer dies, is missing or presumed fallen overboard, suffers from a serious illness or injury that threatens his or her health or safety, or has been assaulted, intimidated, threatened or harassed while on board a vessel. </w:t>
      </w:r>
    </w:p>
    <w:p w14:paraId="592BD37E" w14:textId="77777777" w:rsidR="00757F8C" w:rsidRPr="00BA02B0" w:rsidRDefault="00757F8C" w:rsidP="00757F8C">
      <w:pPr>
        <w:jc w:val="both"/>
        <w:rPr>
          <w:sz w:val="20"/>
          <w:szCs w:val="20"/>
        </w:rPr>
      </w:pPr>
    </w:p>
    <w:p w14:paraId="015D7712" w14:textId="77777777"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 xml:space="preserve">Nothing in this Recommendation shall prejudice the exercise of discretion by the relevant CPCs' authorities not to deploy an observer on a vessel because of concerns about risk to the observer’s health, safety, or welfare. </w:t>
      </w:r>
    </w:p>
    <w:p w14:paraId="79ADAF66" w14:textId="77777777" w:rsidR="00757F8C" w:rsidRPr="00BA02B0" w:rsidRDefault="00757F8C" w:rsidP="00757F8C">
      <w:pPr>
        <w:jc w:val="both"/>
        <w:rPr>
          <w:sz w:val="20"/>
          <w:szCs w:val="20"/>
        </w:rPr>
      </w:pPr>
    </w:p>
    <w:p w14:paraId="172ECF4C" w14:textId="77777777"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 xml:space="preserve">Nothing in this measure shall prejudice the rights of relevant CPCs to enforce their laws with respect to the safety of observers consistent with international law. </w:t>
      </w:r>
    </w:p>
    <w:p w14:paraId="79D3638F" w14:textId="77777777" w:rsidR="00757F8C" w:rsidRPr="00BA02B0" w:rsidRDefault="00757F8C" w:rsidP="00757F8C">
      <w:pPr>
        <w:jc w:val="both"/>
        <w:rPr>
          <w:sz w:val="20"/>
          <w:szCs w:val="20"/>
        </w:rPr>
      </w:pPr>
    </w:p>
    <w:p w14:paraId="3D9F53B2" w14:textId="77777777" w:rsidR="00757F8C" w:rsidRPr="00BA02B0" w:rsidRDefault="00757F8C" w:rsidP="00757F8C">
      <w:pPr>
        <w:widowControl/>
        <w:numPr>
          <w:ilvl w:val="0"/>
          <w:numId w:val="2"/>
        </w:numPr>
        <w:pBdr>
          <w:top w:val="nil"/>
          <w:left w:val="nil"/>
          <w:bottom w:val="nil"/>
          <w:right w:val="nil"/>
          <w:between w:val="nil"/>
        </w:pBdr>
        <w:autoSpaceDE/>
        <w:autoSpaceDN/>
        <w:ind w:left="426" w:hanging="426"/>
        <w:jc w:val="both"/>
        <w:rPr>
          <w:color w:val="000000"/>
          <w:sz w:val="20"/>
          <w:szCs w:val="20"/>
        </w:rPr>
      </w:pPr>
      <w:r w:rsidRPr="00BA02B0">
        <w:rPr>
          <w:color w:val="000000"/>
          <w:sz w:val="20"/>
          <w:szCs w:val="20"/>
        </w:rPr>
        <w:t xml:space="preserve">This Recommendation shall be reviewed three years after its adoption, </w:t>
      </w:r>
      <w:proofErr w:type="gramStart"/>
      <w:r w:rsidRPr="00BA02B0">
        <w:rPr>
          <w:color w:val="000000"/>
          <w:sz w:val="20"/>
          <w:szCs w:val="20"/>
        </w:rPr>
        <w:t>taking into account</w:t>
      </w:r>
      <w:proofErr w:type="gramEnd"/>
      <w:r w:rsidRPr="00BA02B0">
        <w:rPr>
          <w:color w:val="000000"/>
          <w:sz w:val="20"/>
          <w:szCs w:val="20"/>
        </w:rPr>
        <w:t xml:space="preserve"> any guidance from FAO on standards related to fisheries observer safety as requested by the Joint FAO/IMO/ILO Ad Hoc Working Group on Illegal, Unreported and Unregulated Fishing and Related Matters.</w:t>
      </w:r>
    </w:p>
    <w:p w14:paraId="245A9920" w14:textId="77777777" w:rsidR="00757F8C" w:rsidRPr="00BA02B0" w:rsidRDefault="00757F8C" w:rsidP="00757F8C">
      <w:pPr>
        <w:jc w:val="both"/>
        <w:rPr>
          <w:sz w:val="20"/>
          <w:szCs w:val="20"/>
        </w:rPr>
      </w:pPr>
    </w:p>
    <w:sectPr w:rsidR="00757F8C" w:rsidRPr="00BA02B0" w:rsidSect="00925E6D">
      <w:footerReference w:type="default" r:id="rId7"/>
      <w:type w:val="continuous"/>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9BE77" w14:textId="77777777" w:rsidR="00376E11" w:rsidRDefault="00376E11">
      <w:r>
        <w:separator/>
      </w:r>
    </w:p>
  </w:endnote>
  <w:endnote w:type="continuationSeparator" w:id="0">
    <w:p w14:paraId="0947A8A6" w14:textId="77777777" w:rsidR="00376E11" w:rsidRDefault="00376E11">
      <w:r>
        <w:continuationSeparator/>
      </w:r>
    </w:p>
  </w:endnote>
  <w:endnote w:type="continuationNotice" w:id="1">
    <w:p w14:paraId="165AFD66" w14:textId="77777777" w:rsidR="00376E11" w:rsidRDefault="00376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2B557" w14:textId="756D0E5E" w:rsidR="00A26155" w:rsidRPr="00757F8C" w:rsidRDefault="00BA02B0" w:rsidP="00757F8C">
    <w:pPr>
      <w:tabs>
        <w:tab w:val="center" w:pos="4535"/>
        <w:tab w:val="center" w:pos="4680"/>
        <w:tab w:val="left" w:pos="6150"/>
        <w:tab w:val="right" w:pos="9360"/>
      </w:tabs>
      <w:jc w:val="center"/>
      <w:rPr>
        <w:rFonts w:eastAsia="Calibri"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757F8C" w:rsidRPr="00713AD4">
          <w:rPr>
            <w:rFonts w:eastAsia="Calibri" w:cs="Calibri"/>
            <w:sz w:val="20"/>
            <w:szCs w:val="20"/>
          </w:rPr>
          <w:fldChar w:fldCharType="begin"/>
        </w:r>
        <w:r w:rsidR="00757F8C" w:rsidRPr="00713AD4">
          <w:rPr>
            <w:rFonts w:eastAsia="Calibri" w:cs="Calibri"/>
            <w:sz w:val="20"/>
            <w:szCs w:val="20"/>
          </w:rPr>
          <w:instrText xml:space="preserve"> PAGE </w:instrText>
        </w:r>
        <w:r w:rsidR="00757F8C" w:rsidRPr="00713AD4">
          <w:rPr>
            <w:rFonts w:eastAsia="Calibri" w:cs="Calibri"/>
            <w:sz w:val="20"/>
            <w:szCs w:val="20"/>
          </w:rPr>
          <w:fldChar w:fldCharType="separate"/>
        </w:r>
        <w:r w:rsidR="009271DD">
          <w:rPr>
            <w:rFonts w:eastAsia="Calibri" w:cs="Calibri"/>
            <w:noProof/>
            <w:sz w:val="20"/>
            <w:szCs w:val="20"/>
          </w:rPr>
          <w:t>4</w:t>
        </w:r>
        <w:r w:rsidR="00757F8C" w:rsidRPr="00713AD4">
          <w:rPr>
            <w:rFonts w:eastAsia="Calibri" w:cs="Calibri"/>
            <w:sz w:val="20"/>
            <w:szCs w:val="20"/>
          </w:rPr>
          <w:fldChar w:fldCharType="end"/>
        </w:r>
      </w:sdtContent>
    </w:sdt>
    <w:r w:rsidR="007B3CE4">
      <w:rPr>
        <w:noProof/>
      </w:rPr>
      <mc:AlternateContent>
        <mc:Choice Requires="wps">
          <w:drawing>
            <wp:inline distT="0" distB="0" distL="0" distR="0" wp14:anchorId="635410E2" wp14:editId="2B188851">
              <wp:extent cx="219075" cy="16192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61925"/>
                      </a:xfrm>
                      <a:prstGeom prst="rect">
                        <a:avLst/>
                      </a:prstGeom>
                    </wps:spPr>
                    <wps:txbx>
                      <w:txbxContent>
                        <w:p w14:paraId="67325993" w14:textId="77777777" w:rsidR="00A26155" w:rsidRDefault="00A26155">
                          <w:pPr>
                            <w:spacing w:before="23"/>
                            <w:ind w:left="20"/>
                            <w:rPr>
                              <w:sz w:val="18"/>
                            </w:rPr>
                          </w:pPr>
                        </w:p>
                        <w:p w14:paraId="11A3478E" w14:textId="77777777" w:rsidR="00AE2DA3" w:rsidRDefault="00AE2DA3">
                          <w:pPr>
                            <w:spacing w:before="23"/>
                            <w:ind w:left="20"/>
                            <w:rPr>
                              <w:sz w:val="18"/>
                            </w:rPr>
                          </w:pPr>
                        </w:p>
                      </w:txbxContent>
                    </wps:txbx>
                    <wps:bodyPr wrap="square" lIns="0" tIns="0" rIns="0" bIns="0" rtlCol="0">
                      <a:noAutofit/>
                    </wps:bodyPr>
                  </wps:wsp>
                </a:graphicData>
              </a:graphic>
            </wp:inline>
          </w:drawing>
        </mc:Choice>
        <mc:Fallback>
          <w:pict>
            <v:shapetype w14:anchorId="635410E2" id="_x0000_t202" coordsize="21600,21600" o:spt="202" path="m,l,21600r21600,l21600,xe">
              <v:stroke joinstyle="miter"/>
              <v:path gradientshapeok="t" o:connecttype="rect"/>
            </v:shapetype>
            <v:shape id="Textbox 1" o:spid="_x0000_s1026" type="#_x0000_t202" style="width:17.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SklAEAABoDAAAOAAAAZHJzL2Uyb0RvYy54bWysUsFu2zAMvQ/oPwi6N7YDtFuNOEXXYsOA&#10;YhvQ7QMUWYqNWaJKKrHz96MUJxm229ALRUnU43uPWt1PbhB7g9SDb2S1KKUwXkPb+20jf/74dP1B&#10;CorKt2oAbxp5MCTv11fvVmOozRI6GFqDgkE81WNoZBdjqIuCdGecogUE4/nSAjoVeYvbokU1Mrob&#10;imVZ3hYjYBsQtCHi06fjpVxnfGuNjt+sJRPF0EjmFnPEHDcpFuuVqreoQtfrmYb6DxZO9Z6bnqGe&#10;VFRih/0/UK7XCAQ2LjS4AqzttckaWE1V/qXmpVPBZC1sDoWzTfR2sPrr/iV8RxGnjzDxALMICs+g&#10;fxF7U4yB6rkmeUo1cXUSOll0aWUJgh+yt4ezn2aKQvPhsror399Iofmquq3uljfJ7+LyOCDFzwac&#10;SEkjkceVCaj9M8Vj6alk5nJsn4jEaTNxSUo30B5Yw8hjbCS97hQaKYYvnn1KMz8leEo2pwTj8Aj5&#10;ZyQpHh52EWyfO19w5848gMx9/ixpwn/uc9XlS69/AwAA//8DAFBLAwQUAAYACAAAACEA3fC7M9sA&#10;AAADAQAADwAAAGRycy9kb3ducmV2LnhtbEyPwU7DMBBE70j9B2srcaMOhVQQ4lRVBSckRBoOHDfx&#10;NrEar9PYbcPfY7jAZaXRjGbe5uvJ9uJMozeOFdwuEhDEjdOGWwUf1cvNAwgfkDX2jknBF3lYF7Or&#10;HDPtLlzSeRdaEUvYZ6igC2HIpPRNRxb9wg3E0du70WKIcmylHvESy20vl0mykhYNx4UOB9p21Bx2&#10;J6tg88nlszm+1e/lvjRV9Zjw6+qg1PV82jyBCDSFvzD84Ed0KCJT7U6svegVxEfC743e3X0Kolaw&#10;TFOQRS7/sxffAAAA//8DAFBLAQItABQABgAIAAAAIQC2gziS/gAAAOEBAAATAAAAAAAAAAAAAAAA&#10;AAAAAABbQ29udGVudF9UeXBlc10ueG1sUEsBAi0AFAAGAAgAAAAhADj9If/WAAAAlAEAAAsAAAAA&#10;AAAAAAAAAAAALwEAAF9yZWxzLy5yZWxzUEsBAi0AFAAGAAgAAAAhAGnwtKSUAQAAGgMAAA4AAAAA&#10;AAAAAAAAAAAALgIAAGRycy9lMm9Eb2MueG1sUEsBAi0AFAAGAAgAAAAhAN3wuzPbAAAAAwEAAA8A&#10;AAAAAAAAAAAAAAAA7gMAAGRycy9kb3ducmV2LnhtbFBLBQYAAAAABAAEAPMAAAD2BAAAAAA=&#10;" filled="f" stroked="f">
              <v:textbox inset="0,0,0,0">
                <w:txbxContent>
                  <w:p w14:paraId="67325993" w14:textId="77777777" w:rsidR="00A26155" w:rsidRDefault="00A26155">
                    <w:pPr>
                      <w:spacing w:before="23"/>
                      <w:ind w:left="20"/>
                      <w:rPr>
                        <w:sz w:val="18"/>
                      </w:rPr>
                    </w:pPr>
                  </w:p>
                  <w:p w14:paraId="11A3478E" w14:textId="77777777" w:rsidR="00AE2DA3" w:rsidRDefault="00AE2DA3">
                    <w:pPr>
                      <w:spacing w:before="23"/>
                      <w:ind w:left="20"/>
                      <w:rPr>
                        <w:sz w:val="18"/>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77165" w14:textId="77777777" w:rsidR="00376E11" w:rsidRDefault="00376E11">
      <w:r>
        <w:separator/>
      </w:r>
    </w:p>
  </w:footnote>
  <w:footnote w:type="continuationSeparator" w:id="0">
    <w:p w14:paraId="5CF654E6" w14:textId="77777777" w:rsidR="00376E11" w:rsidRDefault="00376E11">
      <w:r>
        <w:continuationSeparator/>
      </w:r>
    </w:p>
  </w:footnote>
  <w:footnote w:type="continuationNotice" w:id="1">
    <w:p w14:paraId="0B2AE26A" w14:textId="77777777" w:rsidR="00376E11" w:rsidRDefault="00376E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07879"/>
    <w:multiLevelType w:val="hybridMultilevel"/>
    <w:tmpl w:val="06D8F0E6"/>
    <w:lvl w:ilvl="0" w:tplc="2DCA1A24">
      <w:start w:val="1"/>
      <w:numFmt w:val="decimal"/>
      <w:lvlText w:val="%1."/>
      <w:lvlJc w:val="left"/>
      <w:pPr>
        <w:ind w:left="619" w:hanging="394"/>
      </w:pPr>
      <w:rPr>
        <w:rFonts w:ascii="Cambria" w:eastAsia="Cambria" w:hAnsi="Cambria" w:cs="Cambria" w:hint="default"/>
        <w:b w:val="0"/>
        <w:bCs w:val="0"/>
        <w:i w:val="0"/>
        <w:iCs w:val="0"/>
        <w:spacing w:val="0"/>
        <w:w w:val="101"/>
        <w:sz w:val="18"/>
        <w:szCs w:val="18"/>
        <w:lang w:val="en-US" w:eastAsia="en-US" w:bidi="ar-SA"/>
      </w:rPr>
    </w:lvl>
    <w:lvl w:ilvl="1" w:tplc="2ADCBA80">
      <w:numFmt w:val="bullet"/>
      <w:lvlText w:val="•"/>
      <w:lvlJc w:val="left"/>
      <w:pPr>
        <w:ind w:left="1438" w:hanging="394"/>
      </w:pPr>
      <w:rPr>
        <w:rFonts w:hint="default"/>
        <w:lang w:val="en-US" w:eastAsia="en-US" w:bidi="ar-SA"/>
      </w:rPr>
    </w:lvl>
    <w:lvl w:ilvl="2" w:tplc="6A26AB20">
      <w:numFmt w:val="bullet"/>
      <w:lvlText w:val="•"/>
      <w:lvlJc w:val="left"/>
      <w:pPr>
        <w:ind w:left="2256" w:hanging="394"/>
      </w:pPr>
      <w:rPr>
        <w:rFonts w:hint="default"/>
        <w:lang w:val="en-US" w:eastAsia="en-US" w:bidi="ar-SA"/>
      </w:rPr>
    </w:lvl>
    <w:lvl w:ilvl="3" w:tplc="7146F59C">
      <w:numFmt w:val="bullet"/>
      <w:lvlText w:val="•"/>
      <w:lvlJc w:val="left"/>
      <w:pPr>
        <w:ind w:left="3074" w:hanging="394"/>
      </w:pPr>
      <w:rPr>
        <w:rFonts w:hint="default"/>
        <w:lang w:val="en-US" w:eastAsia="en-US" w:bidi="ar-SA"/>
      </w:rPr>
    </w:lvl>
    <w:lvl w:ilvl="4" w:tplc="0D4EDD52">
      <w:numFmt w:val="bullet"/>
      <w:lvlText w:val="•"/>
      <w:lvlJc w:val="left"/>
      <w:pPr>
        <w:ind w:left="3892" w:hanging="394"/>
      </w:pPr>
      <w:rPr>
        <w:rFonts w:hint="default"/>
        <w:lang w:val="en-US" w:eastAsia="en-US" w:bidi="ar-SA"/>
      </w:rPr>
    </w:lvl>
    <w:lvl w:ilvl="5" w:tplc="26A6290C">
      <w:numFmt w:val="bullet"/>
      <w:lvlText w:val="•"/>
      <w:lvlJc w:val="left"/>
      <w:pPr>
        <w:ind w:left="4710" w:hanging="394"/>
      </w:pPr>
      <w:rPr>
        <w:rFonts w:hint="default"/>
        <w:lang w:val="en-US" w:eastAsia="en-US" w:bidi="ar-SA"/>
      </w:rPr>
    </w:lvl>
    <w:lvl w:ilvl="6" w:tplc="360E26B8">
      <w:numFmt w:val="bullet"/>
      <w:lvlText w:val="•"/>
      <w:lvlJc w:val="left"/>
      <w:pPr>
        <w:ind w:left="5528" w:hanging="394"/>
      </w:pPr>
      <w:rPr>
        <w:rFonts w:hint="default"/>
        <w:lang w:val="en-US" w:eastAsia="en-US" w:bidi="ar-SA"/>
      </w:rPr>
    </w:lvl>
    <w:lvl w:ilvl="7" w:tplc="DE585ADE">
      <w:numFmt w:val="bullet"/>
      <w:lvlText w:val="•"/>
      <w:lvlJc w:val="left"/>
      <w:pPr>
        <w:ind w:left="6346" w:hanging="394"/>
      </w:pPr>
      <w:rPr>
        <w:rFonts w:hint="default"/>
        <w:lang w:val="en-US" w:eastAsia="en-US" w:bidi="ar-SA"/>
      </w:rPr>
    </w:lvl>
    <w:lvl w:ilvl="8" w:tplc="6D803880">
      <w:numFmt w:val="bullet"/>
      <w:lvlText w:val="•"/>
      <w:lvlJc w:val="left"/>
      <w:pPr>
        <w:ind w:left="7164" w:hanging="394"/>
      </w:pPr>
      <w:rPr>
        <w:rFonts w:hint="default"/>
        <w:lang w:val="en-US" w:eastAsia="en-US" w:bidi="ar-SA"/>
      </w:rPr>
    </w:lvl>
  </w:abstractNum>
  <w:abstractNum w:abstractNumId="1"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4966543">
    <w:abstractNumId w:val="0"/>
  </w:num>
  <w:num w:numId="2" w16cid:durableId="1780375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55"/>
    <w:rsid w:val="00062526"/>
    <w:rsid w:val="0007226C"/>
    <w:rsid w:val="00093582"/>
    <w:rsid w:val="000A2D40"/>
    <w:rsid w:val="000C00FF"/>
    <w:rsid w:val="000C6E9F"/>
    <w:rsid w:val="000D3326"/>
    <w:rsid w:val="000D76E4"/>
    <w:rsid w:val="000E05C1"/>
    <w:rsid w:val="000E62E9"/>
    <w:rsid w:val="00100ED8"/>
    <w:rsid w:val="00101472"/>
    <w:rsid w:val="001030ED"/>
    <w:rsid w:val="00113B3D"/>
    <w:rsid w:val="0013316A"/>
    <w:rsid w:val="0013353D"/>
    <w:rsid w:val="001471AC"/>
    <w:rsid w:val="00174D4C"/>
    <w:rsid w:val="00183BB8"/>
    <w:rsid w:val="00186FA3"/>
    <w:rsid w:val="00195939"/>
    <w:rsid w:val="001D28EC"/>
    <w:rsid w:val="0020530C"/>
    <w:rsid w:val="00234F33"/>
    <w:rsid w:val="00237194"/>
    <w:rsid w:val="00240EC4"/>
    <w:rsid w:val="00243B03"/>
    <w:rsid w:val="00245BD6"/>
    <w:rsid w:val="00253BCC"/>
    <w:rsid w:val="0026527D"/>
    <w:rsid w:val="002777B8"/>
    <w:rsid w:val="00280DE6"/>
    <w:rsid w:val="00290735"/>
    <w:rsid w:val="002B7A90"/>
    <w:rsid w:val="002C7106"/>
    <w:rsid w:val="002E6185"/>
    <w:rsid w:val="00334874"/>
    <w:rsid w:val="00357B5C"/>
    <w:rsid w:val="00376E11"/>
    <w:rsid w:val="003B023C"/>
    <w:rsid w:val="003B62DB"/>
    <w:rsid w:val="003C0D3B"/>
    <w:rsid w:val="003E48B0"/>
    <w:rsid w:val="003F7A79"/>
    <w:rsid w:val="004724CB"/>
    <w:rsid w:val="004A57CA"/>
    <w:rsid w:val="004E1BF4"/>
    <w:rsid w:val="004F15A6"/>
    <w:rsid w:val="00511914"/>
    <w:rsid w:val="00522E96"/>
    <w:rsid w:val="00535659"/>
    <w:rsid w:val="00536FA8"/>
    <w:rsid w:val="005C3591"/>
    <w:rsid w:val="005D4224"/>
    <w:rsid w:val="005E030B"/>
    <w:rsid w:val="00616E8D"/>
    <w:rsid w:val="00636543"/>
    <w:rsid w:val="0066276E"/>
    <w:rsid w:val="006A4AD6"/>
    <w:rsid w:val="006E646E"/>
    <w:rsid w:val="00747EF1"/>
    <w:rsid w:val="00757F8C"/>
    <w:rsid w:val="00760AA3"/>
    <w:rsid w:val="00780B65"/>
    <w:rsid w:val="00784E32"/>
    <w:rsid w:val="007B3CE4"/>
    <w:rsid w:val="007B470F"/>
    <w:rsid w:val="007D7B7F"/>
    <w:rsid w:val="007E1238"/>
    <w:rsid w:val="007E24EA"/>
    <w:rsid w:val="008030B1"/>
    <w:rsid w:val="00805E10"/>
    <w:rsid w:val="00807605"/>
    <w:rsid w:val="00861EFC"/>
    <w:rsid w:val="0086285B"/>
    <w:rsid w:val="00883516"/>
    <w:rsid w:val="00884FB8"/>
    <w:rsid w:val="00894847"/>
    <w:rsid w:val="008D0BF8"/>
    <w:rsid w:val="00925E6D"/>
    <w:rsid w:val="009271DD"/>
    <w:rsid w:val="00930C46"/>
    <w:rsid w:val="009363BD"/>
    <w:rsid w:val="0096480E"/>
    <w:rsid w:val="00975C5F"/>
    <w:rsid w:val="009E4930"/>
    <w:rsid w:val="009F38CA"/>
    <w:rsid w:val="00A24EF5"/>
    <w:rsid w:val="00A26155"/>
    <w:rsid w:val="00A601A8"/>
    <w:rsid w:val="00A60D27"/>
    <w:rsid w:val="00A76F16"/>
    <w:rsid w:val="00A854C1"/>
    <w:rsid w:val="00AD7B5D"/>
    <w:rsid w:val="00AE2DA3"/>
    <w:rsid w:val="00AE2EF2"/>
    <w:rsid w:val="00B31676"/>
    <w:rsid w:val="00B41BB5"/>
    <w:rsid w:val="00B5275B"/>
    <w:rsid w:val="00B7242D"/>
    <w:rsid w:val="00B93FF4"/>
    <w:rsid w:val="00BA02B0"/>
    <w:rsid w:val="00BB526A"/>
    <w:rsid w:val="00BF4921"/>
    <w:rsid w:val="00C91AE5"/>
    <w:rsid w:val="00CC14F4"/>
    <w:rsid w:val="00CE6262"/>
    <w:rsid w:val="00D41B83"/>
    <w:rsid w:val="00D4737D"/>
    <w:rsid w:val="00D516F7"/>
    <w:rsid w:val="00D723BE"/>
    <w:rsid w:val="00D80A26"/>
    <w:rsid w:val="00D831B7"/>
    <w:rsid w:val="00D85879"/>
    <w:rsid w:val="00DE5971"/>
    <w:rsid w:val="00DE5C23"/>
    <w:rsid w:val="00DF4771"/>
    <w:rsid w:val="00E05EAF"/>
    <w:rsid w:val="00E52F56"/>
    <w:rsid w:val="00E6216C"/>
    <w:rsid w:val="00E965CB"/>
    <w:rsid w:val="00EA7FAA"/>
    <w:rsid w:val="00EB770C"/>
    <w:rsid w:val="00ED26D4"/>
    <w:rsid w:val="00ED40DD"/>
    <w:rsid w:val="00EE6C0F"/>
    <w:rsid w:val="00F20592"/>
    <w:rsid w:val="00F22459"/>
    <w:rsid w:val="00F26E47"/>
    <w:rsid w:val="00F47037"/>
    <w:rsid w:val="00F50FA7"/>
    <w:rsid w:val="00F64DD9"/>
    <w:rsid w:val="00F76683"/>
    <w:rsid w:val="00F97106"/>
    <w:rsid w:val="00FE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8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1634"/>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ListParagraph">
    <w:name w:val="List Paragraph"/>
    <w:basedOn w:val="Normal"/>
    <w:uiPriority w:val="1"/>
    <w:qFormat/>
    <w:pPr>
      <w:ind w:left="619" w:hanging="3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2DA3"/>
    <w:pPr>
      <w:tabs>
        <w:tab w:val="center" w:pos="4680"/>
        <w:tab w:val="right" w:pos="9360"/>
      </w:tabs>
    </w:pPr>
  </w:style>
  <w:style w:type="character" w:customStyle="1" w:styleId="HeaderChar">
    <w:name w:val="Header Char"/>
    <w:basedOn w:val="DefaultParagraphFont"/>
    <w:link w:val="Header"/>
    <w:uiPriority w:val="99"/>
    <w:rsid w:val="00AE2DA3"/>
    <w:rPr>
      <w:rFonts w:ascii="Cambria" w:eastAsia="Cambria" w:hAnsi="Cambria" w:cs="Cambria"/>
    </w:rPr>
  </w:style>
  <w:style w:type="paragraph" w:styleId="Footer">
    <w:name w:val="footer"/>
    <w:basedOn w:val="Normal"/>
    <w:link w:val="FooterChar"/>
    <w:uiPriority w:val="99"/>
    <w:unhideWhenUsed/>
    <w:rsid w:val="00AE2DA3"/>
    <w:pPr>
      <w:tabs>
        <w:tab w:val="center" w:pos="4680"/>
        <w:tab w:val="right" w:pos="9360"/>
      </w:tabs>
    </w:pPr>
  </w:style>
  <w:style w:type="character" w:customStyle="1" w:styleId="FooterChar">
    <w:name w:val="Footer Char"/>
    <w:basedOn w:val="DefaultParagraphFont"/>
    <w:link w:val="Footer"/>
    <w:uiPriority w:val="99"/>
    <w:rsid w:val="00AE2DA3"/>
    <w:rPr>
      <w:rFonts w:ascii="Cambria" w:eastAsia="Cambria" w:hAnsi="Cambria" w:cs="Cambria"/>
    </w:rPr>
  </w:style>
  <w:style w:type="character" w:styleId="Hyperlink">
    <w:name w:val="Hyperlink"/>
    <w:basedOn w:val="DefaultParagraphFont"/>
    <w:uiPriority w:val="99"/>
    <w:unhideWhenUsed/>
    <w:rsid w:val="006A4AD6"/>
    <w:rPr>
      <w:color w:val="0000FF" w:themeColor="hyperlink"/>
      <w:u w:val="single"/>
    </w:rPr>
  </w:style>
  <w:style w:type="character" w:customStyle="1" w:styleId="UnresolvedMention1">
    <w:name w:val="Unresolved Mention1"/>
    <w:basedOn w:val="DefaultParagraphFont"/>
    <w:uiPriority w:val="99"/>
    <w:semiHidden/>
    <w:unhideWhenUsed/>
    <w:rsid w:val="006A4AD6"/>
    <w:rPr>
      <w:color w:val="605E5C"/>
      <w:shd w:val="clear" w:color="auto" w:fill="E1DFDD"/>
    </w:rPr>
  </w:style>
  <w:style w:type="paragraph" w:styleId="Revision">
    <w:name w:val="Revision"/>
    <w:hidden/>
    <w:uiPriority w:val="99"/>
    <w:semiHidden/>
    <w:rsid w:val="00334874"/>
    <w:pPr>
      <w:widowControl/>
      <w:autoSpaceDE/>
      <w:autoSpaceDN/>
    </w:pPr>
    <w:rPr>
      <w:rFonts w:ascii="Cambria" w:eastAsia="Cambria" w:hAnsi="Cambria" w:cs="Cambria"/>
    </w:rPr>
  </w:style>
  <w:style w:type="paragraph" w:styleId="BalloonText">
    <w:name w:val="Balloon Text"/>
    <w:basedOn w:val="Normal"/>
    <w:link w:val="BalloonTextChar"/>
    <w:uiPriority w:val="99"/>
    <w:semiHidden/>
    <w:unhideWhenUsed/>
    <w:rsid w:val="009271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DD"/>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386666">
      <w:bodyDiv w:val="1"/>
      <w:marLeft w:val="0"/>
      <w:marRight w:val="0"/>
      <w:marTop w:val="0"/>
      <w:marBottom w:val="0"/>
      <w:divBdr>
        <w:top w:val="none" w:sz="0" w:space="0" w:color="auto"/>
        <w:left w:val="none" w:sz="0" w:space="0" w:color="auto"/>
        <w:bottom w:val="none" w:sz="0" w:space="0" w:color="auto"/>
        <w:right w:val="none" w:sz="0" w:space="0" w:color="auto"/>
      </w:divBdr>
    </w:div>
    <w:div w:id="150119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2024-11-17T08:35:00Z</dcterms:created>
  <dcterms:modified xsi:type="dcterms:W3CDTF">2024-12-04T14:33:00Z</dcterms:modified>
</cp:coreProperties>
</file>