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2A97D" w14:textId="37F373ED" w:rsidR="00265306" w:rsidRPr="009F0498" w:rsidRDefault="00265306" w:rsidP="00265306">
      <w:pPr>
        <w:keepNext/>
        <w:pBdr>
          <w:top w:val="double" w:sz="4" w:space="6" w:color="auto"/>
          <w:left w:val="double" w:sz="4" w:space="4" w:color="auto"/>
          <w:bottom w:val="double" w:sz="4" w:space="11" w:color="auto"/>
          <w:right w:val="double" w:sz="4" w:space="4" w:color="auto"/>
        </w:pBdr>
        <w:outlineLvl w:val="4"/>
        <w:rPr>
          <w:rFonts w:ascii="Cambria" w:hAnsi="Cambria"/>
          <w:b/>
          <w:bCs/>
          <w:szCs w:val="20"/>
          <w:lang w:eastAsia="en-US" w:bidi="ar-SA"/>
        </w:rPr>
      </w:pPr>
      <w:r w:rsidRPr="009F0498">
        <w:rPr>
          <w:rFonts w:ascii="Cambria" w:hAnsi="Cambria"/>
          <w:b/>
          <w:bCs/>
          <w:szCs w:val="20"/>
          <w:lang w:eastAsia="en-US" w:bidi="ar-SA"/>
        </w:rPr>
        <w:t>24-13</w:t>
      </w:r>
      <w:r w:rsidRPr="009F0498">
        <w:rPr>
          <w:rFonts w:ascii="Cambria" w:hAnsi="Cambria"/>
          <w:b/>
          <w:bCs/>
          <w:szCs w:val="20"/>
          <w:lang w:eastAsia="en-US" w:bidi="ar-SA"/>
        </w:rPr>
        <w:tab/>
        <w:t xml:space="preserve">                                                                                                                                                                                     GEN</w:t>
      </w:r>
    </w:p>
    <w:p w14:paraId="75A930E9" w14:textId="0C65BAF9" w:rsidR="00265306" w:rsidRPr="009F0498" w:rsidRDefault="00265306" w:rsidP="00265306">
      <w:pPr>
        <w:keepNext/>
        <w:pBdr>
          <w:top w:val="double" w:sz="4" w:space="6" w:color="auto"/>
          <w:left w:val="double" w:sz="4" w:space="4" w:color="auto"/>
          <w:bottom w:val="double" w:sz="4" w:space="11" w:color="auto"/>
          <w:right w:val="double" w:sz="4" w:space="4" w:color="auto"/>
        </w:pBdr>
        <w:jc w:val="center"/>
        <w:outlineLvl w:val="4"/>
        <w:rPr>
          <w:rFonts w:ascii="Cambria" w:hAnsi="Cambria"/>
          <w:b/>
          <w:bCs/>
          <w:szCs w:val="20"/>
          <w:lang w:eastAsia="en-US" w:bidi="ar-SA"/>
        </w:rPr>
      </w:pPr>
      <w:r w:rsidRPr="009F0498">
        <w:rPr>
          <w:rFonts w:ascii="Cambria" w:hAnsi="Cambria"/>
          <w:b/>
          <w:bCs/>
          <w:szCs w:val="20"/>
          <w:lang w:eastAsia="en-US" w:bidi="ar-SA"/>
        </w:rPr>
        <w:t xml:space="preserve">RECOMENDACIÓN DE ICCAT SOBRE </w:t>
      </w:r>
      <w:r w:rsidRPr="009F0498">
        <w:rPr>
          <w:rFonts w:ascii="Cambria" w:hAnsi="Cambria"/>
          <w:b/>
          <w:bCs/>
          <w:iCs/>
          <w:szCs w:val="20"/>
        </w:rPr>
        <w:t xml:space="preserve">LA CONTINUACIÓN DE LA MEJORA </w:t>
      </w:r>
      <w:r w:rsidRPr="009F0498">
        <w:rPr>
          <w:rFonts w:ascii="Cambria" w:hAnsi="Cambria"/>
          <w:b/>
          <w:bCs/>
          <w:iCs/>
          <w:szCs w:val="20"/>
        </w:rPr>
        <w:br/>
        <w:t>DEL DIÁLOGO ENTRE LOS GESTORES Y CIENTÍFICOS PESQUEROS</w:t>
      </w:r>
    </w:p>
    <w:p w14:paraId="76C63F1F" w14:textId="77777777" w:rsidR="00265306" w:rsidRPr="009F0498" w:rsidRDefault="00265306" w:rsidP="00265306">
      <w:pPr>
        <w:widowControl w:val="0"/>
        <w:tabs>
          <w:tab w:val="left" w:pos="426"/>
        </w:tabs>
        <w:jc w:val="center"/>
        <w:rPr>
          <w:rFonts w:ascii="Cambria" w:eastAsia="Arial" w:hAnsi="Cambria" w:cs="Arial"/>
          <w:b/>
          <w:bCs/>
          <w:iCs/>
          <w:szCs w:val="22"/>
          <w:lang w:eastAsia="en-US" w:bidi="ar-SA"/>
        </w:rPr>
      </w:pPr>
    </w:p>
    <w:p w14:paraId="27FC525A" w14:textId="77777777" w:rsidR="004551E8" w:rsidRPr="009F0498" w:rsidRDefault="004551E8" w:rsidP="004551E8">
      <w:pPr>
        <w:widowControl w:val="0"/>
        <w:autoSpaceDE w:val="0"/>
        <w:autoSpaceDN w:val="0"/>
        <w:jc w:val="both"/>
        <w:rPr>
          <w:rFonts w:ascii="Cambria" w:hAnsi="Cambria"/>
          <w:spacing w:val="-2"/>
          <w:szCs w:val="20"/>
        </w:rPr>
      </w:pPr>
    </w:p>
    <w:p w14:paraId="760645C4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i/>
          <w:szCs w:val="20"/>
        </w:rPr>
        <w:t>CONSIDERANDO</w:t>
      </w:r>
      <w:r w:rsidRPr="009F0498">
        <w:rPr>
          <w:rFonts w:ascii="Cambria" w:hAnsi="Cambria"/>
          <w:szCs w:val="20"/>
        </w:rPr>
        <w:t xml:space="preserve"> el asesoramiento científico formulado por el Comité Permanente de Investigaciones y Estadísticas (SCRS) como piedra angular para establecer un marco de ordenación adecuado para los stocks y pesquerías que recaen bajo el mandato de ICCAT;</w:t>
      </w:r>
    </w:p>
    <w:p w14:paraId="760645C5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</w:p>
    <w:p w14:paraId="760645C6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i/>
          <w:szCs w:val="20"/>
        </w:rPr>
        <w:t>RECONOCIENDO</w:t>
      </w:r>
      <w:r w:rsidRPr="009F0498">
        <w:rPr>
          <w:rFonts w:ascii="Cambria" w:hAnsi="Cambria"/>
          <w:szCs w:val="20"/>
        </w:rPr>
        <w:t xml:space="preserve"> que una comprensión profunda por parte de la Comisión del asesoramiento científico y de las recomendaciones de ordenación formuladas por el SCRS debería facilitar que la Comisión adopte medidas de conservación efectivas y pertinentes;</w:t>
      </w:r>
    </w:p>
    <w:p w14:paraId="760645C7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 w:val="12"/>
          <w:szCs w:val="12"/>
        </w:rPr>
      </w:pPr>
    </w:p>
    <w:p w14:paraId="760645C8" w14:textId="6CE60D7F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i/>
          <w:szCs w:val="20"/>
        </w:rPr>
        <w:t>OBSERVANDO</w:t>
      </w:r>
      <w:r w:rsidRPr="009F0498">
        <w:rPr>
          <w:rFonts w:ascii="Cambria" w:hAnsi="Cambria"/>
          <w:szCs w:val="20"/>
        </w:rPr>
        <w:t xml:space="preserve"> que la </w:t>
      </w:r>
      <w:r w:rsidRPr="009F0498">
        <w:rPr>
          <w:rFonts w:ascii="Cambria" w:hAnsi="Cambria"/>
          <w:i/>
          <w:szCs w:val="20"/>
        </w:rPr>
        <w:t>Resolución de ICCAT sobre la mejor ciencia</w:t>
      </w:r>
      <w:r w:rsidR="009A3536" w:rsidRPr="009F0498">
        <w:rPr>
          <w:rFonts w:ascii="Cambria" w:hAnsi="Cambria"/>
          <w:i/>
          <w:szCs w:val="20"/>
        </w:rPr>
        <w:t xml:space="preserve"> disponible</w:t>
      </w:r>
      <w:r w:rsidRPr="009F0498">
        <w:rPr>
          <w:rFonts w:ascii="Cambria" w:hAnsi="Cambria"/>
          <w:szCs w:val="20"/>
        </w:rPr>
        <w:t xml:space="preserve"> </w:t>
      </w:r>
      <w:r w:rsidR="00D907F3" w:rsidRPr="009F0498">
        <w:rPr>
          <w:rFonts w:ascii="Cambria" w:hAnsi="Cambria"/>
          <w:szCs w:val="20"/>
        </w:rPr>
        <w:t xml:space="preserve">(Res. </w:t>
      </w:r>
      <w:r w:rsidR="009A3536" w:rsidRPr="009F0498">
        <w:rPr>
          <w:rFonts w:ascii="Cambria" w:hAnsi="Cambria"/>
          <w:szCs w:val="20"/>
        </w:rPr>
        <w:t>11-17</w:t>
      </w:r>
      <w:r w:rsidR="00D907F3" w:rsidRPr="009F0498">
        <w:rPr>
          <w:rFonts w:ascii="Cambria" w:hAnsi="Cambria"/>
          <w:szCs w:val="20"/>
        </w:rPr>
        <w:t>)</w:t>
      </w:r>
      <w:r w:rsidR="009A3536" w:rsidRPr="009F0498">
        <w:rPr>
          <w:rFonts w:ascii="Cambria" w:hAnsi="Cambria"/>
          <w:szCs w:val="20"/>
        </w:rPr>
        <w:t xml:space="preserve"> </w:t>
      </w:r>
      <w:r w:rsidRPr="009F0498">
        <w:rPr>
          <w:rFonts w:ascii="Cambria" w:hAnsi="Cambria"/>
          <w:szCs w:val="20"/>
        </w:rPr>
        <w:t>recomienda mejorar la comunicación entre las CPC, la Comisión y el SCRS posibilitando un diálogo constante;</w:t>
      </w:r>
    </w:p>
    <w:p w14:paraId="760645C9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 w:val="12"/>
          <w:szCs w:val="12"/>
        </w:rPr>
      </w:pPr>
    </w:p>
    <w:p w14:paraId="760645CA" w14:textId="57168B89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i/>
          <w:szCs w:val="20"/>
        </w:rPr>
        <w:t>RECORDANDO</w:t>
      </w:r>
      <w:r w:rsidRPr="009F0498">
        <w:rPr>
          <w:rFonts w:ascii="Cambria" w:hAnsi="Cambria"/>
          <w:szCs w:val="20"/>
        </w:rPr>
        <w:t xml:space="preserve"> el trabajo del Grupo de trabajo de científicos y gestores pesqueros celebrado en junio de 2013 en apoyo de la evaluación de stock del atún rojo del </w:t>
      </w:r>
      <w:r w:rsidR="004551E8" w:rsidRPr="009F0498">
        <w:rPr>
          <w:rFonts w:ascii="Cambria" w:hAnsi="Cambria"/>
          <w:szCs w:val="20"/>
        </w:rPr>
        <w:t>oeste</w:t>
      </w:r>
      <w:r w:rsidRPr="009F0498">
        <w:rPr>
          <w:rFonts w:ascii="Cambria" w:hAnsi="Cambria"/>
          <w:szCs w:val="20"/>
        </w:rPr>
        <w:t>;</w:t>
      </w:r>
    </w:p>
    <w:p w14:paraId="760645CB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</w:p>
    <w:p w14:paraId="760645CC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i/>
          <w:szCs w:val="20"/>
        </w:rPr>
        <w:t>DESTACANDO</w:t>
      </w:r>
      <w:r w:rsidRPr="009F0498">
        <w:rPr>
          <w:rFonts w:ascii="Cambria" w:hAnsi="Cambria"/>
          <w:szCs w:val="20"/>
        </w:rPr>
        <w:t xml:space="preserve"> la necesidad de mejorar aún más el diálogo entre los científicos y gestores pesqueros en los próximos años con el fin de lograr los objetivos del Convenio de la forma más efectiva y eficiente;</w:t>
      </w:r>
    </w:p>
    <w:p w14:paraId="760645CD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</w:p>
    <w:p w14:paraId="760645CE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i/>
          <w:szCs w:val="20"/>
        </w:rPr>
        <w:t>RESALTANDO</w:t>
      </w:r>
      <w:r w:rsidRPr="009F0498">
        <w:rPr>
          <w:rFonts w:ascii="Cambria" w:hAnsi="Cambria"/>
          <w:szCs w:val="20"/>
        </w:rPr>
        <w:t xml:space="preserve"> que dicho diálogo mejorado debería, en particular, permitir a la Comisión centrarse en establecer marcos de ordenación que tengan en cuenta puntos de referencia límite y objetivo, niveles de riesgo asociados y normas de control de la captura relacionadas, de conformidad con la Recomendación 11-13;</w:t>
      </w:r>
    </w:p>
    <w:p w14:paraId="760645CF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</w:p>
    <w:p w14:paraId="760645D0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i/>
          <w:szCs w:val="20"/>
        </w:rPr>
        <w:t>RESALTANDO ADEMÁS</w:t>
      </w:r>
      <w:r w:rsidRPr="009F0498">
        <w:rPr>
          <w:rFonts w:ascii="Cambria" w:hAnsi="Cambria"/>
          <w:szCs w:val="20"/>
        </w:rPr>
        <w:t xml:space="preserve"> que dicho diálogo mejorado debería también permitir a la Comisión revisar e informar al SCRS sobre el establecimiento de prioridades de investigación, considerando de forma más especial el desarrollo del Plan estratégico de ciencia y explorar otras mejoras en los procesos de ordenación y ciencia de ICCAT;</w:t>
      </w:r>
    </w:p>
    <w:p w14:paraId="760645D1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</w:p>
    <w:p w14:paraId="760645D2" w14:textId="0BB2DC61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i/>
          <w:szCs w:val="20"/>
        </w:rPr>
        <w:t>RECORDANDO</w:t>
      </w:r>
      <w:r w:rsidRPr="009F0498">
        <w:rPr>
          <w:rFonts w:ascii="Cambria" w:hAnsi="Cambria"/>
          <w:szCs w:val="20"/>
        </w:rPr>
        <w:t xml:space="preserve"> que las disposiciones incluidas en la Recomendación 11-26 que establecen un fondo para la participación en reuniones deberían facilitar la asistencia de gestores y científicos pesqueros de Partes contratantes en desarrollo y, por tanto, contribuir a un diálogo integrador y participativo;</w:t>
      </w:r>
    </w:p>
    <w:p w14:paraId="760645D3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</w:p>
    <w:p w14:paraId="760645D4" w14:textId="77777777" w:rsidR="005736A0" w:rsidRPr="009F0498" w:rsidRDefault="005736A0" w:rsidP="00265306">
      <w:pPr>
        <w:ind w:firstLine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i/>
          <w:szCs w:val="20"/>
        </w:rPr>
        <w:t>ENFATIZANDO</w:t>
      </w:r>
      <w:r w:rsidRPr="009F0498">
        <w:rPr>
          <w:rFonts w:ascii="Cambria" w:hAnsi="Cambria"/>
          <w:szCs w:val="20"/>
        </w:rPr>
        <w:t xml:space="preserve"> que las decisiones de ordenación de la Comisión deberían basarse en la mejor ciencia disponible desarrollada independientemente por el SCRS;</w:t>
      </w:r>
    </w:p>
    <w:p w14:paraId="760645D5" w14:textId="77777777" w:rsidR="00B62359" w:rsidRPr="009F0498" w:rsidRDefault="00B62359" w:rsidP="00265306">
      <w:pPr>
        <w:ind w:firstLine="426"/>
        <w:jc w:val="both"/>
        <w:rPr>
          <w:rFonts w:ascii="Cambria" w:eastAsia="Calibri" w:hAnsi="Cambria"/>
          <w:szCs w:val="20"/>
        </w:rPr>
      </w:pPr>
    </w:p>
    <w:p w14:paraId="760645D6" w14:textId="1CC9FC4A" w:rsidR="00B62359" w:rsidRPr="009F0498" w:rsidRDefault="00D907F3" w:rsidP="00265306">
      <w:pPr>
        <w:ind w:firstLine="426"/>
        <w:jc w:val="both"/>
        <w:rPr>
          <w:rFonts w:ascii="Cambria" w:eastAsia="Calibri" w:hAnsi="Cambria"/>
          <w:szCs w:val="20"/>
          <w:lang w:val="es-CO"/>
        </w:rPr>
      </w:pPr>
      <w:r w:rsidRPr="009F0498">
        <w:rPr>
          <w:rFonts w:ascii="Cambria" w:hAnsi="Cambria"/>
          <w:i/>
          <w:szCs w:val="20"/>
          <w:lang w:val="es-CO"/>
        </w:rPr>
        <w:t>RECONOCIENDO</w:t>
      </w:r>
      <w:r w:rsidRPr="009F0498">
        <w:rPr>
          <w:rFonts w:ascii="Cambria" w:hAnsi="Cambria"/>
          <w:szCs w:val="20"/>
          <w:lang w:val="es-CO"/>
        </w:rPr>
        <w:t xml:space="preserve"> que la primera reunión del Grupo de trabajo permanente de ICCAT para mejorar el diálogo entre científicos y gestores pesqueros (</w:t>
      </w:r>
      <w:r w:rsidR="00B62359" w:rsidRPr="009F0498">
        <w:rPr>
          <w:rFonts w:ascii="Cambria" w:hAnsi="Cambria"/>
          <w:szCs w:val="20"/>
          <w:lang w:val="es-CO"/>
        </w:rPr>
        <w:t>SWGSM</w:t>
      </w:r>
      <w:r w:rsidRPr="009F0498">
        <w:rPr>
          <w:rFonts w:ascii="Cambria" w:hAnsi="Cambria"/>
          <w:szCs w:val="20"/>
          <w:lang w:val="es-CO"/>
        </w:rPr>
        <w:t>)</w:t>
      </w:r>
      <w:r w:rsidR="00B62359" w:rsidRPr="009F0498">
        <w:rPr>
          <w:rFonts w:ascii="Cambria" w:hAnsi="Cambria"/>
          <w:szCs w:val="20"/>
          <w:lang w:val="es-CO"/>
        </w:rPr>
        <w:t xml:space="preserve"> fue un paso importante para facilitar el diálogo entre los gestores y científicos pesqueros;</w:t>
      </w:r>
    </w:p>
    <w:p w14:paraId="760645D7" w14:textId="77777777" w:rsidR="00917C25" w:rsidRPr="009F0498" w:rsidRDefault="00917C25" w:rsidP="00265306">
      <w:pPr>
        <w:ind w:firstLine="426"/>
        <w:jc w:val="both"/>
        <w:rPr>
          <w:rFonts w:ascii="Cambria" w:eastAsia="Calibri" w:hAnsi="Cambria"/>
          <w:szCs w:val="20"/>
        </w:rPr>
      </w:pPr>
    </w:p>
    <w:p w14:paraId="760645D8" w14:textId="35B39B6F" w:rsidR="00B62359" w:rsidRPr="009F0498" w:rsidRDefault="00B62359" w:rsidP="00265306">
      <w:pPr>
        <w:ind w:firstLine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i/>
          <w:szCs w:val="20"/>
        </w:rPr>
        <w:t>OBSERVANDO</w:t>
      </w:r>
      <w:r w:rsidRPr="009F0498">
        <w:rPr>
          <w:rFonts w:ascii="Cambria" w:hAnsi="Cambria"/>
          <w:szCs w:val="20"/>
        </w:rPr>
        <w:t xml:space="preserve"> que el SCRS</w:t>
      </w:r>
      <w:r w:rsidR="00541EFD" w:rsidRPr="009F0498">
        <w:rPr>
          <w:rFonts w:ascii="Cambria" w:hAnsi="Cambria"/>
          <w:szCs w:val="20"/>
        </w:rPr>
        <w:t xml:space="preserve"> y la Comisión</w:t>
      </w:r>
      <w:r w:rsidRPr="009F0498">
        <w:rPr>
          <w:rFonts w:ascii="Cambria" w:hAnsi="Cambria"/>
          <w:szCs w:val="20"/>
        </w:rPr>
        <w:t xml:space="preserve"> respalda</w:t>
      </w:r>
      <w:r w:rsidR="006C1D71" w:rsidRPr="009F0498">
        <w:rPr>
          <w:rFonts w:ascii="Cambria" w:hAnsi="Cambria"/>
          <w:szCs w:val="20"/>
        </w:rPr>
        <w:t>n</w:t>
      </w:r>
      <w:r w:rsidRPr="009F0498">
        <w:rPr>
          <w:rFonts w:ascii="Cambria" w:hAnsi="Cambria"/>
          <w:szCs w:val="20"/>
        </w:rPr>
        <w:t xml:space="preserve"> firmemente la continuación de esta iniciativa; </w:t>
      </w:r>
    </w:p>
    <w:p w14:paraId="760645D9" w14:textId="77777777" w:rsidR="00FC3248" w:rsidRPr="009F0498" w:rsidRDefault="00FC3248" w:rsidP="00265306">
      <w:pPr>
        <w:ind w:firstLine="426"/>
        <w:jc w:val="both"/>
        <w:rPr>
          <w:rFonts w:ascii="Cambria" w:eastAsia="Calibri" w:hAnsi="Cambria"/>
          <w:szCs w:val="20"/>
        </w:rPr>
      </w:pPr>
    </w:p>
    <w:p w14:paraId="760645DA" w14:textId="77777777" w:rsidR="00FC3248" w:rsidRPr="009F0498" w:rsidRDefault="00FC3248" w:rsidP="00265306">
      <w:pPr>
        <w:ind w:firstLine="426"/>
        <w:jc w:val="both"/>
        <w:rPr>
          <w:rFonts w:ascii="Cambria" w:hAnsi="Cambria"/>
          <w:szCs w:val="20"/>
        </w:rPr>
      </w:pPr>
      <w:r w:rsidRPr="009F0498">
        <w:rPr>
          <w:rFonts w:ascii="Cambria" w:hAnsi="Cambria"/>
          <w:i/>
          <w:szCs w:val="20"/>
        </w:rPr>
        <w:t>OBSERVANDO ADEMÁS</w:t>
      </w:r>
      <w:r w:rsidRPr="009F0498">
        <w:rPr>
          <w:rFonts w:ascii="Cambria" w:hAnsi="Cambria"/>
          <w:szCs w:val="20"/>
        </w:rPr>
        <w:t xml:space="preserve"> que el desarrollo de las normas de control de la captura y la aplicación de la evaluación de estrategias de ordenación a las pesquerías de ICCAT depende de la</w:t>
      </w:r>
      <w:r w:rsidR="00CE7385" w:rsidRPr="009F0498">
        <w:rPr>
          <w:rFonts w:ascii="Cambria" w:hAnsi="Cambria"/>
          <w:szCs w:val="20"/>
        </w:rPr>
        <w:t xml:space="preserve"> orientación</w:t>
      </w:r>
      <w:r w:rsidRPr="009F0498">
        <w:rPr>
          <w:rFonts w:ascii="Cambria" w:hAnsi="Cambria"/>
          <w:szCs w:val="20"/>
        </w:rPr>
        <w:t xml:space="preserve"> y la aportación de información de los gestores pesqueros;</w:t>
      </w:r>
    </w:p>
    <w:p w14:paraId="344F52FA" w14:textId="77777777" w:rsidR="00B914AE" w:rsidRPr="009F0498" w:rsidRDefault="00B914AE" w:rsidP="00265306">
      <w:pPr>
        <w:ind w:firstLine="426"/>
        <w:jc w:val="both"/>
        <w:rPr>
          <w:rFonts w:ascii="Cambria" w:hAnsi="Cambria"/>
          <w:szCs w:val="20"/>
        </w:rPr>
      </w:pPr>
    </w:p>
    <w:p w14:paraId="2A384F6B" w14:textId="77777777" w:rsidR="00541EFD" w:rsidRPr="009F0498" w:rsidRDefault="00541EFD" w:rsidP="00265306">
      <w:pPr>
        <w:ind w:firstLine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eastAsia="Calibri" w:hAnsi="Cambria"/>
          <w:i/>
          <w:iCs/>
          <w:szCs w:val="20"/>
        </w:rPr>
        <w:t>RECORDANDO</w:t>
      </w:r>
      <w:r w:rsidRPr="009F0498">
        <w:rPr>
          <w:rFonts w:ascii="Cambria" w:eastAsia="Calibri" w:hAnsi="Cambria"/>
          <w:szCs w:val="20"/>
        </w:rPr>
        <w:t xml:space="preserve"> la revisión del plan estratégico para la ciencia del SCRS para 2015-2020;</w:t>
      </w:r>
    </w:p>
    <w:p w14:paraId="4D4B8F44" w14:textId="77777777" w:rsidR="00541EFD" w:rsidRPr="009F0498" w:rsidRDefault="00541EFD" w:rsidP="00265306">
      <w:pPr>
        <w:ind w:firstLine="426"/>
        <w:jc w:val="both"/>
        <w:rPr>
          <w:rFonts w:ascii="Cambria" w:eastAsia="Calibri" w:hAnsi="Cambria"/>
          <w:szCs w:val="20"/>
        </w:rPr>
      </w:pPr>
    </w:p>
    <w:p w14:paraId="66C403E9" w14:textId="34E081CF" w:rsidR="00541EFD" w:rsidRPr="009F0498" w:rsidRDefault="00541EFD" w:rsidP="007711B9">
      <w:pPr>
        <w:ind w:firstLine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eastAsia="Calibri" w:hAnsi="Cambria"/>
          <w:i/>
          <w:iCs/>
          <w:szCs w:val="20"/>
        </w:rPr>
        <w:t>RECONOCIENDO</w:t>
      </w:r>
      <w:r w:rsidRPr="009F0498">
        <w:rPr>
          <w:rFonts w:ascii="Cambria" w:eastAsia="Calibri" w:hAnsi="Cambria"/>
          <w:szCs w:val="20"/>
        </w:rPr>
        <w:t xml:space="preserve"> </w:t>
      </w:r>
      <w:r w:rsidR="00994FC1" w:rsidRPr="009F0498">
        <w:rPr>
          <w:rFonts w:ascii="Cambria" w:eastAsia="Calibri" w:hAnsi="Cambria"/>
          <w:szCs w:val="20"/>
        </w:rPr>
        <w:t xml:space="preserve">el trabajo </w:t>
      </w:r>
      <w:r w:rsidRPr="009F0498">
        <w:rPr>
          <w:rFonts w:ascii="Cambria" w:eastAsia="Calibri" w:hAnsi="Cambria"/>
          <w:szCs w:val="20"/>
        </w:rPr>
        <w:t xml:space="preserve">del </w:t>
      </w:r>
      <w:r w:rsidR="007711B9" w:rsidRPr="009F0498">
        <w:rPr>
          <w:rFonts w:ascii="Cambria" w:eastAsia="Calibri" w:hAnsi="Cambria"/>
          <w:szCs w:val="20"/>
        </w:rPr>
        <w:t xml:space="preserve">Taller </w:t>
      </w:r>
      <w:r w:rsidRPr="009F0498">
        <w:rPr>
          <w:rFonts w:ascii="Cambria" w:eastAsia="Calibri" w:hAnsi="Cambria"/>
          <w:szCs w:val="20"/>
        </w:rPr>
        <w:t xml:space="preserve">del SCRS </w:t>
      </w:r>
      <w:r w:rsidR="00FF1557" w:rsidRPr="009F0498">
        <w:rPr>
          <w:rFonts w:ascii="Cambria" w:eastAsia="Calibri" w:hAnsi="Cambria"/>
          <w:szCs w:val="20"/>
        </w:rPr>
        <w:t xml:space="preserve">de </w:t>
      </w:r>
      <w:r w:rsidRPr="009F0498">
        <w:rPr>
          <w:rFonts w:ascii="Cambria" w:eastAsia="Calibri" w:hAnsi="Cambria"/>
          <w:szCs w:val="20"/>
        </w:rPr>
        <w:t>marzo de 2024 para la preparación del plan estratégico para la ciencia del SCRS para 2026-2031;</w:t>
      </w:r>
    </w:p>
    <w:p w14:paraId="04F0F01E" w14:textId="77777777" w:rsidR="00541EFD" w:rsidRPr="009F0498" w:rsidRDefault="00541EFD" w:rsidP="00265306">
      <w:pPr>
        <w:ind w:firstLine="426"/>
        <w:jc w:val="both"/>
        <w:rPr>
          <w:rFonts w:ascii="Cambria" w:hAnsi="Cambria"/>
          <w:i/>
          <w:iCs/>
          <w:szCs w:val="20"/>
        </w:rPr>
      </w:pPr>
    </w:p>
    <w:p w14:paraId="45384A64" w14:textId="3C723891" w:rsidR="00B914AE" w:rsidRPr="009F0498" w:rsidRDefault="00B914AE" w:rsidP="00265306">
      <w:pPr>
        <w:ind w:firstLine="426"/>
        <w:jc w:val="both"/>
        <w:rPr>
          <w:rFonts w:ascii="Cambria" w:hAnsi="Cambria"/>
          <w:szCs w:val="20"/>
        </w:rPr>
      </w:pPr>
      <w:r w:rsidRPr="009F0498">
        <w:rPr>
          <w:rFonts w:ascii="Cambria" w:hAnsi="Cambria"/>
          <w:i/>
          <w:iCs/>
          <w:szCs w:val="20"/>
        </w:rPr>
        <w:t xml:space="preserve">RECORDANDO </w:t>
      </w:r>
      <w:r w:rsidRPr="009F0498">
        <w:rPr>
          <w:rFonts w:ascii="Cambria" w:hAnsi="Cambria"/>
          <w:szCs w:val="20"/>
        </w:rPr>
        <w:t xml:space="preserve">la </w:t>
      </w:r>
      <w:r w:rsidRPr="009F0498">
        <w:rPr>
          <w:rFonts w:ascii="Cambria" w:hAnsi="Cambria"/>
          <w:i/>
          <w:iCs/>
          <w:szCs w:val="20"/>
        </w:rPr>
        <w:t>Resolución de ICCAT sobre el cambio climático</w:t>
      </w:r>
      <w:r w:rsidRPr="009F0498">
        <w:rPr>
          <w:rFonts w:ascii="Cambria" w:hAnsi="Cambria"/>
          <w:szCs w:val="20"/>
        </w:rPr>
        <w:t xml:space="preserve"> (Res. 22-13), la </w:t>
      </w:r>
      <w:r w:rsidRPr="009F0498">
        <w:rPr>
          <w:rFonts w:ascii="Cambria" w:hAnsi="Cambria"/>
          <w:i/>
          <w:iCs/>
          <w:szCs w:val="20"/>
        </w:rPr>
        <w:t>Resolución de ICCAT sobre los próximos pasos del Grupo conjunto de expertos en cambio climático en 2024</w:t>
      </w:r>
      <w:r w:rsidRPr="009F0498">
        <w:rPr>
          <w:rFonts w:ascii="Cambria" w:hAnsi="Cambria"/>
          <w:szCs w:val="20"/>
        </w:rPr>
        <w:t xml:space="preserve"> (Res. 23-19) y las conversaciones en las reuniones del Grupo conjunto de expertos en 2023 y 2024 que hicieron hincapié en </w:t>
      </w:r>
      <w:r w:rsidRPr="009F0498">
        <w:rPr>
          <w:rFonts w:ascii="Cambria" w:hAnsi="Cambria"/>
          <w:szCs w:val="20"/>
        </w:rPr>
        <w:lastRenderedPageBreak/>
        <w:t>la necesidad de una estrecha comunicación y coordinación entre la Comisión y el SCRS en asuntos relacionados con el cambio climático;</w:t>
      </w:r>
    </w:p>
    <w:p w14:paraId="7FDCBA54" w14:textId="77777777" w:rsidR="007711B9" w:rsidRPr="009F0498" w:rsidRDefault="007711B9" w:rsidP="00265306">
      <w:pPr>
        <w:ind w:firstLine="426"/>
        <w:jc w:val="both"/>
        <w:rPr>
          <w:rFonts w:ascii="Cambria" w:hAnsi="Cambria"/>
          <w:szCs w:val="20"/>
        </w:rPr>
      </w:pPr>
    </w:p>
    <w:p w14:paraId="186DF9BD" w14:textId="32E49BEB" w:rsidR="00541EFD" w:rsidRPr="009F0498" w:rsidRDefault="00541EFD" w:rsidP="00265306">
      <w:pPr>
        <w:ind w:firstLine="426"/>
        <w:jc w:val="both"/>
        <w:rPr>
          <w:rFonts w:ascii="Cambria" w:hAnsi="Cambria"/>
          <w:szCs w:val="20"/>
        </w:rPr>
      </w:pPr>
      <w:r w:rsidRPr="009F0498">
        <w:rPr>
          <w:rFonts w:ascii="Cambria" w:hAnsi="Cambria"/>
          <w:i/>
          <w:iCs/>
          <w:szCs w:val="20"/>
        </w:rPr>
        <w:t>RECORDANDO ADEMÁS</w:t>
      </w:r>
      <w:r w:rsidRPr="009F0498">
        <w:rPr>
          <w:rFonts w:ascii="Cambria" w:hAnsi="Cambria"/>
          <w:szCs w:val="20"/>
        </w:rPr>
        <w:t xml:space="preserve"> la </w:t>
      </w:r>
      <w:r w:rsidRPr="009F0498">
        <w:rPr>
          <w:rFonts w:ascii="Cambria" w:hAnsi="Cambria"/>
          <w:i/>
          <w:iCs/>
          <w:szCs w:val="20"/>
        </w:rPr>
        <w:t>Resolución de ICCAT sobre la implementación de los instrumentos de conservación de la biodiversidad</w:t>
      </w:r>
      <w:r w:rsidRPr="009F0498">
        <w:rPr>
          <w:rFonts w:ascii="Cambria" w:hAnsi="Cambria"/>
          <w:szCs w:val="20"/>
        </w:rPr>
        <w:t xml:space="preserve"> (Res. 23-23);</w:t>
      </w:r>
    </w:p>
    <w:p w14:paraId="760645DB" w14:textId="77777777" w:rsidR="005736A0" w:rsidRPr="009F0498" w:rsidRDefault="005736A0" w:rsidP="005736A0">
      <w:pPr>
        <w:jc w:val="center"/>
        <w:rPr>
          <w:rFonts w:ascii="Cambria" w:eastAsia="Calibri" w:hAnsi="Cambria"/>
          <w:szCs w:val="20"/>
        </w:rPr>
      </w:pPr>
    </w:p>
    <w:p w14:paraId="760645DC" w14:textId="037F2B6E" w:rsidR="005736A0" w:rsidRPr="009F0498" w:rsidRDefault="005736A0" w:rsidP="005736A0">
      <w:pPr>
        <w:jc w:val="center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>LA COMISIÓN INTERNACIONAL PARA LA CONSERVACIÓN</w:t>
      </w:r>
    </w:p>
    <w:p w14:paraId="760645DD" w14:textId="77777777" w:rsidR="005736A0" w:rsidRPr="009F0498" w:rsidRDefault="005736A0" w:rsidP="005736A0">
      <w:pPr>
        <w:jc w:val="center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>DEL ATÚN ATLÁNTICO (ICCAT) RECOMIENDA LO SIGUIENTE:</w:t>
      </w:r>
    </w:p>
    <w:p w14:paraId="760645DE" w14:textId="77777777" w:rsidR="005736A0" w:rsidRPr="009F0498" w:rsidRDefault="005736A0" w:rsidP="005736A0">
      <w:pPr>
        <w:jc w:val="center"/>
        <w:rPr>
          <w:rFonts w:ascii="Cambria" w:eastAsia="Calibri" w:hAnsi="Cambria"/>
          <w:smallCaps/>
          <w:szCs w:val="20"/>
        </w:rPr>
      </w:pPr>
    </w:p>
    <w:p w14:paraId="760645DF" w14:textId="0E50428E" w:rsidR="005736A0" w:rsidRPr="009F0498" w:rsidRDefault="005736A0" w:rsidP="00265306">
      <w:pPr>
        <w:numPr>
          <w:ilvl w:val="0"/>
          <w:numId w:val="1"/>
        </w:numPr>
        <w:ind w:left="426" w:hanging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 xml:space="preserve">En el marco de las siguientes normas y objetivos se establece un Grupo de trabajo permanente </w:t>
      </w:r>
      <w:r w:rsidR="007711B9" w:rsidRPr="009F0498">
        <w:rPr>
          <w:rFonts w:ascii="Cambria" w:hAnsi="Cambria"/>
          <w:szCs w:val="20"/>
        </w:rPr>
        <w:t>sobre el</w:t>
      </w:r>
      <w:r w:rsidRPr="009F0498">
        <w:rPr>
          <w:rFonts w:ascii="Cambria" w:hAnsi="Cambria"/>
          <w:szCs w:val="20"/>
        </w:rPr>
        <w:t xml:space="preserve"> diálogo entre gestores y</w:t>
      </w:r>
      <w:r w:rsidR="007711B9" w:rsidRPr="009F0498">
        <w:rPr>
          <w:rFonts w:ascii="Cambria" w:hAnsi="Cambria"/>
          <w:szCs w:val="20"/>
        </w:rPr>
        <w:t xml:space="preserve"> </w:t>
      </w:r>
      <w:r w:rsidRPr="009F0498">
        <w:rPr>
          <w:rFonts w:ascii="Cambria" w:hAnsi="Cambria"/>
          <w:szCs w:val="20"/>
        </w:rPr>
        <w:t>científicos pesqueros (SWGSM).</w:t>
      </w:r>
    </w:p>
    <w:p w14:paraId="760645E0" w14:textId="77777777" w:rsidR="005736A0" w:rsidRPr="009F0498" w:rsidRDefault="005736A0" w:rsidP="005736A0">
      <w:pPr>
        <w:ind w:left="360"/>
        <w:jc w:val="both"/>
        <w:rPr>
          <w:rFonts w:ascii="Cambria" w:eastAsia="Calibri" w:hAnsi="Cambria"/>
          <w:szCs w:val="20"/>
        </w:rPr>
      </w:pPr>
    </w:p>
    <w:p w14:paraId="2840F9D4" w14:textId="44399549" w:rsidR="00AE6E5A" w:rsidRPr="009F0498" w:rsidRDefault="005736A0" w:rsidP="00A651DB">
      <w:pPr>
        <w:numPr>
          <w:ilvl w:val="0"/>
          <w:numId w:val="1"/>
        </w:numPr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 xml:space="preserve">El objetivo del SWGSM es mejorar la comunicación y favorecer el entendimiento mutuo entre los gestores y </w:t>
      </w:r>
      <w:r w:rsidR="007711B9" w:rsidRPr="009F0498">
        <w:rPr>
          <w:rFonts w:ascii="Cambria" w:hAnsi="Cambria"/>
          <w:szCs w:val="20"/>
        </w:rPr>
        <w:t xml:space="preserve">los </w:t>
      </w:r>
      <w:r w:rsidRPr="009F0498">
        <w:rPr>
          <w:rFonts w:ascii="Cambria" w:hAnsi="Cambria"/>
          <w:szCs w:val="20"/>
        </w:rPr>
        <w:t xml:space="preserve">científicos pesqueros, estableciendo un foro para intercambiar opiniones y respaldar el desarrollo y la implementación eficaces de </w:t>
      </w:r>
      <w:r w:rsidR="00B914AE" w:rsidRPr="009F0498">
        <w:rPr>
          <w:rFonts w:ascii="Cambria" w:hAnsi="Cambria"/>
          <w:szCs w:val="20"/>
        </w:rPr>
        <w:t>las medidas de ordenación y el trabajo científico relacionado con cuestiones transversales que incluyen, entre otras cosas</w:t>
      </w:r>
      <w:r w:rsidR="00AE6E5A" w:rsidRPr="009F0498">
        <w:rPr>
          <w:rFonts w:ascii="Cambria" w:hAnsi="Cambria"/>
          <w:szCs w:val="20"/>
        </w:rPr>
        <w:t>:</w:t>
      </w:r>
    </w:p>
    <w:p w14:paraId="5FBCFA27" w14:textId="77777777" w:rsidR="00AE6E5A" w:rsidRPr="009F0498" w:rsidRDefault="00AE6E5A" w:rsidP="00AE6E5A">
      <w:pPr>
        <w:pStyle w:val="ListParagraph"/>
        <w:rPr>
          <w:rFonts w:ascii="Cambria" w:hAnsi="Cambria"/>
          <w:szCs w:val="20"/>
        </w:rPr>
      </w:pPr>
    </w:p>
    <w:p w14:paraId="422DCFC1" w14:textId="5FF1F76F" w:rsidR="00AE6E5A" w:rsidRPr="009F0498" w:rsidRDefault="007711B9" w:rsidP="00AE6E5A">
      <w:pPr>
        <w:pStyle w:val="ListParagraph"/>
        <w:numPr>
          <w:ilvl w:val="0"/>
          <w:numId w:val="7"/>
        </w:numPr>
        <w:jc w:val="both"/>
        <w:rPr>
          <w:rFonts w:ascii="Cambria" w:eastAsia="Calibri" w:hAnsi="Cambria"/>
          <w:szCs w:val="20"/>
        </w:rPr>
      </w:pPr>
      <w:r w:rsidRPr="009F0498">
        <w:rPr>
          <w:rFonts w:ascii="Cambria" w:eastAsia="Calibri" w:hAnsi="Cambria"/>
          <w:szCs w:val="20"/>
        </w:rPr>
        <w:t xml:space="preserve">El establecimiento de prioridades para </w:t>
      </w:r>
      <w:r w:rsidR="00AE6E5A" w:rsidRPr="009F0498">
        <w:rPr>
          <w:rFonts w:ascii="Cambria" w:eastAsia="Calibri" w:hAnsi="Cambria"/>
          <w:szCs w:val="20"/>
        </w:rPr>
        <w:t>el trabajo del SCRS, lo que incluye el uso eficiente de los recursos, el desarrollo del programa de trabajo anual del SCRS y el plan estratégico para la ciencia del SCRS,</w:t>
      </w:r>
    </w:p>
    <w:p w14:paraId="485D48DD" w14:textId="77777777" w:rsidR="00AE6E5A" w:rsidRPr="009F0498" w:rsidRDefault="00B914AE" w:rsidP="00AE6E5A">
      <w:pPr>
        <w:pStyle w:val="ListParagraph"/>
        <w:numPr>
          <w:ilvl w:val="0"/>
          <w:numId w:val="7"/>
        </w:numPr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 xml:space="preserve">el desarrollo de estrategias de ordenación, </w:t>
      </w:r>
    </w:p>
    <w:p w14:paraId="44304A62" w14:textId="77777777" w:rsidR="00AE6E5A" w:rsidRPr="009F0498" w:rsidRDefault="00B914AE" w:rsidP="00AE6E5A">
      <w:pPr>
        <w:pStyle w:val="ListParagraph"/>
        <w:numPr>
          <w:ilvl w:val="0"/>
          <w:numId w:val="7"/>
        </w:numPr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 xml:space="preserve">la implementación del enfoque ecosistémico en la ordenación pesquera, </w:t>
      </w:r>
    </w:p>
    <w:p w14:paraId="6F5732DC" w14:textId="5A6AF70F" w:rsidR="00AE6E5A" w:rsidRPr="009F0498" w:rsidRDefault="00B914AE" w:rsidP="00AE6E5A">
      <w:pPr>
        <w:pStyle w:val="ListParagraph"/>
        <w:numPr>
          <w:ilvl w:val="0"/>
          <w:numId w:val="7"/>
        </w:numPr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 xml:space="preserve">la inclusión de cuestiones relacionadas con el cambio climático en </w:t>
      </w:r>
      <w:r w:rsidR="007711B9" w:rsidRPr="009F0498">
        <w:rPr>
          <w:rFonts w:ascii="Cambria" w:hAnsi="Cambria"/>
          <w:szCs w:val="20"/>
        </w:rPr>
        <w:t>los</w:t>
      </w:r>
      <w:r w:rsidRPr="009F0498">
        <w:rPr>
          <w:rFonts w:ascii="Cambria" w:hAnsi="Cambria"/>
          <w:szCs w:val="20"/>
        </w:rPr>
        <w:t xml:space="preserve"> trabajo</w:t>
      </w:r>
      <w:r w:rsidR="007711B9" w:rsidRPr="009F0498">
        <w:rPr>
          <w:rFonts w:ascii="Cambria" w:hAnsi="Cambria"/>
          <w:szCs w:val="20"/>
        </w:rPr>
        <w:t>s</w:t>
      </w:r>
      <w:r w:rsidRPr="009F0498">
        <w:rPr>
          <w:rFonts w:ascii="Cambria" w:hAnsi="Cambria"/>
          <w:szCs w:val="20"/>
        </w:rPr>
        <w:t xml:space="preserve"> </w:t>
      </w:r>
      <w:r w:rsidR="00A651DB" w:rsidRPr="009F0498">
        <w:rPr>
          <w:rFonts w:ascii="Cambria" w:hAnsi="Cambria"/>
          <w:szCs w:val="20"/>
        </w:rPr>
        <w:t xml:space="preserve">de ICCAT </w:t>
      </w:r>
      <w:r w:rsidRPr="009F0498">
        <w:rPr>
          <w:rFonts w:ascii="Cambria" w:hAnsi="Cambria"/>
          <w:szCs w:val="20"/>
        </w:rPr>
        <w:t xml:space="preserve">y </w:t>
      </w:r>
    </w:p>
    <w:p w14:paraId="44585280" w14:textId="0BA2605B" w:rsidR="00B914AE" w:rsidRPr="009F0498" w:rsidRDefault="00B914AE" w:rsidP="00AE6E5A">
      <w:pPr>
        <w:pStyle w:val="ListParagraph"/>
        <w:numPr>
          <w:ilvl w:val="0"/>
          <w:numId w:val="7"/>
        </w:numPr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>la consideración de desarrollos más amplios relacionados con la conservación de la biodiversidad.</w:t>
      </w:r>
    </w:p>
    <w:p w14:paraId="63C80BA0" w14:textId="77777777" w:rsidR="00AE6E5A" w:rsidRPr="009F0498" w:rsidRDefault="00AE6E5A" w:rsidP="00AE6E5A">
      <w:pPr>
        <w:ind w:left="360"/>
        <w:rPr>
          <w:rFonts w:ascii="Cambria" w:eastAsia="Calibri" w:hAnsi="Cambria"/>
          <w:szCs w:val="20"/>
        </w:rPr>
      </w:pPr>
    </w:p>
    <w:p w14:paraId="53B42035" w14:textId="797B7BC5" w:rsidR="00AE6E5A" w:rsidRPr="009F0498" w:rsidRDefault="00AE6E5A" w:rsidP="00265306">
      <w:pPr>
        <w:ind w:left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eastAsia="Calibri" w:hAnsi="Cambria"/>
          <w:szCs w:val="20"/>
        </w:rPr>
        <w:t xml:space="preserve">En caso </w:t>
      </w:r>
      <w:r w:rsidRPr="009F0498">
        <w:rPr>
          <w:rFonts w:ascii="Cambria" w:hAnsi="Cambria"/>
          <w:szCs w:val="20"/>
        </w:rPr>
        <w:t>necesario</w:t>
      </w:r>
      <w:r w:rsidRPr="009F0498">
        <w:rPr>
          <w:rFonts w:ascii="Cambria" w:eastAsia="Calibri" w:hAnsi="Cambria"/>
          <w:szCs w:val="20"/>
        </w:rPr>
        <w:t xml:space="preserve">, el SWGSM formulará recomendaciones a la Comisión </w:t>
      </w:r>
      <w:r w:rsidR="00FE351B" w:rsidRPr="009F0498">
        <w:rPr>
          <w:rFonts w:ascii="Cambria" w:eastAsia="Calibri" w:hAnsi="Cambria"/>
          <w:szCs w:val="20"/>
        </w:rPr>
        <w:t xml:space="preserve">y proporcionará información </w:t>
      </w:r>
      <w:r w:rsidRPr="009F0498">
        <w:rPr>
          <w:rFonts w:ascii="Cambria" w:eastAsia="Calibri" w:hAnsi="Cambria"/>
          <w:szCs w:val="20"/>
        </w:rPr>
        <w:t>al SCRS.</w:t>
      </w:r>
    </w:p>
    <w:p w14:paraId="11663458" w14:textId="77777777" w:rsidR="00AE6E5A" w:rsidRPr="009F0498" w:rsidRDefault="00AE6E5A" w:rsidP="00AE6E5A">
      <w:pPr>
        <w:ind w:left="360"/>
        <w:rPr>
          <w:rFonts w:ascii="Cambria" w:eastAsia="Calibri" w:hAnsi="Cambria"/>
          <w:szCs w:val="20"/>
        </w:rPr>
      </w:pPr>
    </w:p>
    <w:p w14:paraId="423A3365" w14:textId="393F9F63" w:rsidR="00F65499" w:rsidRPr="009F0498" w:rsidRDefault="00F65499" w:rsidP="00265306">
      <w:pPr>
        <w:numPr>
          <w:ilvl w:val="0"/>
          <w:numId w:val="1"/>
        </w:numPr>
        <w:ind w:left="426" w:hanging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eastAsia="Calibri" w:hAnsi="Cambria"/>
          <w:szCs w:val="20"/>
        </w:rPr>
        <w:t xml:space="preserve">El SWGSM </w:t>
      </w:r>
      <w:r w:rsidRPr="009F0498">
        <w:rPr>
          <w:rFonts w:ascii="Cambria" w:hAnsi="Cambria"/>
          <w:szCs w:val="20"/>
        </w:rPr>
        <w:t>realizará</w:t>
      </w:r>
      <w:r w:rsidRPr="009F0498">
        <w:rPr>
          <w:rFonts w:ascii="Cambria" w:eastAsia="Calibri" w:hAnsi="Cambria"/>
          <w:szCs w:val="20"/>
        </w:rPr>
        <w:t xml:space="preserve"> este trabajo mediante, entre otras cosas:</w:t>
      </w:r>
    </w:p>
    <w:p w14:paraId="760645E8" w14:textId="77777777" w:rsidR="0066028C" w:rsidRPr="009F0498" w:rsidRDefault="0066028C" w:rsidP="00A651DB">
      <w:pPr>
        <w:jc w:val="both"/>
        <w:rPr>
          <w:rFonts w:ascii="Cambria" w:eastAsia="Calibri" w:hAnsi="Cambria"/>
          <w:szCs w:val="20"/>
        </w:rPr>
      </w:pPr>
    </w:p>
    <w:p w14:paraId="760645E9" w14:textId="034EB8F5" w:rsidR="008372D5" w:rsidRPr="009F0498" w:rsidRDefault="00F65499" w:rsidP="006618C7">
      <w:pPr>
        <w:numPr>
          <w:ilvl w:val="1"/>
          <w:numId w:val="1"/>
        </w:numPr>
        <w:ind w:left="709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 xml:space="preserve">la </w:t>
      </w:r>
      <w:r w:rsidR="00A45AD4" w:rsidRPr="009F0498">
        <w:rPr>
          <w:rFonts w:ascii="Cambria" w:hAnsi="Cambria"/>
          <w:szCs w:val="20"/>
        </w:rPr>
        <w:t xml:space="preserve">mejora </w:t>
      </w:r>
      <w:r w:rsidRPr="009F0498">
        <w:rPr>
          <w:rFonts w:ascii="Cambria" w:hAnsi="Cambria"/>
          <w:szCs w:val="20"/>
        </w:rPr>
        <w:t>d</w:t>
      </w:r>
      <w:r w:rsidR="00A45AD4" w:rsidRPr="009F0498">
        <w:rPr>
          <w:rFonts w:ascii="Cambria" w:hAnsi="Cambria"/>
          <w:szCs w:val="20"/>
        </w:rPr>
        <w:t xml:space="preserve">el entendimiento mutuo de los gestores y los científicos </w:t>
      </w:r>
      <w:r w:rsidR="00CE7385" w:rsidRPr="009F0498">
        <w:rPr>
          <w:rFonts w:ascii="Cambria" w:hAnsi="Cambria"/>
          <w:szCs w:val="20"/>
        </w:rPr>
        <w:t>respecto a</w:t>
      </w:r>
      <w:r w:rsidR="00A45AD4" w:rsidRPr="009F0498">
        <w:rPr>
          <w:rFonts w:ascii="Cambria" w:hAnsi="Cambria"/>
          <w:szCs w:val="20"/>
        </w:rPr>
        <w:t xml:space="preserve"> los conceptos relacionados con estrategias de ordenación, lo que incluye:</w:t>
      </w:r>
    </w:p>
    <w:p w14:paraId="760645EB" w14:textId="77777777" w:rsidR="008372D5" w:rsidRPr="009F0498" w:rsidRDefault="00623416" w:rsidP="006618C7">
      <w:pPr>
        <w:numPr>
          <w:ilvl w:val="2"/>
          <w:numId w:val="1"/>
        </w:numPr>
        <w:ind w:left="1134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>la adopción de puntos de referencia límite y objetivo (LRP y TRP),</w:t>
      </w:r>
    </w:p>
    <w:p w14:paraId="760645EC" w14:textId="77777777" w:rsidR="008372D5" w:rsidRPr="009F0498" w:rsidRDefault="00623416" w:rsidP="006618C7">
      <w:pPr>
        <w:numPr>
          <w:ilvl w:val="2"/>
          <w:numId w:val="1"/>
        </w:numPr>
        <w:ind w:left="1134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>el desarrollo de normas de control de la captura (HCR),</w:t>
      </w:r>
    </w:p>
    <w:p w14:paraId="760645ED" w14:textId="333C6407" w:rsidR="00623416" w:rsidRPr="009F0498" w:rsidRDefault="00623416" w:rsidP="006618C7">
      <w:pPr>
        <w:numPr>
          <w:ilvl w:val="2"/>
          <w:numId w:val="1"/>
        </w:numPr>
        <w:ind w:left="1134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>la aplicación de evaluaciones de estrategias de ordenación (MSE)</w:t>
      </w:r>
      <w:r w:rsidR="001B7BA9" w:rsidRPr="009F0498">
        <w:rPr>
          <w:rFonts w:ascii="Cambria" w:hAnsi="Cambria"/>
          <w:szCs w:val="20"/>
        </w:rPr>
        <w:t>;</w:t>
      </w:r>
    </w:p>
    <w:p w14:paraId="10036A7D" w14:textId="77777777" w:rsidR="007956F3" w:rsidRPr="009F0498" w:rsidRDefault="007956F3" w:rsidP="007956F3">
      <w:pPr>
        <w:ind w:left="1134"/>
        <w:jc w:val="both"/>
        <w:rPr>
          <w:rFonts w:ascii="Cambria" w:eastAsia="Calibri" w:hAnsi="Cambria"/>
          <w:szCs w:val="20"/>
        </w:rPr>
      </w:pPr>
    </w:p>
    <w:p w14:paraId="43D37796" w14:textId="679F6068" w:rsidR="007956F3" w:rsidRPr="009F0498" w:rsidRDefault="007956F3" w:rsidP="007956F3">
      <w:pPr>
        <w:numPr>
          <w:ilvl w:val="1"/>
          <w:numId w:val="1"/>
        </w:numPr>
        <w:ind w:left="709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>el fomento de un uso eficaz de los recursos científic</w:t>
      </w:r>
      <w:r w:rsidR="001B5259" w:rsidRPr="009F0498">
        <w:rPr>
          <w:rFonts w:ascii="Cambria" w:hAnsi="Cambria"/>
          <w:szCs w:val="20"/>
        </w:rPr>
        <w:t>os</w:t>
      </w:r>
      <w:r w:rsidR="001B7BA9" w:rsidRPr="009F0498">
        <w:rPr>
          <w:rFonts w:ascii="Cambria" w:hAnsi="Cambria"/>
          <w:szCs w:val="20"/>
        </w:rPr>
        <w:t>;</w:t>
      </w:r>
    </w:p>
    <w:p w14:paraId="1C2092CD" w14:textId="77777777" w:rsidR="007956F3" w:rsidRPr="009F0498" w:rsidRDefault="007956F3" w:rsidP="007956F3">
      <w:pPr>
        <w:ind w:left="709"/>
        <w:jc w:val="both"/>
        <w:rPr>
          <w:rFonts w:ascii="Cambria" w:eastAsia="Calibri" w:hAnsi="Cambria"/>
          <w:szCs w:val="20"/>
        </w:rPr>
      </w:pPr>
    </w:p>
    <w:p w14:paraId="1D167646" w14:textId="2B0A8DE3" w:rsidR="007956F3" w:rsidRPr="009F0498" w:rsidRDefault="007956F3" w:rsidP="007956F3">
      <w:pPr>
        <w:numPr>
          <w:ilvl w:val="1"/>
          <w:numId w:val="1"/>
        </w:numPr>
        <w:ind w:left="709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eastAsia="Calibri" w:hAnsi="Cambria"/>
          <w:szCs w:val="20"/>
        </w:rPr>
        <w:t>la identificación de las prioridades de investigación del SCRS, teniendo en cuenta las necesidades de la Comisión, en particular en relación con los programas de trabajo anuales del SCRS y el plan estratégico para la ciencia del SCRS;</w:t>
      </w:r>
    </w:p>
    <w:p w14:paraId="47D18953" w14:textId="77777777" w:rsidR="007956F3" w:rsidRPr="009F0498" w:rsidRDefault="007956F3" w:rsidP="006618C7">
      <w:pPr>
        <w:ind w:left="709"/>
        <w:jc w:val="both"/>
        <w:rPr>
          <w:rFonts w:ascii="Cambria" w:eastAsia="Calibri" w:hAnsi="Cambria"/>
          <w:szCs w:val="20"/>
        </w:rPr>
      </w:pPr>
    </w:p>
    <w:p w14:paraId="760645F1" w14:textId="55B598BF" w:rsidR="00116553" w:rsidRPr="009F0498" w:rsidRDefault="00F1344E" w:rsidP="006618C7">
      <w:pPr>
        <w:numPr>
          <w:ilvl w:val="1"/>
          <w:numId w:val="1"/>
        </w:numPr>
        <w:ind w:left="709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>la identificación de oportunidades/enfoques que mejorarían los datos disponibles</w:t>
      </w:r>
      <w:r w:rsidR="00F65499" w:rsidRPr="009F0498">
        <w:rPr>
          <w:rFonts w:ascii="Cambria" w:hAnsi="Cambria"/>
          <w:szCs w:val="20"/>
        </w:rPr>
        <w:t xml:space="preserve"> relevantes para el trabajo de ICCAT</w:t>
      </w:r>
      <w:r w:rsidR="001B7BA9" w:rsidRPr="009F0498">
        <w:rPr>
          <w:rFonts w:ascii="Cambria" w:hAnsi="Cambria"/>
          <w:szCs w:val="20"/>
        </w:rPr>
        <w:t>;</w:t>
      </w:r>
    </w:p>
    <w:p w14:paraId="760645F2" w14:textId="77777777" w:rsidR="0066028C" w:rsidRPr="009F0498" w:rsidRDefault="0066028C" w:rsidP="006618C7">
      <w:pPr>
        <w:ind w:left="709"/>
        <w:jc w:val="both"/>
        <w:rPr>
          <w:rFonts w:ascii="Cambria" w:eastAsia="Calibri" w:hAnsi="Cambria"/>
          <w:szCs w:val="20"/>
        </w:rPr>
      </w:pPr>
    </w:p>
    <w:p w14:paraId="760645F3" w14:textId="6FCE65E8" w:rsidR="00116553" w:rsidRPr="009F0498" w:rsidRDefault="00F1344E" w:rsidP="006618C7">
      <w:pPr>
        <w:numPr>
          <w:ilvl w:val="1"/>
          <w:numId w:val="1"/>
        </w:numPr>
        <w:ind w:left="709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>la identificación de posibles temas de investigación económicos y sociales</w:t>
      </w:r>
      <w:r w:rsidR="001B7BA9" w:rsidRPr="009F0498">
        <w:rPr>
          <w:rFonts w:ascii="Cambria" w:hAnsi="Cambria"/>
          <w:szCs w:val="20"/>
        </w:rPr>
        <w:t xml:space="preserve"> y</w:t>
      </w:r>
    </w:p>
    <w:p w14:paraId="760645F4" w14:textId="77777777" w:rsidR="0066028C" w:rsidRPr="009F0498" w:rsidRDefault="0066028C" w:rsidP="006618C7">
      <w:pPr>
        <w:ind w:left="709"/>
        <w:jc w:val="both"/>
        <w:rPr>
          <w:rFonts w:ascii="Cambria" w:eastAsia="Calibri" w:hAnsi="Cambria"/>
          <w:szCs w:val="20"/>
        </w:rPr>
      </w:pPr>
    </w:p>
    <w:p w14:paraId="031C4291" w14:textId="5166BFDA" w:rsidR="00F65499" w:rsidRPr="009F0498" w:rsidRDefault="00F65499" w:rsidP="006618C7">
      <w:pPr>
        <w:numPr>
          <w:ilvl w:val="1"/>
          <w:numId w:val="1"/>
        </w:numPr>
        <w:ind w:left="709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eastAsia="Calibri" w:hAnsi="Cambria"/>
          <w:szCs w:val="20"/>
        </w:rPr>
        <w:t>la revisión del Plan de acción de ICCAT sobre el cambio climático y el seguimiento de su implementación.</w:t>
      </w:r>
    </w:p>
    <w:p w14:paraId="760645F6" w14:textId="77777777" w:rsidR="005736A0" w:rsidRPr="009F0498" w:rsidRDefault="005736A0" w:rsidP="005736A0">
      <w:pPr>
        <w:ind w:left="360"/>
        <w:jc w:val="both"/>
        <w:rPr>
          <w:rFonts w:ascii="Cambria" w:eastAsia="Calibri" w:hAnsi="Cambria"/>
          <w:szCs w:val="20"/>
        </w:rPr>
      </w:pPr>
    </w:p>
    <w:p w14:paraId="760645F7" w14:textId="255B2A50" w:rsidR="005736A0" w:rsidRPr="009F0498" w:rsidRDefault="00F65499" w:rsidP="00265306">
      <w:pPr>
        <w:numPr>
          <w:ilvl w:val="0"/>
          <w:numId w:val="1"/>
        </w:numPr>
        <w:ind w:left="426" w:hanging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>El SWGSM elegirá a sus propios copresidentes, que serán un gestor pesquero de la Comisión y un científico del SCRS.</w:t>
      </w:r>
    </w:p>
    <w:p w14:paraId="760645F8" w14:textId="77777777" w:rsidR="005736A0" w:rsidRPr="009F0498" w:rsidRDefault="005736A0" w:rsidP="005736A0">
      <w:pPr>
        <w:ind w:left="360"/>
        <w:jc w:val="both"/>
        <w:rPr>
          <w:rFonts w:ascii="Cambria" w:eastAsia="Calibri" w:hAnsi="Cambria"/>
          <w:szCs w:val="20"/>
        </w:rPr>
      </w:pPr>
    </w:p>
    <w:p w14:paraId="760645F9" w14:textId="0FF171D6" w:rsidR="005736A0" w:rsidRPr="009F0498" w:rsidRDefault="005736A0" w:rsidP="00265306">
      <w:pPr>
        <w:numPr>
          <w:ilvl w:val="0"/>
          <w:numId w:val="1"/>
        </w:numPr>
        <w:ind w:left="426" w:hanging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 xml:space="preserve">El SWGSM se reunirá en el periodo intersesiones y sus reuniones estarán abiertas a gestores pesqueros de las Partes contratantes, Partes, Entidades y Entidades pesqueras no contratantes colaboradoras (CPC), científicos del SCRS y observadores acreditados. Los gestores pesqueros de las CPC y los científicos del SCRS estarán al mismo nivel durante las reuniones del Grupo de trabajo permanente. Podrá invitarse a otros expertos a reuniones específicas del </w:t>
      </w:r>
      <w:r w:rsidR="001B7BA9" w:rsidRPr="009F0498">
        <w:rPr>
          <w:rFonts w:ascii="Cambria" w:hAnsi="Cambria"/>
          <w:szCs w:val="20"/>
        </w:rPr>
        <w:t xml:space="preserve">Grupo </w:t>
      </w:r>
      <w:r w:rsidRPr="009F0498">
        <w:rPr>
          <w:rFonts w:ascii="Cambria" w:hAnsi="Cambria"/>
          <w:szCs w:val="20"/>
        </w:rPr>
        <w:t>de trabajo permanente en función de los temas que se vayan a discutir.</w:t>
      </w:r>
    </w:p>
    <w:p w14:paraId="760645FA" w14:textId="77777777" w:rsidR="005736A0" w:rsidRPr="009F0498" w:rsidRDefault="005736A0" w:rsidP="005736A0">
      <w:pPr>
        <w:ind w:left="360"/>
        <w:jc w:val="both"/>
        <w:rPr>
          <w:rFonts w:ascii="Cambria" w:eastAsia="Calibri" w:hAnsi="Cambria"/>
          <w:szCs w:val="20"/>
        </w:rPr>
      </w:pPr>
    </w:p>
    <w:p w14:paraId="760645FB" w14:textId="510B4A19" w:rsidR="005736A0" w:rsidRPr="009F0498" w:rsidRDefault="005736A0" w:rsidP="00265306">
      <w:pPr>
        <w:numPr>
          <w:ilvl w:val="0"/>
          <w:numId w:val="1"/>
        </w:numPr>
        <w:ind w:left="426" w:hanging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>La estructura de las reuniones incluirá un diálogo/foro abierto</w:t>
      </w:r>
      <w:r w:rsidR="009E3686" w:rsidRPr="009F0498">
        <w:rPr>
          <w:rFonts w:ascii="Cambria" w:hAnsi="Cambria"/>
          <w:szCs w:val="20"/>
        </w:rPr>
        <w:t xml:space="preserve">. </w:t>
      </w:r>
      <w:r w:rsidRPr="009F0498">
        <w:rPr>
          <w:rFonts w:ascii="Cambria" w:hAnsi="Cambria"/>
          <w:szCs w:val="20"/>
        </w:rPr>
        <w:t xml:space="preserve">Las </w:t>
      </w:r>
      <w:r w:rsidR="001B7BA9" w:rsidRPr="009F0498">
        <w:rPr>
          <w:rFonts w:ascii="Cambria" w:hAnsi="Cambria"/>
          <w:szCs w:val="20"/>
        </w:rPr>
        <w:t xml:space="preserve">recomendaciones </w:t>
      </w:r>
      <w:r w:rsidRPr="009F0498">
        <w:rPr>
          <w:rFonts w:ascii="Cambria" w:hAnsi="Cambria"/>
          <w:szCs w:val="20"/>
        </w:rPr>
        <w:t xml:space="preserve">a la Comisión se elaborarán mediante sesiones formales del SWGSM, que deberá </w:t>
      </w:r>
      <w:r w:rsidR="001B7BA9" w:rsidRPr="009F0498">
        <w:rPr>
          <w:rFonts w:ascii="Cambria" w:hAnsi="Cambria"/>
          <w:szCs w:val="20"/>
        </w:rPr>
        <w:t>garantizar</w:t>
      </w:r>
      <w:r w:rsidRPr="009F0498">
        <w:rPr>
          <w:rFonts w:ascii="Cambria" w:hAnsi="Cambria"/>
          <w:szCs w:val="20"/>
        </w:rPr>
        <w:t xml:space="preserve"> una presencia equilibrada y una participación activa de científicos y gestores.</w:t>
      </w:r>
    </w:p>
    <w:p w14:paraId="760645FC" w14:textId="77777777" w:rsidR="00B62359" w:rsidRPr="009F0498" w:rsidRDefault="00B62359" w:rsidP="002D0730">
      <w:pPr>
        <w:ind w:left="720"/>
        <w:jc w:val="both"/>
        <w:rPr>
          <w:rFonts w:ascii="Cambria" w:eastAsia="Calibri" w:hAnsi="Cambria"/>
          <w:szCs w:val="20"/>
        </w:rPr>
      </w:pPr>
    </w:p>
    <w:p w14:paraId="760645FD" w14:textId="5E64D88D" w:rsidR="00B62359" w:rsidRPr="009F0498" w:rsidRDefault="000451C0" w:rsidP="00265306">
      <w:pPr>
        <w:numPr>
          <w:ilvl w:val="0"/>
          <w:numId w:val="1"/>
        </w:numPr>
        <w:ind w:left="426" w:hanging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>E</w:t>
      </w:r>
      <w:r w:rsidR="00B62359" w:rsidRPr="009F0498">
        <w:rPr>
          <w:rFonts w:ascii="Cambria" w:hAnsi="Cambria"/>
          <w:szCs w:val="20"/>
        </w:rPr>
        <w:t xml:space="preserve">l SWGSM </w:t>
      </w:r>
      <w:r w:rsidRPr="009F0498">
        <w:rPr>
          <w:rFonts w:ascii="Cambria" w:hAnsi="Cambria"/>
          <w:szCs w:val="20"/>
        </w:rPr>
        <w:t xml:space="preserve">desarrollará un </w:t>
      </w:r>
      <w:r w:rsidR="00B62359" w:rsidRPr="009F0498">
        <w:rPr>
          <w:rFonts w:ascii="Cambria" w:hAnsi="Cambria"/>
          <w:szCs w:val="20"/>
        </w:rPr>
        <w:t xml:space="preserve">plan de trabajo y </w:t>
      </w:r>
      <w:r w:rsidRPr="009F0498">
        <w:rPr>
          <w:rFonts w:ascii="Cambria" w:hAnsi="Cambria"/>
          <w:szCs w:val="20"/>
        </w:rPr>
        <w:t xml:space="preserve">lo actualizará periódicamente </w:t>
      </w:r>
      <w:r w:rsidR="00B62359" w:rsidRPr="009F0498">
        <w:rPr>
          <w:rFonts w:ascii="Cambria" w:hAnsi="Cambria"/>
          <w:szCs w:val="20"/>
        </w:rPr>
        <w:t>si es necesario.</w:t>
      </w:r>
      <w:r w:rsidR="00CE7385" w:rsidRPr="009F0498">
        <w:rPr>
          <w:rFonts w:ascii="Cambria" w:hAnsi="Cambria"/>
          <w:szCs w:val="20"/>
        </w:rPr>
        <w:t xml:space="preserve"> </w:t>
      </w:r>
      <w:r w:rsidR="00B62359" w:rsidRPr="009F0498">
        <w:rPr>
          <w:rFonts w:ascii="Cambria" w:hAnsi="Cambria"/>
          <w:szCs w:val="20"/>
        </w:rPr>
        <w:t xml:space="preserve">Teniendo en cuenta </w:t>
      </w:r>
      <w:r w:rsidRPr="009F0498">
        <w:rPr>
          <w:rFonts w:ascii="Cambria" w:hAnsi="Cambria"/>
          <w:szCs w:val="20"/>
        </w:rPr>
        <w:t>este plan de trabajo</w:t>
      </w:r>
      <w:r w:rsidR="00BA44B1" w:rsidRPr="009F0498">
        <w:rPr>
          <w:rFonts w:ascii="Cambria" w:hAnsi="Cambria"/>
          <w:szCs w:val="20"/>
        </w:rPr>
        <w:t xml:space="preserve">, la Comisión elaborará un </w:t>
      </w:r>
      <w:r w:rsidR="00CE7385" w:rsidRPr="009F0498">
        <w:rPr>
          <w:rFonts w:ascii="Cambria" w:hAnsi="Cambria"/>
          <w:szCs w:val="20"/>
        </w:rPr>
        <w:t>calendario</w:t>
      </w:r>
      <w:r w:rsidR="00BA44B1" w:rsidRPr="009F0498">
        <w:rPr>
          <w:rFonts w:ascii="Cambria" w:hAnsi="Cambria"/>
          <w:szCs w:val="20"/>
        </w:rPr>
        <w:t xml:space="preserve"> para </w:t>
      </w:r>
      <w:r w:rsidR="007627F1" w:rsidRPr="009F0498">
        <w:rPr>
          <w:rFonts w:ascii="Cambria" w:hAnsi="Cambria"/>
          <w:szCs w:val="20"/>
        </w:rPr>
        <w:t>las futuras reuniones del SWGSM.</w:t>
      </w:r>
    </w:p>
    <w:p w14:paraId="760645FE" w14:textId="77777777" w:rsidR="00BA44B1" w:rsidRPr="009F0498" w:rsidRDefault="00BA44B1" w:rsidP="00265306">
      <w:pPr>
        <w:ind w:left="426"/>
        <w:jc w:val="both"/>
        <w:rPr>
          <w:rFonts w:ascii="Cambria" w:eastAsia="Calibri" w:hAnsi="Cambria"/>
          <w:szCs w:val="20"/>
        </w:rPr>
      </w:pPr>
    </w:p>
    <w:p w14:paraId="760645FF" w14:textId="6225CFE7" w:rsidR="0046424A" w:rsidRPr="009F0498" w:rsidRDefault="00B62359" w:rsidP="00265306">
      <w:pPr>
        <w:numPr>
          <w:ilvl w:val="0"/>
          <w:numId w:val="1"/>
        </w:numPr>
        <w:ind w:left="426" w:hanging="426"/>
        <w:jc w:val="both"/>
        <w:rPr>
          <w:rFonts w:ascii="Cambria" w:eastAsia="Calibri" w:hAnsi="Cambria"/>
          <w:szCs w:val="20"/>
        </w:rPr>
      </w:pPr>
      <w:r w:rsidRPr="009F0498">
        <w:rPr>
          <w:rFonts w:ascii="Cambria" w:hAnsi="Cambria"/>
          <w:szCs w:val="20"/>
        </w:rPr>
        <w:t xml:space="preserve">Esta Recomendación </w:t>
      </w:r>
      <w:r w:rsidR="009E3686" w:rsidRPr="009F0498">
        <w:rPr>
          <w:rFonts w:ascii="Cambria" w:hAnsi="Cambria"/>
          <w:szCs w:val="20"/>
        </w:rPr>
        <w:t xml:space="preserve">deroga </w:t>
      </w:r>
      <w:r w:rsidRPr="009F0498">
        <w:rPr>
          <w:rFonts w:ascii="Cambria" w:hAnsi="Cambria"/>
          <w:szCs w:val="20"/>
        </w:rPr>
        <w:t xml:space="preserve">la </w:t>
      </w:r>
      <w:r w:rsidR="009E3686" w:rsidRPr="009F0498">
        <w:rPr>
          <w:rFonts w:ascii="Cambria" w:hAnsi="Cambria"/>
          <w:i/>
          <w:szCs w:val="20"/>
        </w:rPr>
        <w:t xml:space="preserve">Recomendación de ICCAT que enmienda la Recomendación de ICCAT para mejorar el diálogo entre los gestores y científicos pesqueros </w:t>
      </w:r>
      <w:r w:rsidR="001B7BA9" w:rsidRPr="009F0498">
        <w:rPr>
          <w:rFonts w:ascii="Cambria" w:hAnsi="Cambria"/>
          <w:szCs w:val="20"/>
        </w:rPr>
        <w:t>(</w:t>
      </w:r>
      <w:r w:rsidRPr="009F0498">
        <w:rPr>
          <w:rFonts w:ascii="Cambria" w:hAnsi="Cambria"/>
          <w:szCs w:val="20"/>
        </w:rPr>
        <w:t xml:space="preserve">Rec. </w:t>
      </w:r>
      <w:r w:rsidR="009E3686" w:rsidRPr="009F0498">
        <w:rPr>
          <w:rFonts w:ascii="Cambria" w:hAnsi="Cambria"/>
          <w:szCs w:val="20"/>
        </w:rPr>
        <w:t>14</w:t>
      </w:r>
      <w:r w:rsidRPr="009F0498">
        <w:rPr>
          <w:rFonts w:ascii="Cambria" w:hAnsi="Cambria"/>
          <w:szCs w:val="20"/>
        </w:rPr>
        <w:t>-</w:t>
      </w:r>
      <w:r w:rsidR="009E3686" w:rsidRPr="009F0498">
        <w:rPr>
          <w:rFonts w:ascii="Cambria" w:hAnsi="Cambria"/>
          <w:szCs w:val="20"/>
        </w:rPr>
        <w:t>13</w:t>
      </w:r>
      <w:r w:rsidR="001B7BA9" w:rsidRPr="009F0498">
        <w:rPr>
          <w:rFonts w:ascii="Cambria" w:hAnsi="Cambria"/>
          <w:szCs w:val="20"/>
        </w:rPr>
        <w:t>) y la sustituye.</w:t>
      </w:r>
    </w:p>
    <w:p w14:paraId="76064600" w14:textId="77777777" w:rsidR="00D85FE3" w:rsidRPr="009F0498" w:rsidRDefault="00D85FE3">
      <w:pPr>
        <w:spacing w:after="200" w:line="276" w:lineRule="auto"/>
        <w:rPr>
          <w:rFonts w:ascii="Cambria" w:eastAsia="Calibri" w:hAnsi="Cambria"/>
          <w:szCs w:val="20"/>
        </w:rPr>
      </w:pPr>
    </w:p>
    <w:sectPr w:rsidR="00D85FE3" w:rsidRPr="009F0498" w:rsidSect="00265306"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64604" w14:textId="77777777" w:rsidR="00CA07DC" w:rsidRDefault="00CA07DC" w:rsidP="00837DB9">
      <w:r>
        <w:separator/>
      </w:r>
    </w:p>
  </w:endnote>
  <w:endnote w:type="continuationSeparator" w:id="0">
    <w:p w14:paraId="76064605" w14:textId="77777777" w:rsidR="00CA07DC" w:rsidRDefault="00CA07DC" w:rsidP="00837DB9">
      <w:r>
        <w:continuationSeparator/>
      </w:r>
    </w:p>
  </w:endnote>
  <w:endnote w:type="continuationNotice" w:id="1">
    <w:p w14:paraId="76064606" w14:textId="77777777" w:rsidR="00CA07DC" w:rsidRDefault="00CA0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eastAsia="Calibri" w:hAnsi="Calibri" w:cs="Calibri"/>
        <w:szCs w:val="20"/>
        <w:lang w:eastAsia="ja-JP" w:bidi="ar-SA"/>
      </w:rPr>
      <w:id w:val="810910487"/>
      <w:docPartObj>
        <w:docPartGallery w:val="Page Numbers (Top of Page)"/>
        <w:docPartUnique/>
      </w:docPartObj>
    </w:sdtPr>
    <w:sdtEndPr/>
    <w:sdtContent>
      <w:p w14:paraId="76064607" w14:textId="2502A276" w:rsidR="007B1315" w:rsidRPr="00265306" w:rsidRDefault="00211741" w:rsidP="00265306">
        <w:pPr>
          <w:tabs>
            <w:tab w:val="center" w:pos="4535"/>
            <w:tab w:val="center" w:pos="4680"/>
            <w:tab w:val="left" w:pos="6150"/>
            <w:tab w:val="right" w:pos="9360"/>
          </w:tabs>
          <w:jc w:val="center"/>
          <w:rPr>
            <w:rFonts w:ascii="Cambria" w:eastAsia="MS Mincho" w:hAnsi="Cambria"/>
            <w:szCs w:val="20"/>
            <w:lang w:eastAsia="ja-JP" w:bidi="ar-SA"/>
          </w:rPr>
        </w:pPr>
        <w:r w:rsidRPr="00211741">
          <w:rPr>
            <w:rFonts w:ascii="Cambria" w:eastAsia="Calibri" w:hAnsi="Cambria" w:cs="Calibri"/>
            <w:szCs w:val="20"/>
            <w:lang w:eastAsia="ja-JP" w:bidi="ar-SA"/>
          </w:rPr>
          <w:fldChar w:fldCharType="begin"/>
        </w:r>
        <w:r w:rsidRPr="00211741">
          <w:rPr>
            <w:rFonts w:ascii="Cambria" w:eastAsia="Calibri" w:hAnsi="Cambria" w:cs="Calibri"/>
            <w:szCs w:val="20"/>
            <w:lang w:eastAsia="ja-JP" w:bidi="ar-SA"/>
          </w:rPr>
          <w:instrText xml:space="preserve"> PAGE </w:instrText>
        </w:r>
        <w:r w:rsidRPr="00211741">
          <w:rPr>
            <w:rFonts w:ascii="Cambria" w:eastAsia="Calibri" w:hAnsi="Cambria" w:cs="Calibri"/>
            <w:szCs w:val="20"/>
            <w:lang w:eastAsia="ja-JP" w:bidi="ar-SA"/>
          </w:rPr>
          <w:fldChar w:fldCharType="separate"/>
        </w:r>
        <w:r w:rsidRPr="00211741">
          <w:rPr>
            <w:rFonts w:ascii="Cambria" w:eastAsia="Calibri" w:hAnsi="Cambria" w:cs="Calibri"/>
            <w:szCs w:val="20"/>
            <w:lang w:eastAsia="ja-JP" w:bidi="ar-SA"/>
          </w:rPr>
          <w:t>1</w:t>
        </w:r>
        <w:r w:rsidRPr="00211741">
          <w:rPr>
            <w:rFonts w:ascii="Cambria" w:eastAsia="Calibri" w:hAnsi="Cambria" w:cs="Calibri"/>
            <w:szCs w:val="20"/>
            <w:lang w:eastAsia="ja-JP" w:bidi="ar-SA"/>
          </w:rPr>
          <w:fldChar w:fldCharType="end"/>
        </w:r>
        <w:r w:rsidRPr="00211741">
          <w:rPr>
            <w:rFonts w:ascii="Cambria" w:eastAsia="MS Mincho" w:hAnsi="Cambria"/>
            <w:szCs w:val="20"/>
            <w:lang w:eastAsia="ja-JP" w:bidi="ar-S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64601" w14:textId="77777777" w:rsidR="00CA07DC" w:rsidRDefault="00CA07DC" w:rsidP="00837DB9">
      <w:r>
        <w:separator/>
      </w:r>
    </w:p>
  </w:footnote>
  <w:footnote w:type="continuationSeparator" w:id="0">
    <w:p w14:paraId="76064602" w14:textId="77777777" w:rsidR="00CA07DC" w:rsidRDefault="00CA07DC" w:rsidP="00837DB9">
      <w:r>
        <w:continuationSeparator/>
      </w:r>
    </w:p>
  </w:footnote>
  <w:footnote w:type="continuationNotice" w:id="1">
    <w:p w14:paraId="76064603" w14:textId="77777777" w:rsidR="00CA07DC" w:rsidRDefault="00CA07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72627"/>
    <w:multiLevelType w:val="hybridMultilevel"/>
    <w:tmpl w:val="6C9E596E"/>
    <w:lvl w:ilvl="0" w:tplc="6F6C24C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719"/>
    <w:multiLevelType w:val="hybridMultilevel"/>
    <w:tmpl w:val="D702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C6CFD"/>
    <w:multiLevelType w:val="hybridMultilevel"/>
    <w:tmpl w:val="F84874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B209D"/>
    <w:multiLevelType w:val="hybridMultilevel"/>
    <w:tmpl w:val="B186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653EA"/>
    <w:multiLevelType w:val="hybridMultilevel"/>
    <w:tmpl w:val="DD56E0B0"/>
    <w:lvl w:ilvl="0" w:tplc="C1D6DA4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53502"/>
    <w:multiLevelType w:val="hybridMultilevel"/>
    <w:tmpl w:val="CE5C20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E2167"/>
    <w:multiLevelType w:val="hybridMultilevel"/>
    <w:tmpl w:val="77626E28"/>
    <w:lvl w:ilvl="0" w:tplc="58F887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820728769">
    <w:abstractNumId w:val="2"/>
  </w:num>
  <w:num w:numId="2" w16cid:durableId="963659013">
    <w:abstractNumId w:val="5"/>
  </w:num>
  <w:num w:numId="3" w16cid:durableId="778718772">
    <w:abstractNumId w:val="4"/>
  </w:num>
  <w:num w:numId="4" w16cid:durableId="1692686875">
    <w:abstractNumId w:val="3"/>
  </w:num>
  <w:num w:numId="5" w16cid:durableId="926110408">
    <w:abstractNumId w:val="1"/>
  </w:num>
  <w:num w:numId="6" w16cid:durableId="37125249">
    <w:abstractNumId w:val="6"/>
  </w:num>
  <w:num w:numId="7" w16cid:durableId="157889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736A0"/>
    <w:rsid w:val="00030446"/>
    <w:rsid w:val="000451C0"/>
    <w:rsid w:val="000502C6"/>
    <w:rsid w:val="00086929"/>
    <w:rsid w:val="000A5919"/>
    <w:rsid w:val="000C5218"/>
    <w:rsid w:val="000C6766"/>
    <w:rsid w:val="000D053D"/>
    <w:rsid w:val="000D19AD"/>
    <w:rsid w:val="000F06BF"/>
    <w:rsid w:val="000F4DD6"/>
    <w:rsid w:val="00112216"/>
    <w:rsid w:val="00116553"/>
    <w:rsid w:val="001239E2"/>
    <w:rsid w:val="0016450F"/>
    <w:rsid w:val="0016753D"/>
    <w:rsid w:val="00194988"/>
    <w:rsid w:val="00195589"/>
    <w:rsid w:val="00195AE2"/>
    <w:rsid w:val="001A18AB"/>
    <w:rsid w:val="001B5259"/>
    <w:rsid w:val="001B7BA9"/>
    <w:rsid w:val="001F7B3E"/>
    <w:rsid w:val="00211741"/>
    <w:rsid w:val="002327E9"/>
    <w:rsid w:val="002337BA"/>
    <w:rsid w:val="002338C3"/>
    <w:rsid w:val="00241811"/>
    <w:rsid w:val="0024492A"/>
    <w:rsid w:val="00265306"/>
    <w:rsid w:val="0027121A"/>
    <w:rsid w:val="00280DF8"/>
    <w:rsid w:val="00294057"/>
    <w:rsid w:val="002C3D89"/>
    <w:rsid w:val="002D0730"/>
    <w:rsid w:val="002F79CD"/>
    <w:rsid w:val="003007AB"/>
    <w:rsid w:val="003343AA"/>
    <w:rsid w:val="003370FC"/>
    <w:rsid w:val="00354AC5"/>
    <w:rsid w:val="00354F22"/>
    <w:rsid w:val="0036677D"/>
    <w:rsid w:val="00373C0E"/>
    <w:rsid w:val="00396F8D"/>
    <w:rsid w:val="003B399C"/>
    <w:rsid w:val="003C2995"/>
    <w:rsid w:val="003C4240"/>
    <w:rsid w:val="003D144E"/>
    <w:rsid w:val="003D4D5C"/>
    <w:rsid w:val="003D7F02"/>
    <w:rsid w:val="003E505D"/>
    <w:rsid w:val="004551E8"/>
    <w:rsid w:val="0046424A"/>
    <w:rsid w:val="0049550A"/>
    <w:rsid w:val="004A19A9"/>
    <w:rsid w:val="004A420B"/>
    <w:rsid w:val="004B3889"/>
    <w:rsid w:val="00500D45"/>
    <w:rsid w:val="0051650B"/>
    <w:rsid w:val="00526DFC"/>
    <w:rsid w:val="00532646"/>
    <w:rsid w:val="00541EFD"/>
    <w:rsid w:val="005524EF"/>
    <w:rsid w:val="005624E3"/>
    <w:rsid w:val="0056617E"/>
    <w:rsid w:val="005736A0"/>
    <w:rsid w:val="0057600A"/>
    <w:rsid w:val="0057683B"/>
    <w:rsid w:val="005904EC"/>
    <w:rsid w:val="00591CFC"/>
    <w:rsid w:val="00597FA1"/>
    <w:rsid w:val="005E2D15"/>
    <w:rsid w:val="005E78B7"/>
    <w:rsid w:val="005F4A7C"/>
    <w:rsid w:val="00623416"/>
    <w:rsid w:val="0066028C"/>
    <w:rsid w:val="006618C7"/>
    <w:rsid w:val="006623A6"/>
    <w:rsid w:val="0067456A"/>
    <w:rsid w:val="00685E37"/>
    <w:rsid w:val="006B4967"/>
    <w:rsid w:val="006C1D71"/>
    <w:rsid w:val="006D3EB9"/>
    <w:rsid w:val="006D7C93"/>
    <w:rsid w:val="006E65AA"/>
    <w:rsid w:val="00753E20"/>
    <w:rsid w:val="007627F1"/>
    <w:rsid w:val="007711B9"/>
    <w:rsid w:val="00771D4D"/>
    <w:rsid w:val="007956F3"/>
    <w:rsid w:val="007B1315"/>
    <w:rsid w:val="007D76AB"/>
    <w:rsid w:val="007E05E6"/>
    <w:rsid w:val="007E666F"/>
    <w:rsid w:val="007E6A58"/>
    <w:rsid w:val="008372D5"/>
    <w:rsid w:val="00837DB9"/>
    <w:rsid w:val="00853E55"/>
    <w:rsid w:val="008A2C8D"/>
    <w:rsid w:val="008C0E18"/>
    <w:rsid w:val="008C3827"/>
    <w:rsid w:val="008C3A80"/>
    <w:rsid w:val="008C3FB6"/>
    <w:rsid w:val="009005BD"/>
    <w:rsid w:val="00914A09"/>
    <w:rsid w:val="0091537F"/>
    <w:rsid w:val="00916F06"/>
    <w:rsid w:val="00917077"/>
    <w:rsid w:val="00917C25"/>
    <w:rsid w:val="0094452E"/>
    <w:rsid w:val="00952F92"/>
    <w:rsid w:val="0097035F"/>
    <w:rsid w:val="00977EC3"/>
    <w:rsid w:val="00983DE1"/>
    <w:rsid w:val="00992161"/>
    <w:rsid w:val="00994FC1"/>
    <w:rsid w:val="00996AC0"/>
    <w:rsid w:val="009A0F42"/>
    <w:rsid w:val="009A3536"/>
    <w:rsid w:val="009C5969"/>
    <w:rsid w:val="009E3686"/>
    <w:rsid w:val="009F0498"/>
    <w:rsid w:val="009F29AF"/>
    <w:rsid w:val="00A04966"/>
    <w:rsid w:val="00A22F6A"/>
    <w:rsid w:val="00A45AD4"/>
    <w:rsid w:val="00A62FA2"/>
    <w:rsid w:val="00A651DB"/>
    <w:rsid w:val="00AE0ACC"/>
    <w:rsid w:val="00AE3D7E"/>
    <w:rsid w:val="00AE6E5A"/>
    <w:rsid w:val="00B21BA0"/>
    <w:rsid w:val="00B36439"/>
    <w:rsid w:val="00B62359"/>
    <w:rsid w:val="00B914AE"/>
    <w:rsid w:val="00BA2586"/>
    <w:rsid w:val="00BA44B1"/>
    <w:rsid w:val="00BB37D9"/>
    <w:rsid w:val="00BC06D8"/>
    <w:rsid w:val="00BC31CF"/>
    <w:rsid w:val="00BC47B7"/>
    <w:rsid w:val="00BE52C0"/>
    <w:rsid w:val="00C27FE0"/>
    <w:rsid w:val="00C32E7D"/>
    <w:rsid w:val="00C330AE"/>
    <w:rsid w:val="00C956AA"/>
    <w:rsid w:val="00CA07DC"/>
    <w:rsid w:val="00CA45A9"/>
    <w:rsid w:val="00CE5776"/>
    <w:rsid w:val="00CE7385"/>
    <w:rsid w:val="00D002BF"/>
    <w:rsid w:val="00D53591"/>
    <w:rsid w:val="00D543A6"/>
    <w:rsid w:val="00D557BB"/>
    <w:rsid w:val="00D85B9B"/>
    <w:rsid w:val="00D85FE3"/>
    <w:rsid w:val="00D907F3"/>
    <w:rsid w:val="00DC0779"/>
    <w:rsid w:val="00DC1ABD"/>
    <w:rsid w:val="00DD65AA"/>
    <w:rsid w:val="00DD7C36"/>
    <w:rsid w:val="00E40F93"/>
    <w:rsid w:val="00E57200"/>
    <w:rsid w:val="00E57435"/>
    <w:rsid w:val="00E74558"/>
    <w:rsid w:val="00E957B3"/>
    <w:rsid w:val="00EA67A0"/>
    <w:rsid w:val="00EB7000"/>
    <w:rsid w:val="00EE50A5"/>
    <w:rsid w:val="00EF72AD"/>
    <w:rsid w:val="00F1344E"/>
    <w:rsid w:val="00F42308"/>
    <w:rsid w:val="00F54997"/>
    <w:rsid w:val="00F568FF"/>
    <w:rsid w:val="00F57FB4"/>
    <w:rsid w:val="00F65499"/>
    <w:rsid w:val="00F6712B"/>
    <w:rsid w:val="00F67B3C"/>
    <w:rsid w:val="00F74A75"/>
    <w:rsid w:val="00F770A3"/>
    <w:rsid w:val="00F94F8F"/>
    <w:rsid w:val="00FA1B80"/>
    <w:rsid w:val="00FA50A4"/>
    <w:rsid w:val="00FC3248"/>
    <w:rsid w:val="00FE351B"/>
    <w:rsid w:val="00FE4327"/>
    <w:rsid w:val="00FE725E"/>
    <w:rsid w:val="00FF0487"/>
    <w:rsid w:val="00FF1491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0645BF"/>
  <w15:docId w15:val="{B004023A-A953-4150-B825-55BD27A6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A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736A0"/>
    <w:pPr>
      <w:ind w:left="720"/>
    </w:pPr>
  </w:style>
  <w:style w:type="paragraph" w:customStyle="1" w:styleId="MediumGrid1-Accent21">
    <w:name w:val="Medium Grid 1 - Accent 21"/>
    <w:basedOn w:val="Normal"/>
    <w:uiPriority w:val="34"/>
    <w:qFormat/>
    <w:rsid w:val="005736A0"/>
    <w:pPr>
      <w:ind w:left="708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359"/>
    <w:rPr>
      <w:rFonts w:ascii="Tahoma" w:eastAsia="Times New Roman" w:hAnsi="Tahoma" w:cs="Tahoma"/>
      <w:sz w:val="16"/>
      <w:szCs w:val="1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837DB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DB9"/>
    <w:rPr>
      <w:rFonts w:ascii="Times New Roman" w:eastAsia="Times New Roman" w:hAnsi="Times New Roman" w:cs="Times New Roman"/>
      <w:sz w:val="20"/>
      <w:szCs w:val="24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37DB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DB9"/>
    <w:rPr>
      <w:rFonts w:ascii="Times New Roman" w:eastAsia="Times New Roman" w:hAnsi="Times New Roman" w:cs="Times New Roman"/>
      <w:sz w:val="20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3370FC"/>
    <w:pPr>
      <w:widowControl w:val="0"/>
      <w:autoSpaceDE w:val="0"/>
      <w:autoSpaceDN w:val="0"/>
    </w:pPr>
    <w:rPr>
      <w:rFonts w:ascii="Cambria" w:eastAsia="Cambria" w:hAnsi="Cambria" w:cs="Cambria"/>
      <w:szCs w:val="2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370FC"/>
    <w:rPr>
      <w:rFonts w:ascii="Cambria" w:eastAsia="Cambria" w:hAnsi="Cambria" w:cs="Cambri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24161-4A35-4513-9401-8A8B0CF7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27</cp:revision>
  <dcterms:created xsi:type="dcterms:W3CDTF">2024-11-04T09:01:00Z</dcterms:created>
  <dcterms:modified xsi:type="dcterms:W3CDTF">2024-12-04T09:17:00Z</dcterms:modified>
</cp:coreProperties>
</file>