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6C0F2" w14:textId="7F2F5420" w:rsidR="00D315B6" w:rsidRPr="004B3072" w:rsidRDefault="000C2048" w:rsidP="004B3072">
      <w:pPr>
        <w:pBdr>
          <w:top w:val="double" w:sz="4" w:space="1" w:color="auto"/>
          <w:left w:val="double" w:sz="4" w:space="4" w:color="auto"/>
          <w:bottom w:val="double" w:sz="4" w:space="1" w:color="auto"/>
          <w:right w:val="double" w:sz="4" w:space="4" w:color="auto"/>
        </w:pBdr>
        <w:ind w:left="8222" w:hanging="8222"/>
        <w:jc w:val="both"/>
        <w:rPr>
          <w:rFonts w:asciiTheme="majorHAnsi" w:hAnsiTheme="majorHAnsi"/>
          <w:b/>
          <w:bCs/>
          <w:iCs/>
          <w:szCs w:val="20"/>
        </w:rPr>
      </w:pPr>
      <w:bookmarkStart w:id="0" w:name="_Hlk182662450"/>
      <w:r w:rsidRPr="004B3072">
        <w:rPr>
          <w:rFonts w:asciiTheme="majorHAnsi" w:hAnsiTheme="majorHAnsi"/>
          <w:b/>
          <w:bCs/>
          <w:iCs/>
          <w:szCs w:val="20"/>
        </w:rPr>
        <w:t>24-1</w:t>
      </w:r>
      <w:r w:rsidR="00435744" w:rsidRPr="004B3072">
        <w:rPr>
          <w:rFonts w:asciiTheme="majorHAnsi" w:hAnsiTheme="majorHAnsi"/>
          <w:b/>
          <w:bCs/>
          <w:iCs/>
          <w:szCs w:val="20"/>
        </w:rPr>
        <w:t>3</w:t>
      </w:r>
      <w:r w:rsidR="004B3072" w:rsidRPr="004B3072">
        <w:rPr>
          <w:rFonts w:asciiTheme="majorHAnsi" w:hAnsiTheme="majorHAnsi"/>
          <w:b/>
          <w:bCs/>
          <w:iCs/>
          <w:szCs w:val="20"/>
        </w:rPr>
        <w:tab/>
      </w:r>
      <w:r w:rsidRPr="004B3072">
        <w:rPr>
          <w:rFonts w:asciiTheme="majorHAnsi" w:hAnsiTheme="majorHAnsi"/>
          <w:b/>
          <w:bCs/>
          <w:iCs/>
          <w:szCs w:val="20"/>
        </w:rPr>
        <w:t>GEN</w:t>
      </w:r>
    </w:p>
    <w:p w14:paraId="32E5B5DD" w14:textId="77777777" w:rsidR="00D315B6" w:rsidRPr="004B3072" w:rsidRDefault="00D315B6" w:rsidP="00D315B6">
      <w:pPr>
        <w:pBdr>
          <w:top w:val="double" w:sz="4" w:space="1" w:color="auto"/>
          <w:left w:val="double" w:sz="4" w:space="4" w:color="auto"/>
          <w:bottom w:val="double" w:sz="4" w:space="1" w:color="auto"/>
          <w:right w:val="double" w:sz="4" w:space="4" w:color="auto"/>
        </w:pBdr>
        <w:ind w:firstLine="340"/>
        <w:jc w:val="center"/>
        <w:rPr>
          <w:rFonts w:asciiTheme="majorHAnsi" w:hAnsiTheme="majorHAnsi"/>
          <w:b/>
          <w:bCs/>
          <w:iCs/>
          <w:szCs w:val="20"/>
        </w:rPr>
      </w:pPr>
    </w:p>
    <w:p w14:paraId="636F4303" w14:textId="3B28A7F0" w:rsidR="003C3797" w:rsidRPr="004B3072" w:rsidRDefault="00D315B6" w:rsidP="00D315B6">
      <w:pPr>
        <w:pBdr>
          <w:top w:val="double" w:sz="4" w:space="1" w:color="auto"/>
          <w:left w:val="double" w:sz="4" w:space="4" w:color="auto"/>
          <w:bottom w:val="double" w:sz="4" w:space="1" w:color="auto"/>
          <w:right w:val="double" w:sz="4" w:space="4" w:color="auto"/>
        </w:pBdr>
        <w:ind w:firstLine="340"/>
        <w:jc w:val="center"/>
        <w:rPr>
          <w:rFonts w:asciiTheme="majorHAnsi" w:hAnsiTheme="majorHAnsi"/>
          <w:b/>
          <w:bCs/>
          <w:iCs/>
          <w:szCs w:val="20"/>
        </w:rPr>
      </w:pPr>
      <w:r w:rsidRPr="004B3072">
        <w:rPr>
          <w:rFonts w:asciiTheme="majorHAnsi" w:hAnsiTheme="majorHAnsi"/>
          <w:b/>
          <w:bCs/>
          <w:iCs/>
          <w:szCs w:val="20"/>
        </w:rPr>
        <w:t>RECOMMANDATION DE L’ICCAT SUR LA POURSUITE DU RENFORCEMENT DU DIALOGUE ENTRE LES HALIEUTES ET LES GESTIONNAIRES DES P</w:t>
      </w:r>
      <w:r w:rsidR="00000775" w:rsidRPr="004B3072">
        <w:rPr>
          <w:rFonts w:asciiTheme="majorHAnsi" w:hAnsiTheme="majorHAnsi"/>
          <w:b/>
          <w:bCs/>
          <w:iCs/>
          <w:szCs w:val="20"/>
        </w:rPr>
        <w:t>Ê</w:t>
      </w:r>
      <w:r w:rsidRPr="004B3072">
        <w:rPr>
          <w:rFonts w:asciiTheme="majorHAnsi" w:hAnsiTheme="majorHAnsi"/>
          <w:b/>
          <w:bCs/>
          <w:iCs/>
          <w:szCs w:val="20"/>
        </w:rPr>
        <w:t>CHERIES</w:t>
      </w:r>
    </w:p>
    <w:p w14:paraId="258F0BD9" w14:textId="77777777" w:rsidR="0028704A" w:rsidRPr="004B3072" w:rsidRDefault="0028704A" w:rsidP="00D315B6">
      <w:pPr>
        <w:pBdr>
          <w:top w:val="double" w:sz="4" w:space="1" w:color="auto"/>
          <w:left w:val="double" w:sz="4" w:space="4" w:color="auto"/>
          <w:bottom w:val="double" w:sz="4" w:space="1" w:color="auto"/>
          <w:right w:val="double" w:sz="4" w:space="4" w:color="auto"/>
        </w:pBdr>
        <w:ind w:firstLine="340"/>
        <w:jc w:val="both"/>
        <w:rPr>
          <w:rFonts w:asciiTheme="majorHAnsi" w:hAnsiTheme="majorHAnsi"/>
          <w:i/>
          <w:szCs w:val="20"/>
        </w:rPr>
      </w:pPr>
    </w:p>
    <w:bookmarkEnd w:id="0"/>
    <w:p w14:paraId="6FFA6C63" w14:textId="77777777" w:rsidR="003C3797" w:rsidRPr="004B3072" w:rsidRDefault="003C3797" w:rsidP="003C3797">
      <w:pPr>
        <w:ind w:firstLine="426"/>
        <w:jc w:val="both"/>
        <w:rPr>
          <w:rFonts w:asciiTheme="majorHAnsi" w:hAnsiTheme="majorHAnsi"/>
          <w:i/>
          <w:szCs w:val="20"/>
        </w:rPr>
      </w:pPr>
    </w:p>
    <w:p w14:paraId="58A74E52" w14:textId="77777777" w:rsidR="00B56704" w:rsidRPr="004B3072" w:rsidRDefault="00B56704" w:rsidP="003C3797">
      <w:pPr>
        <w:ind w:firstLine="426"/>
        <w:jc w:val="both"/>
        <w:rPr>
          <w:rFonts w:asciiTheme="majorHAnsi" w:hAnsiTheme="majorHAnsi"/>
          <w:i/>
          <w:szCs w:val="20"/>
        </w:rPr>
      </w:pPr>
    </w:p>
    <w:p w14:paraId="620B1937" w14:textId="28CE6DAF"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 xml:space="preserve">CONSIDÉRANT </w:t>
      </w:r>
      <w:r w:rsidRPr="004B3072">
        <w:rPr>
          <w:rFonts w:asciiTheme="majorHAnsi" w:hAnsiTheme="majorHAnsi"/>
          <w:szCs w:val="20"/>
        </w:rPr>
        <w:t>que l'avis scientifique formulé par le Comité permanent pour la r</w:t>
      </w:r>
      <w:r w:rsidR="00212B4D" w:rsidRPr="004B3072">
        <w:rPr>
          <w:rFonts w:asciiTheme="majorHAnsi" w:hAnsiTheme="majorHAnsi"/>
          <w:szCs w:val="20"/>
        </w:rPr>
        <w:t>echerche et les statistiques (</w:t>
      </w:r>
      <w:r w:rsidRPr="004B3072">
        <w:rPr>
          <w:rFonts w:asciiTheme="majorHAnsi" w:hAnsiTheme="majorHAnsi"/>
          <w:szCs w:val="20"/>
        </w:rPr>
        <w:t xml:space="preserve">SCRS) constitue la pierre angulaire pour établir un cadre adéquat de gestion des stocks et des pêcheries </w:t>
      </w:r>
      <w:r w:rsidR="009A6E0A" w:rsidRPr="004B3072">
        <w:rPr>
          <w:rFonts w:asciiTheme="majorHAnsi" w:hAnsiTheme="majorHAnsi"/>
          <w:szCs w:val="20"/>
        </w:rPr>
        <w:t>relevant</w:t>
      </w:r>
      <w:r w:rsidR="00212B4D" w:rsidRPr="004B3072">
        <w:rPr>
          <w:rFonts w:asciiTheme="majorHAnsi" w:hAnsiTheme="majorHAnsi"/>
          <w:szCs w:val="20"/>
        </w:rPr>
        <w:t xml:space="preserve"> de l'ICCAT ;</w:t>
      </w:r>
    </w:p>
    <w:p w14:paraId="5ED33609" w14:textId="77777777" w:rsidR="005736A0" w:rsidRPr="004B3072" w:rsidRDefault="005736A0" w:rsidP="003C3797">
      <w:pPr>
        <w:ind w:firstLine="426"/>
        <w:jc w:val="both"/>
        <w:rPr>
          <w:rFonts w:asciiTheme="majorHAnsi" w:eastAsia="Calibri" w:hAnsiTheme="majorHAnsi"/>
          <w:szCs w:val="20"/>
        </w:rPr>
      </w:pPr>
    </w:p>
    <w:p w14:paraId="67CCD60D" w14:textId="77777777"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CONSIDÉRANT</w:t>
      </w:r>
      <w:r w:rsidRPr="004B3072">
        <w:rPr>
          <w:rFonts w:asciiTheme="majorHAnsi" w:hAnsiTheme="majorHAnsi"/>
          <w:szCs w:val="20"/>
        </w:rPr>
        <w:t xml:space="preserve"> qu'une compréhension approfondie par la Commission des avis scientifiques et des recommandations de gestion formulés par le SCRS devrait faciliter l'adoption par la Commission de mesures de conservation pertinentes et efficaces ;</w:t>
      </w:r>
    </w:p>
    <w:p w14:paraId="383CA84F" w14:textId="77777777" w:rsidR="005736A0" w:rsidRPr="004B3072" w:rsidRDefault="005736A0" w:rsidP="003C3797">
      <w:pPr>
        <w:ind w:firstLine="426"/>
        <w:jc w:val="both"/>
        <w:rPr>
          <w:rFonts w:asciiTheme="majorHAnsi" w:eastAsia="Calibri" w:hAnsiTheme="majorHAnsi"/>
          <w:szCs w:val="20"/>
        </w:rPr>
      </w:pPr>
    </w:p>
    <w:p w14:paraId="0A11B4A5" w14:textId="7083DB46"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 xml:space="preserve">CONSTATANT </w:t>
      </w:r>
      <w:r w:rsidRPr="004B3072">
        <w:rPr>
          <w:rFonts w:asciiTheme="majorHAnsi" w:hAnsiTheme="majorHAnsi"/>
          <w:szCs w:val="20"/>
        </w:rPr>
        <w:t xml:space="preserve">que la </w:t>
      </w:r>
      <w:r w:rsidRPr="004B3072">
        <w:rPr>
          <w:rFonts w:asciiTheme="majorHAnsi" w:hAnsiTheme="majorHAnsi"/>
          <w:i/>
          <w:iCs/>
          <w:szCs w:val="20"/>
        </w:rPr>
        <w:t xml:space="preserve">Résolution </w:t>
      </w:r>
      <w:r w:rsidR="00597F15" w:rsidRPr="004B3072">
        <w:rPr>
          <w:rFonts w:asciiTheme="majorHAnsi" w:hAnsiTheme="majorHAnsi"/>
          <w:i/>
          <w:iCs/>
          <w:szCs w:val="20"/>
        </w:rPr>
        <w:t>de l’ICCAT sur la meilleure science disponible</w:t>
      </w:r>
      <w:r w:rsidR="00597F15" w:rsidRPr="004B3072">
        <w:rPr>
          <w:rFonts w:asciiTheme="majorHAnsi" w:hAnsiTheme="majorHAnsi"/>
          <w:szCs w:val="20"/>
        </w:rPr>
        <w:t xml:space="preserve"> (Rés. </w:t>
      </w:r>
      <w:r w:rsidRPr="004B3072">
        <w:rPr>
          <w:rFonts w:asciiTheme="majorHAnsi" w:hAnsiTheme="majorHAnsi"/>
          <w:szCs w:val="20"/>
        </w:rPr>
        <w:t>11-17</w:t>
      </w:r>
      <w:r w:rsidR="00597F15" w:rsidRPr="004B3072">
        <w:rPr>
          <w:rFonts w:asciiTheme="majorHAnsi" w:hAnsiTheme="majorHAnsi"/>
          <w:szCs w:val="20"/>
        </w:rPr>
        <w:t>)</w:t>
      </w:r>
      <w:r w:rsidRPr="004B3072">
        <w:rPr>
          <w:rFonts w:asciiTheme="majorHAnsi" w:hAnsiTheme="majorHAnsi"/>
          <w:szCs w:val="20"/>
        </w:rPr>
        <w:t xml:space="preserve"> recommande d'améliorer la communication entre les CPC, la Commission et le SCRS en assurant un dialogue constant</w:t>
      </w:r>
      <w:r w:rsidR="009A6E0A" w:rsidRPr="004B3072">
        <w:rPr>
          <w:rFonts w:asciiTheme="majorHAnsi" w:hAnsiTheme="majorHAnsi"/>
          <w:szCs w:val="20"/>
        </w:rPr>
        <w:t xml:space="preserve"> </w:t>
      </w:r>
      <w:r w:rsidRPr="004B3072">
        <w:rPr>
          <w:rFonts w:asciiTheme="majorHAnsi" w:hAnsiTheme="majorHAnsi"/>
          <w:szCs w:val="20"/>
        </w:rPr>
        <w:t>;</w:t>
      </w:r>
    </w:p>
    <w:p w14:paraId="644BDE87" w14:textId="77777777" w:rsidR="005736A0" w:rsidRPr="004B3072" w:rsidRDefault="005736A0" w:rsidP="003C3797">
      <w:pPr>
        <w:ind w:firstLine="426"/>
        <w:jc w:val="both"/>
        <w:rPr>
          <w:rFonts w:asciiTheme="majorHAnsi" w:eastAsia="Calibri" w:hAnsiTheme="majorHAnsi"/>
          <w:szCs w:val="20"/>
        </w:rPr>
      </w:pPr>
    </w:p>
    <w:p w14:paraId="4DA4D0E9" w14:textId="77777777"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RAPPELANT</w:t>
      </w:r>
      <w:r w:rsidRPr="004B3072">
        <w:rPr>
          <w:rFonts w:asciiTheme="majorHAnsi" w:hAnsiTheme="majorHAnsi"/>
          <w:szCs w:val="20"/>
        </w:rPr>
        <w:t xml:space="preserve"> le travail réalisé par le Groupe de travail des gestionnaires des pêcheries et des halieutes lors de sa réunion de juin 2013 en appui à l’évaluation du stock de thon rouge de l’Atlantique Ouest ;</w:t>
      </w:r>
    </w:p>
    <w:p w14:paraId="46EF5BC0" w14:textId="77777777" w:rsidR="005736A0" w:rsidRPr="004B3072" w:rsidRDefault="005736A0" w:rsidP="003C3797">
      <w:pPr>
        <w:ind w:firstLine="426"/>
        <w:jc w:val="both"/>
        <w:rPr>
          <w:rFonts w:asciiTheme="majorHAnsi" w:eastAsia="Calibri" w:hAnsiTheme="majorHAnsi"/>
          <w:szCs w:val="20"/>
        </w:rPr>
      </w:pPr>
    </w:p>
    <w:p w14:paraId="679FBE2C" w14:textId="01F5CF00"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 xml:space="preserve">SOULIGNANT </w:t>
      </w:r>
      <w:r w:rsidRPr="004B3072">
        <w:rPr>
          <w:rFonts w:asciiTheme="majorHAnsi" w:hAnsiTheme="majorHAnsi"/>
          <w:szCs w:val="20"/>
        </w:rPr>
        <w:t>la nécessité de renforcer davantage le dialogue entre les gestionnaires des pêcheries et les halieutes dans les années à venir afin d'atteindre les objectifs de la Convention de la manière la plus efficace et effective possible</w:t>
      </w:r>
      <w:r w:rsidR="00212B4D" w:rsidRPr="004B3072">
        <w:rPr>
          <w:rFonts w:asciiTheme="majorHAnsi" w:hAnsiTheme="majorHAnsi"/>
          <w:szCs w:val="20"/>
        </w:rPr>
        <w:t> ;</w:t>
      </w:r>
    </w:p>
    <w:p w14:paraId="764F8DA0" w14:textId="77777777" w:rsidR="005736A0" w:rsidRPr="004B3072" w:rsidRDefault="005736A0" w:rsidP="003C3797">
      <w:pPr>
        <w:ind w:firstLine="426"/>
        <w:jc w:val="both"/>
        <w:rPr>
          <w:rFonts w:asciiTheme="majorHAnsi" w:eastAsia="Calibri" w:hAnsiTheme="majorHAnsi"/>
          <w:szCs w:val="20"/>
        </w:rPr>
      </w:pPr>
    </w:p>
    <w:p w14:paraId="64F925B0" w14:textId="7D92967A"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SOULIGNANT</w:t>
      </w:r>
      <w:r w:rsidRPr="004B3072">
        <w:rPr>
          <w:rFonts w:asciiTheme="majorHAnsi" w:hAnsiTheme="majorHAnsi"/>
          <w:szCs w:val="20"/>
        </w:rPr>
        <w:t xml:space="preserve"> que ce dialogue renforcé devrait, en particulier, permettre à la Commission de se concentrer sur l'établissement de cadres de gestion qui tiennent compte des points limite et points cible de référence, d</w:t>
      </w:r>
      <w:r w:rsidR="009A6E0A" w:rsidRPr="004B3072">
        <w:rPr>
          <w:rFonts w:asciiTheme="majorHAnsi" w:hAnsiTheme="majorHAnsi"/>
          <w:szCs w:val="20"/>
        </w:rPr>
        <w:t>u</w:t>
      </w:r>
      <w:r w:rsidRPr="004B3072">
        <w:rPr>
          <w:rFonts w:asciiTheme="majorHAnsi" w:hAnsiTheme="majorHAnsi"/>
          <w:szCs w:val="20"/>
        </w:rPr>
        <w:t xml:space="preserve"> niveau associé de risque</w:t>
      </w:r>
      <w:r w:rsidR="009A6E0A" w:rsidRPr="004B3072">
        <w:rPr>
          <w:rFonts w:asciiTheme="majorHAnsi" w:hAnsiTheme="majorHAnsi"/>
          <w:szCs w:val="20"/>
        </w:rPr>
        <w:t>s</w:t>
      </w:r>
      <w:r w:rsidRPr="004B3072">
        <w:rPr>
          <w:rFonts w:asciiTheme="majorHAnsi" w:hAnsiTheme="majorHAnsi"/>
          <w:szCs w:val="20"/>
        </w:rPr>
        <w:t xml:space="preserve"> et des règles de contrôle de l'exploitation connexes conformes à la Recommandation 11-13 ;</w:t>
      </w:r>
    </w:p>
    <w:p w14:paraId="4527C6CD" w14:textId="77777777" w:rsidR="005736A0" w:rsidRPr="004B3072" w:rsidRDefault="005736A0" w:rsidP="003C3797">
      <w:pPr>
        <w:ind w:firstLine="426"/>
        <w:jc w:val="both"/>
        <w:rPr>
          <w:rFonts w:asciiTheme="majorHAnsi" w:eastAsia="Calibri" w:hAnsiTheme="majorHAnsi"/>
          <w:szCs w:val="20"/>
        </w:rPr>
      </w:pPr>
    </w:p>
    <w:p w14:paraId="22027599" w14:textId="79DA4F78"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SOULIGNANT EN OUTRE</w:t>
      </w:r>
      <w:r w:rsidRPr="004B3072">
        <w:rPr>
          <w:rFonts w:asciiTheme="majorHAnsi" w:hAnsiTheme="majorHAnsi"/>
          <w:szCs w:val="20"/>
        </w:rPr>
        <w:t xml:space="preserve"> que ce dialogue renforcé devrait également permettre à la Commission d'examiner et </w:t>
      </w:r>
      <w:r w:rsidR="009A6E0A" w:rsidRPr="004B3072">
        <w:rPr>
          <w:rFonts w:asciiTheme="majorHAnsi" w:hAnsiTheme="majorHAnsi"/>
          <w:szCs w:val="20"/>
        </w:rPr>
        <w:t>de fournir des données au</w:t>
      </w:r>
      <w:r w:rsidR="00DC11E1" w:rsidRPr="004B3072">
        <w:rPr>
          <w:rFonts w:asciiTheme="majorHAnsi" w:hAnsiTheme="majorHAnsi"/>
          <w:szCs w:val="20"/>
        </w:rPr>
        <w:t xml:space="preserve"> </w:t>
      </w:r>
      <w:r w:rsidRPr="004B3072">
        <w:rPr>
          <w:rFonts w:asciiTheme="majorHAnsi" w:hAnsiTheme="majorHAnsi"/>
          <w:szCs w:val="20"/>
        </w:rPr>
        <w:t>SCRS sur l'établissement de priorités de recherche, en se penchant plus particulièrement sur l'élaboration du plan stratégique pour la science, et d'explorer d'autres améliorations à apporter aux processus scientifiques et de gestion de l'ICCAT ;</w:t>
      </w:r>
    </w:p>
    <w:p w14:paraId="5366413A" w14:textId="77777777" w:rsidR="005736A0" w:rsidRPr="004B3072" w:rsidRDefault="005736A0" w:rsidP="003C3797">
      <w:pPr>
        <w:ind w:firstLine="426"/>
        <w:jc w:val="both"/>
        <w:rPr>
          <w:rFonts w:asciiTheme="majorHAnsi" w:eastAsia="Calibri" w:hAnsiTheme="majorHAnsi"/>
          <w:szCs w:val="20"/>
        </w:rPr>
      </w:pPr>
    </w:p>
    <w:p w14:paraId="14E13553" w14:textId="095DA3A2"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 xml:space="preserve">RAPPELANT </w:t>
      </w:r>
      <w:r w:rsidRPr="004B3072">
        <w:rPr>
          <w:rFonts w:asciiTheme="majorHAnsi" w:hAnsiTheme="majorHAnsi"/>
          <w:szCs w:val="20"/>
        </w:rPr>
        <w:t xml:space="preserve">que les dispositions fixées dans la Recommandation 11-26 établissant un fonds de participation aux </w:t>
      </w:r>
      <w:r w:rsidR="009A6E0A" w:rsidRPr="004B3072">
        <w:rPr>
          <w:rFonts w:asciiTheme="majorHAnsi" w:hAnsiTheme="majorHAnsi"/>
          <w:szCs w:val="20"/>
        </w:rPr>
        <w:t xml:space="preserve">réunions devraient faciliter l’assistance </w:t>
      </w:r>
      <w:r w:rsidRPr="004B3072">
        <w:rPr>
          <w:rFonts w:asciiTheme="majorHAnsi" w:hAnsiTheme="majorHAnsi"/>
          <w:szCs w:val="20"/>
        </w:rPr>
        <w:t>des halieutes et des gestionnaires originaires des Parties contractantes en développement et contribuer dès lors à un dialogue participatif et intégrateur</w:t>
      </w:r>
      <w:r w:rsidR="00212B4D" w:rsidRPr="004B3072">
        <w:rPr>
          <w:rFonts w:asciiTheme="majorHAnsi" w:hAnsiTheme="majorHAnsi"/>
          <w:szCs w:val="20"/>
        </w:rPr>
        <w:t> ;</w:t>
      </w:r>
    </w:p>
    <w:p w14:paraId="1EC7702B" w14:textId="77777777" w:rsidR="005736A0" w:rsidRPr="004B3072" w:rsidRDefault="005736A0" w:rsidP="003C3797">
      <w:pPr>
        <w:ind w:firstLine="426"/>
        <w:jc w:val="both"/>
        <w:rPr>
          <w:rFonts w:asciiTheme="majorHAnsi" w:eastAsia="Calibri" w:hAnsiTheme="majorHAnsi"/>
          <w:szCs w:val="20"/>
        </w:rPr>
      </w:pPr>
    </w:p>
    <w:p w14:paraId="6426F23E" w14:textId="03E49A65" w:rsidR="005736A0" w:rsidRPr="004B3072" w:rsidRDefault="005736A0" w:rsidP="003C3797">
      <w:pPr>
        <w:ind w:firstLine="426"/>
        <w:jc w:val="both"/>
        <w:rPr>
          <w:rFonts w:asciiTheme="majorHAnsi" w:eastAsia="Calibri" w:hAnsiTheme="majorHAnsi"/>
          <w:szCs w:val="20"/>
        </w:rPr>
      </w:pPr>
      <w:r w:rsidRPr="004B3072">
        <w:rPr>
          <w:rFonts w:asciiTheme="majorHAnsi" w:hAnsiTheme="majorHAnsi"/>
          <w:i/>
          <w:szCs w:val="20"/>
        </w:rPr>
        <w:t xml:space="preserve">SOULIGNANT </w:t>
      </w:r>
      <w:r w:rsidRPr="004B3072">
        <w:rPr>
          <w:rFonts w:asciiTheme="majorHAnsi" w:hAnsiTheme="majorHAnsi"/>
          <w:szCs w:val="20"/>
        </w:rPr>
        <w:t>que les décisions de gestion de la Commission devraient reposer sur la meilleure science disponible élaborée de façon indépendante par le SCRS</w:t>
      </w:r>
      <w:r w:rsidR="00212B4D" w:rsidRPr="004B3072">
        <w:rPr>
          <w:rFonts w:asciiTheme="majorHAnsi" w:hAnsiTheme="majorHAnsi"/>
          <w:szCs w:val="20"/>
        </w:rPr>
        <w:t> ;</w:t>
      </w:r>
    </w:p>
    <w:p w14:paraId="45281F72" w14:textId="77777777" w:rsidR="00B62359" w:rsidRPr="004B3072" w:rsidRDefault="00B62359" w:rsidP="003C3797">
      <w:pPr>
        <w:ind w:firstLine="426"/>
        <w:jc w:val="both"/>
        <w:rPr>
          <w:rFonts w:asciiTheme="majorHAnsi" w:eastAsia="Calibri" w:hAnsiTheme="majorHAnsi"/>
          <w:szCs w:val="20"/>
        </w:rPr>
      </w:pPr>
    </w:p>
    <w:p w14:paraId="2F4B39F9" w14:textId="2692DB71" w:rsidR="00B62359" w:rsidRPr="004B3072" w:rsidRDefault="00B62359" w:rsidP="003C3797">
      <w:pPr>
        <w:ind w:firstLine="426"/>
        <w:jc w:val="both"/>
        <w:rPr>
          <w:rFonts w:asciiTheme="majorHAnsi" w:eastAsia="Calibri" w:hAnsiTheme="majorHAnsi"/>
          <w:szCs w:val="20"/>
        </w:rPr>
      </w:pPr>
      <w:r w:rsidRPr="004B3072">
        <w:rPr>
          <w:rFonts w:asciiTheme="majorHAnsi" w:hAnsiTheme="majorHAnsi"/>
          <w:i/>
          <w:szCs w:val="20"/>
        </w:rPr>
        <w:t>RECONNAISSANT</w:t>
      </w:r>
      <w:r w:rsidRPr="004B3072">
        <w:rPr>
          <w:rFonts w:asciiTheme="majorHAnsi" w:hAnsiTheme="majorHAnsi"/>
          <w:szCs w:val="20"/>
        </w:rPr>
        <w:t xml:space="preserve"> que la première réunion du </w:t>
      </w:r>
      <w:r w:rsidR="009C1201" w:rsidRPr="004B3072">
        <w:rPr>
          <w:rFonts w:asciiTheme="majorHAnsi" w:hAnsiTheme="majorHAnsi"/>
          <w:szCs w:val="20"/>
        </w:rPr>
        <w:t xml:space="preserve">Groupe de travail permanent dédié au dialogue entre halieutes et gestionnaires des pêcheries (SWGSM) </w:t>
      </w:r>
      <w:r w:rsidRPr="004B3072">
        <w:rPr>
          <w:rFonts w:asciiTheme="majorHAnsi" w:hAnsiTheme="majorHAnsi"/>
          <w:szCs w:val="20"/>
        </w:rPr>
        <w:t>a constitué une étape importante pour faciliter le dialogue entre les scie</w:t>
      </w:r>
      <w:r w:rsidR="00212B4D" w:rsidRPr="004B3072">
        <w:rPr>
          <w:rFonts w:asciiTheme="majorHAnsi" w:hAnsiTheme="majorHAnsi"/>
          <w:szCs w:val="20"/>
        </w:rPr>
        <w:t>ntifiques et les gestionnaires ;</w:t>
      </w:r>
    </w:p>
    <w:p w14:paraId="73FBCBF6" w14:textId="77777777" w:rsidR="00917C25" w:rsidRPr="004B3072" w:rsidRDefault="00917C25" w:rsidP="003C3797">
      <w:pPr>
        <w:ind w:firstLine="426"/>
        <w:jc w:val="both"/>
        <w:rPr>
          <w:rFonts w:asciiTheme="majorHAnsi" w:eastAsia="Calibri" w:hAnsiTheme="majorHAnsi"/>
          <w:szCs w:val="20"/>
        </w:rPr>
      </w:pPr>
    </w:p>
    <w:p w14:paraId="1DCC99A6" w14:textId="007771C4" w:rsidR="00B62359" w:rsidRPr="004B3072" w:rsidRDefault="00B62359" w:rsidP="003C3797">
      <w:pPr>
        <w:ind w:firstLine="426"/>
        <w:jc w:val="both"/>
        <w:rPr>
          <w:rFonts w:asciiTheme="majorHAnsi" w:eastAsia="Calibri" w:hAnsiTheme="majorHAnsi"/>
          <w:szCs w:val="20"/>
        </w:rPr>
      </w:pPr>
      <w:r w:rsidRPr="004B3072">
        <w:rPr>
          <w:rFonts w:asciiTheme="majorHAnsi" w:hAnsiTheme="majorHAnsi"/>
          <w:i/>
          <w:szCs w:val="20"/>
        </w:rPr>
        <w:t>CONSTATANT</w:t>
      </w:r>
      <w:r w:rsidRPr="004B3072">
        <w:rPr>
          <w:rFonts w:asciiTheme="majorHAnsi" w:hAnsiTheme="majorHAnsi"/>
          <w:szCs w:val="20"/>
        </w:rPr>
        <w:t xml:space="preserve"> que le SCRS </w:t>
      </w:r>
      <w:r w:rsidR="0028704A" w:rsidRPr="004B3072">
        <w:rPr>
          <w:rFonts w:asciiTheme="majorHAnsi" w:hAnsiTheme="majorHAnsi"/>
          <w:szCs w:val="20"/>
        </w:rPr>
        <w:t xml:space="preserve">et la Commission </w:t>
      </w:r>
      <w:r w:rsidRPr="004B3072">
        <w:rPr>
          <w:rFonts w:asciiTheme="majorHAnsi" w:hAnsiTheme="majorHAnsi"/>
          <w:szCs w:val="20"/>
        </w:rPr>
        <w:t>appuie</w:t>
      </w:r>
      <w:r w:rsidR="0028704A" w:rsidRPr="004B3072">
        <w:rPr>
          <w:rFonts w:asciiTheme="majorHAnsi" w:hAnsiTheme="majorHAnsi"/>
          <w:szCs w:val="20"/>
        </w:rPr>
        <w:t>nt</w:t>
      </w:r>
      <w:r w:rsidRPr="004B3072">
        <w:rPr>
          <w:rFonts w:asciiTheme="majorHAnsi" w:hAnsiTheme="majorHAnsi"/>
          <w:szCs w:val="20"/>
        </w:rPr>
        <w:t xml:space="preserve"> fermement la po</w:t>
      </w:r>
      <w:r w:rsidR="00212B4D" w:rsidRPr="004B3072">
        <w:rPr>
          <w:rFonts w:asciiTheme="majorHAnsi" w:hAnsiTheme="majorHAnsi"/>
          <w:szCs w:val="20"/>
        </w:rPr>
        <w:t>ursuite de cette initiative ;</w:t>
      </w:r>
    </w:p>
    <w:p w14:paraId="37FAD39E" w14:textId="77777777" w:rsidR="00AA60C1" w:rsidRPr="004B3072" w:rsidRDefault="00AA60C1" w:rsidP="003C3797">
      <w:pPr>
        <w:ind w:firstLine="426"/>
        <w:jc w:val="both"/>
        <w:rPr>
          <w:rFonts w:asciiTheme="majorHAnsi" w:eastAsia="Calibri" w:hAnsiTheme="majorHAnsi"/>
          <w:szCs w:val="20"/>
        </w:rPr>
      </w:pPr>
    </w:p>
    <w:p w14:paraId="294723C6" w14:textId="4EC15AD9" w:rsidR="00FC3248" w:rsidRPr="004B3072" w:rsidRDefault="00FC3248" w:rsidP="003C3797">
      <w:pPr>
        <w:ind w:firstLine="426"/>
        <w:jc w:val="both"/>
        <w:rPr>
          <w:rFonts w:asciiTheme="majorHAnsi" w:hAnsiTheme="majorHAnsi"/>
          <w:szCs w:val="20"/>
        </w:rPr>
      </w:pPr>
      <w:r w:rsidRPr="004B3072">
        <w:rPr>
          <w:rFonts w:asciiTheme="majorHAnsi" w:hAnsiTheme="majorHAnsi"/>
          <w:i/>
          <w:szCs w:val="20"/>
        </w:rPr>
        <w:t>CONSTATANT EN OUTRE</w:t>
      </w:r>
      <w:r w:rsidRPr="004B3072">
        <w:rPr>
          <w:rFonts w:asciiTheme="majorHAnsi" w:hAnsiTheme="majorHAnsi"/>
          <w:szCs w:val="20"/>
        </w:rPr>
        <w:t xml:space="preserve"> que le développement de règles de contrôle de l'exploitation et l'application de l'évaluation de la stratégie de gestion aux pêcheries rele</w:t>
      </w:r>
      <w:r w:rsidR="006A4735" w:rsidRPr="004B3072">
        <w:rPr>
          <w:rFonts w:asciiTheme="majorHAnsi" w:hAnsiTheme="majorHAnsi"/>
          <w:szCs w:val="20"/>
        </w:rPr>
        <w:t xml:space="preserve">vant de l’ICCAT dépendent de l’apport </w:t>
      </w:r>
      <w:r w:rsidRPr="004B3072">
        <w:rPr>
          <w:rFonts w:asciiTheme="majorHAnsi" w:hAnsiTheme="majorHAnsi"/>
          <w:szCs w:val="20"/>
        </w:rPr>
        <w:t>et de l'orientation des gest</w:t>
      </w:r>
      <w:r w:rsidR="00212B4D" w:rsidRPr="004B3072">
        <w:rPr>
          <w:rFonts w:asciiTheme="majorHAnsi" w:hAnsiTheme="majorHAnsi"/>
          <w:szCs w:val="20"/>
        </w:rPr>
        <w:t>ionnaires des pêcheries ;</w:t>
      </w:r>
    </w:p>
    <w:p w14:paraId="136726DA" w14:textId="77777777" w:rsidR="0028704A" w:rsidRPr="004B3072" w:rsidRDefault="0028704A" w:rsidP="003C3797">
      <w:pPr>
        <w:ind w:firstLine="426"/>
        <w:jc w:val="both"/>
        <w:rPr>
          <w:rFonts w:asciiTheme="majorHAnsi" w:hAnsiTheme="majorHAnsi"/>
          <w:szCs w:val="20"/>
        </w:rPr>
      </w:pPr>
    </w:p>
    <w:p w14:paraId="15FDC77C" w14:textId="4F7AC7BF" w:rsidR="0028704A" w:rsidRPr="004B3072" w:rsidRDefault="0028704A" w:rsidP="0028704A">
      <w:pPr>
        <w:ind w:firstLine="426"/>
        <w:jc w:val="both"/>
        <w:rPr>
          <w:rFonts w:asciiTheme="majorHAnsi" w:hAnsiTheme="majorHAnsi"/>
          <w:szCs w:val="20"/>
        </w:rPr>
      </w:pPr>
      <w:r w:rsidRPr="004B3072">
        <w:rPr>
          <w:rFonts w:asciiTheme="majorHAnsi" w:hAnsiTheme="majorHAnsi"/>
          <w:i/>
          <w:iCs/>
          <w:szCs w:val="20"/>
        </w:rPr>
        <w:t>RAPPELANT</w:t>
      </w:r>
      <w:r w:rsidRPr="004B3072">
        <w:rPr>
          <w:rFonts w:asciiTheme="majorHAnsi" w:hAnsiTheme="majorHAnsi"/>
          <w:szCs w:val="20"/>
        </w:rPr>
        <w:t xml:space="preserve"> l'examen du Plan stratégique pour la science du SCRS </w:t>
      </w:r>
      <w:r w:rsidR="00E43F8A" w:rsidRPr="004B3072">
        <w:rPr>
          <w:rFonts w:asciiTheme="majorHAnsi" w:hAnsiTheme="majorHAnsi"/>
          <w:szCs w:val="20"/>
        </w:rPr>
        <w:t>au titre de</w:t>
      </w:r>
      <w:r w:rsidRPr="004B3072">
        <w:rPr>
          <w:rFonts w:asciiTheme="majorHAnsi" w:hAnsiTheme="majorHAnsi"/>
          <w:szCs w:val="20"/>
        </w:rPr>
        <w:t xml:space="preserve"> 2015-2020 ;</w:t>
      </w:r>
    </w:p>
    <w:p w14:paraId="43DA8E34" w14:textId="77777777" w:rsidR="0028704A" w:rsidRPr="004B3072" w:rsidRDefault="0028704A" w:rsidP="0028704A">
      <w:pPr>
        <w:ind w:firstLine="426"/>
        <w:jc w:val="both"/>
        <w:rPr>
          <w:rFonts w:asciiTheme="majorHAnsi" w:hAnsiTheme="majorHAnsi"/>
          <w:szCs w:val="20"/>
        </w:rPr>
      </w:pPr>
    </w:p>
    <w:p w14:paraId="761770C3" w14:textId="12D0EA3F" w:rsidR="0028704A" w:rsidRPr="004B3072" w:rsidRDefault="0028704A" w:rsidP="0028704A">
      <w:pPr>
        <w:ind w:firstLine="426"/>
        <w:jc w:val="both"/>
        <w:rPr>
          <w:rFonts w:asciiTheme="majorHAnsi" w:hAnsiTheme="majorHAnsi"/>
          <w:szCs w:val="20"/>
        </w:rPr>
      </w:pPr>
      <w:r w:rsidRPr="004B3072">
        <w:rPr>
          <w:rFonts w:asciiTheme="majorHAnsi" w:hAnsiTheme="majorHAnsi"/>
          <w:i/>
          <w:iCs/>
          <w:szCs w:val="20"/>
        </w:rPr>
        <w:t>RECONNAISSANT</w:t>
      </w:r>
      <w:r w:rsidRPr="004B3072">
        <w:rPr>
          <w:rFonts w:asciiTheme="majorHAnsi" w:hAnsiTheme="majorHAnsi"/>
          <w:szCs w:val="20"/>
        </w:rPr>
        <w:t xml:space="preserve"> les travaux d</w:t>
      </w:r>
      <w:r w:rsidR="00BB580F" w:rsidRPr="004B3072">
        <w:rPr>
          <w:rFonts w:asciiTheme="majorHAnsi" w:hAnsiTheme="majorHAnsi"/>
          <w:szCs w:val="20"/>
        </w:rPr>
        <w:t xml:space="preserve">e l’atelier </w:t>
      </w:r>
      <w:r w:rsidRPr="004B3072">
        <w:rPr>
          <w:rFonts w:asciiTheme="majorHAnsi" w:hAnsiTheme="majorHAnsi"/>
          <w:szCs w:val="20"/>
        </w:rPr>
        <w:t xml:space="preserve">du SCRS de mars 2024 visant à préparer le Plan stratégique pour la science du SCRS </w:t>
      </w:r>
      <w:r w:rsidR="00E43F8A" w:rsidRPr="004B3072">
        <w:rPr>
          <w:rFonts w:asciiTheme="majorHAnsi" w:hAnsiTheme="majorHAnsi"/>
          <w:szCs w:val="20"/>
        </w:rPr>
        <w:t>au titre de</w:t>
      </w:r>
      <w:r w:rsidRPr="004B3072">
        <w:rPr>
          <w:rFonts w:asciiTheme="majorHAnsi" w:hAnsiTheme="majorHAnsi"/>
          <w:szCs w:val="20"/>
        </w:rPr>
        <w:t xml:space="preserve"> 2026-2031</w:t>
      </w:r>
      <w:r w:rsidR="00E43F8A" w:rsidRPr="004B3072">
        <w:rPr>
          <w:rFonts w:asciiTheme="majorHAnsi" w:hAnsiTheme="majorHAnsi"/>
          <w:szCs w:val="20"/>
        </w:rPr>
        <w:t> ;</w:t>
      </w:r>
    </w:p>
    <w:p w14:paraId="04FD4598" w14:textId="77777777" w:rsidR="003C3797" w:rsidRPr="004B3072" w:rsidRDefault="003C3797" w:rsidP="003C3797">
      <w:pPr>
        <w:ind w:firstLine="426"/>
        <w:jc w:val="both"/>
        <w:rPr>
          <w:rFonts w:asciiTheme="majorHAnsi" w:hAnsiTheme="majorHAnsi"/>
          <w:szCs w:val="20"/>
        </w:rPr>
      </w:pPr>
    </w:p>
    <w:p w14:paraId="482CFCB8" w14:textId="46698ACF" w:rsidR="003C3797" w:rsidRPr="004B3072" w:rsidRDefault="003C3797" w:rsidP="003C3797">
      <w:pPr>
        <w:ind w:firstLine="426"/>
        <w:jc w:val="both"/>
        <w:rPr>
          <w:rFonts w:asciiTheme="majorHAnsi" w:eastAsia="Calibri" w:hAnsiTheme="majorHAnsi"/>
          <w:szCs w:val="20"/>
        </w:rPr>
      </w:pPr>
      <w:r w:rsidRPr="004B3072">
        <w:rPr>
          <w:rFonts w:asciiTheme="majorHAnsi" w:eastAsia="Calibri" w:hAnsiTheme="majorHAnsi"/>
          <w:i/>
          <w:iCs/>
          <w:szCs w:val="20"/>
        </w:rPr>
        <w:lastRenderedPageBreak/>
        <w:t>RAPPELANT</w:t>
      </w:r>
      <w:r w:rsidRPr="004B3072">
        <w:rPr>
          <w:rFonts w:asciiTheme="majorHAnsi" w:eastAsia="Calibri" w:hAnsiTheme="majorHAnsi"/>
          <w:szCs w:val="20"/>
        </w:rPr>
        <w:t xml:space="preserve"> la </w:t>
      </w:r>
      <w:r w:rsidRPr="004B3072">
        <w:rPr>
          <w:rFonts w:asciiTheme="majorHAnsi" w:eastAsia="Calibri" w:hAnsiTheme="majorHAnsi"/>
          <w:i/>
          <w:iCs/>
          <w:szCs w:val="20"/>
        </w:rPr>
        <w:t>Résolution de l'ICCAT sur le changement climatique</w:t>
      </w:r>
      <w:r w:rsidRPr="004B3072">
        <w:rPr>
          <w:rFonts w:asciiTheme="majorHAnsi" w:eastAsia="Calibri" w:hAnsiTheme="majorHAnsi"/>
          <w:szCs w:val="20"/>
        </w:rPr>
        <w:t xml:space="preserve"> (Rés. 22-13), la </w:t>
      </w:r>
      <w:r w:rsidR="006234A7" w:rsidRPr="004B3072">
        <w:rPr>
          <w:rFonts w:asciiTheme="majorHAnsi" w:eastAsia="Calibri" w:hAnsiTheme="majorHAnsi"/>
          <w:i/>
          <w:iCs/>
          <w:szCs w:val="20"/>
        </w:rPr>
        <w:t xml:space="preserve">Résolution de l’ICCAT concernant les prochaines étapes du Groupe conjoint d'experts sur le changement climatique en 2024 </w:t>
      </w:r>
      <w:r w:rsidRPr="004B3072">
        <w:rPr>
          <w:rFonts w:asciiTheme="majorHAnsi" w:eastAsia="Calibri" w:hAnsiTheme="majorHAnsi"/>
          <w:szCs w:val="20"/>
        </w:rPr>
        <w:t xml:space="preserve">(Rés. 23-19), et les conversations </w:t>
      </w:r>
      <w:r w:rsidR="006234A7" w:rsidRPr="004B3072">
        <w:rPr>
          <w:rFonts w:asciiTheme="majorHAnsi" w:eastAsia="Calibri" w:hAnsiTheme="majorHAnsi"/>
          <w:szCs w:val="20"/>
        </w:rPr>
        <w:t xml:space="preserve">tenues lors des </w:t>
      </w:r>
      <w:r w:rsidR="009C07F7" w:rsidRPr="004B3072">
        <w:rPr>
          <w:rFonts w:asciiTheme="majorHAnsi" w:eastAsia="Calibri" w:hAnsiTheme="majorHAnsi"/>
          <w:szCs w:val="20"/>
        </w:rPr>
        <w:t>r</w:t>
      </w:r>
      <w:r w:rsidRPr="004B3072">
        <w:rPr>
          <w:rFonts w:asciiTheme="majorHAnsi" w:eastAsia="Calibri" w:hAnsiTheme="majorHAnsi"/>
          <w:szCs w:val="20"/>
        </w:rPr>
        <w:t xml:space="preserve">éunions </w:t>
      </w:r>
      <w:r w:rsidR="00854D5F" w:rsidRPr="004B3072">
        <w:rPr>
          <w:rFonts w:asciiTheme="majorHAnsi" w:eastAsia="Calibri" w:hAnsiTheme="majorHAnsi"/>
          <w:szCs w:val="20"/>
        </w:rPr>
        <w:t xml:space="preserve">des groupes </w:t>
      </w:r>
      <w:r w:rsidRPr="004B3072">
        <w:rPr>
          <w:rFonts w:asciiTheme="majorHAnsi" w:eastAsia="Calibri" w:hAnsiTheme="majorHAnsi"/>
          <w:szCs w:val="20"/>
        </w:rPr>
        <w:t>conjoin</w:t>
      </w:r>
      <w:r w:rsidR="00854D5F" w:rsidRPr="004B3072">
        <w:rPr>
          <w:rFonts w:asciiTheme="majorHAnsi" w:eastAsia="Calibri" w:hAnsiTheme="majorHAnsi"/>
          <w:szCs w:val="20"/>
        </w:rPr>
        <w:t>t</w:t>
      </w:r>
      <w:r w:rsidRPr="004B3072">
        <w:rPr>
          <w:rFonts w:asciiTheme="majorHAnsi" w:eastAsia="Calibri" w:hAnsiTheme="majorHAnsi"/>
          <w:szCs w:val="20"/>
        </w:rPr>
        <w:t xml:space="preserve">s d'experts en 2023 et 2024 qui ont </w:t>
      </w:r>
      <w:r w:rsidR="006234A7" w:rsidRPr="004B3072">
        <w:rPr>
          <w:rFonts w:asciiTheme="majorHAnsi" w:eastAsia="Calibri" w:hAnsiTheme="majorHAnsi"/>
          <w:szCs w:val="20"/>
        </w:rPr>
        <w:t>mis en évidence</w:t>
      </w:r>
      <w:r w:rsidRPr="004B3072">
        <w:rPr>
          <w:rFonts w:asciiTheme="majorHAnsi" w:eastAsia="Calibri" w:hAnsiTheme="majorHAnsi"/>
          <w:szCs w:val="20"/>
        </w:rPr>
        <w:t xml:space="preserve"> la nécessité d'une communication et d'une coordination étroites entre la Commission et le SCRS sur les questions liées au changement climatique</w:t>
      </w:r>
      <w:r w:rsidR="00B467F4" w:rsidRPr="004B3072">
        <w:rPr>
          <w:rFonts w:asciiTheme="majorHAnsi" w:eastAsia="Calibri" w:hAnsiTheme="majorHAnsi"/>
          <w:szCs w:val="20"/>
        </w:rPr>
        <w:t> ;</w:t>
      </w:r>
    </w:p>
    <w:p w14:paraId="00E7FDEF" w14:textId="77777777" w:rsidR="003C3797" w:rsidRPr="004B3072" w:rsidRDefault="003C3797" w:rsidP="003C3797">
      <w:pPr>
        <w:ind w:firstLine="340"/>
        <w:jc w:val="both"/>
        <w:rPr>
          <w:rFonts w:asciiTheme="majorHAnsi" w:eastAsia="Calibri" w:hAnsiTheme="majorHAnsi"/>
          <w:szCs w:val="20"/>
        </w:rPr>
      </w:pPr>
    </w:p>
    <w:p w14:paraId="4F318DAF" w14:textId="56853E39" w:rsidR="0028704A" w:rsidRPr="004B3072" w:rsidRDefault="0028704A" w:rsidP="003C3797">
      <w:pPr>
        <w:ind w:firstLine="340"/>
        <w:jc w:val="both"/>
        <w:rPr>
          <w:rFonts w:asciiTheme="majorHAnsi" w:eastAsia="Calibri" w:hAnsiTheme="majorHAnsi"/>
          <w:szCs w:val="20"/>
        </w:rPr>
      </w:pPr>
      <w:r w:rsidRPr="004B3072">
        <w:rPr>
          <w:rFonts w:asciiTheme="majorHAnsi" w:eastAsia="Calibri" w:hAnsiTheme="majorHAnsi"/>
          <w:i/>
          <w:iCs/>
          <w:szCs w:val="20"/>
        </w:rPr>
        <w:t>RAPPELANT</w:t>
      </w:r>
      <w:r w:rsidRPr="004B3072">
        <w:rPr>
          <w:rFonts w:asciiTheme="majorHAnsi" w:eastAsia="Calibri" w:hAnsiTheme="majorHAnsi"/>
          <w:szCs w:val="20"/>
        </w:rPr>
        <w:t xml:space="preserve"> </w:t>
      </w:r>
      <w:r w:rsidRPr="004B3072">
        <w:rPr>
          <w:rFonts w:asciiTheme="majorHAnsi" w:eastAsia="Calibri" w:hAnsiTheme="majorHAnsi"/>
          <w:i/>
          <w:iCs/>
          <w:szCs w:val="20"/>
        </w:rPr>
        <w:t>ÉGALEMENT</w:t>
      </w:r>
      <w:r w:rsidRPr="004B3072">
        <w:rPr>
          <w:rFonts w:asciiTheme="majorHAnsi" w:eastAsia="Calibri" w:hAnsiTheme="majorHAnsi"/>
          <w:szCs w:val="20"/>
        </w:rPr>
        <w:t xml:space="preserve"> la </w:t>
      </w:r>
      <w:r w:rsidRPr="004B3072">
        <w:rPr>
          <w:rFonts w:asciiTheme="majorHAnsi" w:eastAsia="Calibri" w:hAnsiTheme="majorHAnsi"/>
          <w:i/>
          <w:iCs/>
          <w:szCs w:val="20"/>
        </w:rPr>
        <w:t>Résolution de l’ICCAT concernant la mise en œuvre d’instruments de conservation de la biodiversité</w:t>
      </w:r>
      <w:r w:rsidRPr="004B3072">
        <w:rPr>
          <w:rFonts w:asciiTheme="majorHAnsi" w:eastAsia="Calibri" w:hAnsiTheme="majorHAnsi"/>
          <w:szCs w:val="20"/>
        </w:rPr>
        <w:t xml:space="preserve"> (Rés. 23-23) ; </w:t>
      </w:r>
    </w:p>
    <w:p w14:paraId="4A49214D" w14:textId="50B0F795" w:rsidR="006234A7" w:rsidRPr="004B3072" w:rsidRDefault="006234A7">
      <w:pPr>
        <w:spacing w:after="200" w:line="276" w:lineRule="auto"/>
        <w:rPr>
          <w:rFonts w:asciiTheme="majorHAnsi" w:hAnsiTheme="majorHAnsi"/>
          <w:szCs w:val="20"/>
        </w:rPr>
      </w:pPr>
    </w:p>
    <w:p w14:paraId="501E1080" w14:textId="5A1DF4E7" w:rsidR="005736A0" w:rsidRPr="004B3072" w:rsidRDefault="005736A0" w:rsidP="005736A0">
      <w:pPr>
        <w:jc w:val="center"/>
        <w:rPr>
          <w:rFonts w:asciiTheme="majorHAnsi" w:eastAsia="Calibri" w:hAnsiTheme="majorHAnsi"/>
          <w:szCs w:val="20"/>
        </w:rPr>
      </w:pPr>
      <w:r w:rsidRPr="004B3072">
        <w:rPr>
          <w:rFonts w:asciiTheme="majorHAnsi" w:hAnsiTheme="majorHAnsi"/>
          <w:szCs w:val="20"/>
        </w:rPr>
        <w:t>LA COMMISSION INTERNATIONALE POUR LA CONSERVATION DES</w:t>
      </w:r>
    </w:p>
    <w:p w14:paraId="2C6BEED2" w14:textId="77777777" w:rsidR="005736A0" w:rsidRPr="004B3072" w:rsidRDefault="005736A0" w:rsidP="005736A0">
      <w:pPr>
        <w:jc w:val="center"/>
        <w:rPr>
          <w:rFonts w:asciiTheme="majorHAnsi" w:eastAsia="Calibri" w:hAnsiTheme="majorHAnsi"/>
          <w:szCs w:val="20"/>
        </w:rPr>
      </w:pPr>
      <w:r w:rsidRPr="004B3072">
        <w:rPr>
          <w:rFonts w:asciiTheme="majorHAnsi" w:hAnsiTheme="majorHAnsi"/>
          <w:szCs w:val="20"/>
        </w:rPr>
        <w:t>THONIDÉS DE L’ATLANTIQUE (ICCAT) RECOMMANDE CE QUI SUIT :</w:t>
      </w:r>
    </w:p>
    <w:p w14:paraId="43B5AC7B" w14:textId="77777777" w:rsidR="005736A0" w:rsidRPr="004B3072" w:rsidRDefault="005736A0" w:rsidP="005736A0">
      <w:pPr>
        <w:jc w:val="center"/>
        <w:rPr>
          <w:rFonts w:asciiTheme="majorHAnsi" w:eastAsia="Calibri" w:hAnsiTheme="majorHAnsi"/>
          <w:smallCaps/>
          <w:szCs w:val="20"/>
        </w:rPr>
      </w:pPr>
    </w:p>
    <w:p w14:paraId="2BA6BB62" w14:textId="7F82A3FD" w:rsidR="005736A0" w:rsidRPr="004B3072" w:rsidRDefault="005736A0" w:rsidP="006234A7">
      <w:pPr>
        <w:numPr>
          <w:ilvl w:val="0"/>
          <w:numId w:val="1"/>
        </w:numPr>
        <w:ind w:left="426" w:hanging="426"/>
        <w:jc w:val="both"/>
        <w:rPr>
          <w:rFonts w:asciiTheme="majorHAnsi" w:eastAsia="Calibri" w:hAnsiTheme="majorHAnsi"/>
          <w:szCs w:val="20"/>
        </w:rPr>
      </w:pPr>
      <w:r w:rsidRPr="004B3072">
        <w:rPr>
          <w:rFonts w:asciiTheme="majorHAnsi" w:hAnsiTheme="majorHAnsi"/>
          <w:szCs w:val="20"/>
        </w:rPr>
        <w:t xml:space="preserve">Un </w:t>
      </w:r>
      <w:r w:rsidR="00F5737D" w:rsidRPr="004B3072">
        <w:rPr>
          <w:rFonts w:asciiTheme="majorHAnsi" w:hAnsiTheme="majorHAnsi"/>
          <w:szCs w:val="20"/>
        </w:rPr>
        <w:t xml:space="preserve">Groupe </w:t>
      </w:r>
      <w:r w:rsidRPr="004B3072">
        <w:rPr>
          <w:rFonts w:asciiTheme="majorHAnsi" w:hAnsiTheme="majorHAnsi"/>
          <w:szCs w:val="20"/>
        </w:rPr>
        <w:t xml:space="preserve">de travail permanent </w:t>
      </w:r>
      <w:r w:rsidR="003372C3" w:rsidRPr="004B3072">
        <w:rPr>
          <w:rFonts w:asciiTheme="majorHAnsi" w:hAnsiTheme="majorHAnsi"/>
          <w:szCs w:val="20"/>
        </w:rPr>
        <w:t>sur le</w:t>
      </w:r>
      <w:r w:rsidRPr="004B3072">
        <w:rPr>
          <w:rFonts w:asciiTheme="majorHAnsi" w:hAnsiTheme="majorHAnsi"/>
          <w:szCs w:val="20"/>
        </w:rPr>
        <w:t xml:space="preserve"> dialogue entre halieutes et gestionnaires des pêcheries (SWGSM) est établi dans le cadre des objectifs et des règles suivantes.</w:t>
      </w:r>
    </w:p>
    <w:p w14:paraId="02D22E1B" w14:textId="77777777" w:rsidR="006234A7" w:rsidRPr="004B3072" w:rsidRDefault="006234A7" w:rsidP="006234A7">
      <w:pPr>
        <w:ind w:left="426" w:hanging="426"/>
        <w:jc w:val="both"/>
        <w:rPr>
          <w:rFonts w:asciiTheme="majorHAnsi" w:eastAsia="Calibri" w:hAnsiTheme="majorHAnsi"/>
          <w:szCs w:val="20"/>
        </w:rPr>
      </w:pPr>
    </w:p>
    <w:p w14:paraId="0D8202E2" w14:textId="77777777" w:rsidR="0028704A" w:rsidRPr="004B3072" w:rsidRDefault="005736A0" w:rsidP="006234A7">
      <w:pPr>
        <w:numPr>
          <w:ilvl w:val="0"/>
          <w:numId w:val="1"/>
        </w:numPr>
        <w:ind w:left="426" w:hanging="426"/>
        <w:jc w:val="both"/>
        <w:rPr>
          <w:rFonts w:asciiTheme="majorHAnsi" w:eastAsia="Calibri" w:hAnsiTheme="majorHAnsi"/>
          <w:szCs w:val="20"/>
        </w:rPr>
      </w:pPr>
      <w:r w:rsidRPr="004B3072">
        <w:rPr>
          <w:rFonts w:asciiTheme="majorHAnsi" w:hAnsiTheme="majorHAnsi"/>
          <w:szCs w:val="20"/>
        </w:rPr>
        <w:t xml:space="preserve">L'objectif du SWGSM vise à améliorer la communication et à favoriser la compréhension mutuelle entre les gestionnaires des pêcheries et les halieutes, en établissant une enceinte afin de mettre en commun les opinions et appuyer le développement et la mise en </w:t>
      </w:r>
      <w:r w:rsidR="006763D5" w:rsidRPr="004B3072">
        <w:rPr>
          <w:rFonts w:asciiTheme="majorHAnsi" w:hAnsiTheme="majorHAnsi"/>
          <w:szCs w:val="20"/>
        </w:rPr>
        <w:t>œuvre</w:t>
      </w:r>
      <w:r w:rsidRPr="004B3072">
        <w:rPr>
          <w:rFonts w:asciiTheme="majorHAnsi" w:hAnsiTheme="majorHAnsi"/>
          <w:szCs w:val="20"/>
        </w:rPr>
        <w:t xml:space="preserve"> effective de </w:t>
      </w:r>
      <w:r w:rsidR="006234A7" w:rsidRPr="004B3072">
        <w:rPr>
          <w:rFonts w:asciiTheme="majorHAnsi" w:hAnsiTheme="majorHAnsi"/>
          <w:szCs w:val="20"/>
        </w:rPr>
        <w:t>mesures de gestion et de travaux scientifiques liés aux questions transversales, y compris, entre autres</w:t>
      </w:r>
      <w:r w:rsidR="0028704A" w:rsidRPr="004B3072">
        <w:rPr>
          <w:rFonts w:asciiTheme="majorHAnsi" w:hAnsiTheme="majorHAnsi"/>
          <w:szCs w:val="20"/>
        </w:rPr>
        <w:t> :</w:t>
      </w:r>
    </w:p>
    <w:p w14:paraId="4FCF35A6" w14:textId="77777777" w:rsidR="0028704A" w:rsidRPr="004B3072" w:rsidRDefault="0028704A" w:rsidP="0028704A">
      <w:pPr>
        <w:ind w:left="426"/>
        <w:jc w:val="both"/>
        <w:rPr>
          <w:rFonts w:asciiTheme="majorHAnsi" w:eastAsia="Calibri" w:hAnsiTheme="majorHAnsi"/>
          <w:szCs w:val="20"/>
        </w:rPr>
      </w:pPr>
    </w:p>
    <w:p w14:paraId="4412C324" w14:textId="607954EF" w:rsidR="0028704A" w:rsidRPr="004B3072" w:rsidRDefault="0028704A" w:rsidP="0028704A">
      <w:pPr>
        <w:pStyle w:val="ListParagraph"/>
        <w:numPr>
          <w:ilvl w:val="0"/>
          <w:numId w:val="8"/>
        </w:numPr>
        <w:jc w:val="both"/>
        <w:rPr>
          <w:rFonts w:asciiTheme="majorHAnsi" w:eastAsia="Calibri" w:hAnsiTheme="majorHAnsi"/>
          <w:szCs w:val="20"/>
        </w:rPr>
      </w:pPr>
      <w:r w:rsidRPr="004B3072">
        <w:rPr>
          <w:rFonts w:asciiTheme="majorHAnsi" w:eastAsia="Calibri" w:hAnsiTheme="majorHAnsi"/>
          <w:szCs w:val="20"/>
        </w:rPr>
        <w:t xml:space="preserve">l'établissement de priorités </w:t>
      </w:r>
      <w:r w:rsidR="00F5737D" w:rsidRPr="004B3072">
        <w:rPr>
          <w:rFonts w:asciiTheme="majorHAnsi" w:eastAsia="Calibri" w:hAnsiTheme="majorHAnsi"/>
          <w:szCs w:val="20"/>
        </w:rPr>
        <w:t xml:space="preserve">des </w:t>
      </w:r>
      <w:r w:rsidRPr="004B3072">
        <w:rPr>
          <w:rFonts w:asciiTheme="majorHAnsi" w:eastAsia="Calibri" w:hAnsiTheme="majorHAnsi"/>
          <w:szCs w:val="20"/>
        </w:rPr>
        <w:t>travaux du SCRS, y compris l'utilisation efficace des ressources, l'élaboration du programme de travail annuel du SCRS et du plan stratégique pour la science du SCRS,</w:t>
      </w:r>
    </w:p>
    <w:p w14:paraId="55FC8048" w14:textId="77777777" w:rsidR="0028704A" w:rsidRPr="004B3072" w:rsidRDefault="006234A7" w:rsidP="0028704A">
      <w:pPr>
        <w:pStyle w:val="ListParagraph"/>
        <w:numPr>
          <w:ilvl w:val="0"/>
          <w:numId w:val="8"/>
        </w:numPr>
        <w:jc w:val="both"/>
        <w:rPr>
          <w:rFonts w:asciiTheme="majorHAnsi" w:eastAsia="Calibri" w:hAnsiTheme="majorHAnsi"/>
          <w:szCs w:val="20"/>
        </w:rPr>
      </w:pPr>
      <w:r w:rsidRPr="004B3072">
        <w:rPr>
          <w:rFonts w:asciiTheme="majorHAnsi" w:hAnsiTheme="majorHAnsi"/>
          <w:szCs w:val="20"/>
        </w:rPr>
        <w:t>l'élaboration de stratégies de gestion,</w:t>
      </w:r>
    </w:p>
    <w:p w14:paraId="14629FB7" w14:textId="77777777" w:rsidR="0028704A" w:rsidRPr="004B3072" w:rsidRDefault="006234A7" w:rsidP="0028704A">
      <w:pPr>
        <w:pStyle w:val="ListParagraph"/>
        <w:numPr>
          <w:ilvl w:val="0"/>
          <w:numId w:val="8"/>
        </w:numPr>
        <w:jc w:val="both"/>
        <w:rPr>
          <w:rFonts w:asciiTheme="majorHAnsi" w:eastAsia="Calibri" w:hAnsiTheme="majorHAnsi"/>
          <w:szCs w:val="20"/>
        </w:rPr>
      </w:pPr>
      <w:r w:rsidRPr="004B3072">
        <w:rPr>
          <w:rFonts w:asciiTheme="majorHAnsi" w:hAnsiTheme="majorHAnsi"/>
          <w:szCs w:val="20"/>
        </w:rPr>
        <w:t>la mise en œuvre de l'approche écosystémique à la gestion des pêches,</w:t>
      </w:r>
    </w:p>
    <w:p w14:paraId="424555BE" w14:textId="57FDE45A" w:rsidR="0028704A" w:rsidRPr="004B3072" w:rsidRDefault="006234A7" w:rsidP="0028704A">
      <w:pPr>
        <w:pStyle w:val="ListParagraph"/>
        <w:numPr>
          <w:ilvl w:val="0"/>
          <w:numId w:val="8"/>
        </w:numPr>
        <w:jc w:val="both"/>
        <w:rPr>
          <w:rFonts w:asciiTheme="majorHAnsi" w:eastAsia="Calibri" w:hAnsiTheme="majorHAnsi"/>
          <w:szCs w:val="20"/>
        </w:rPr>
      </w:pPr>
      <w:r w:rsidRPr="004B3072">
        <w:rPr>
          <w:rFonts w:asciiTheme="majorHAnsi" w:hAnsiTheme="majorHAnsi"/>
          <w:szCs w:val="20"/>
        </w:rPr>
        <w:t>l'inclusion des questions liées au changement climatique dans les travaux de l’ICCAT</w:t>
      </w:r>
      <w:r w:rsidR="00993D0A" w:rsidRPr="004B3072">
        <w:rPr>
          <w:rFonts w:asciiTheme="majorHAnsi" w:hAnsiTheme="majorHAnsi"/>
          <w:szCs w:val="20"/>
        </w:rPr>
        <w:t>,</w:t>
      </w:r>
      <w:r w:rsidRPr="004B3072">
        <w:rPr>
          <w:rFonts w:asciiTheme="majorHAnsi" w:hAnsiTheme="majorHAnsi"/>
          <w:szCs w:val="20"/>
        </w:rPr>
        <w:t xml:space="preserve"> et</w:t>
      </w:r>
    </w:p>
    <w:p w14:paraId="49FF5BBD" w14:textId="60449642" w:rsidR="006234A7" w:rsidRPr="004B3072" w:rsidRDefault="006234A7" w:rsidP="0028704A">
      <w:pPr>
        <w:pStyle w:val="ListParagraph"/>
        <w:numPr>
          <w:ilvl w:val="0"/>
          <w:numId w:val="8"/>
        </w:numPr>
        <w:jc w:val="both"/>
        <w:rPr>
          <w:rFonts w:asciiTheme="majorHAnsi" w:eastAsia="Calibri" w:hAnsiTheme="majorHAnsi"/>
          <w:szCs w:val="20"/>
        </w:rPr>
      </w:pPr>
      <w:r w:rsidRPr="004B3072">
        <w:rPr>
          <w:rFonts w:asciiTheme="majorHAnsi" w:hAnsiTheme="majorHAnsi"/>
          <w:szCs w:val="20"/>
        </w:rPr>
        <w:t xml:space="preserve">la prise en compte des développements plus larges liés à la conservation de la biodiversité. </w:t>
      </w:r>
    </w:p>
    <w:p w14:paraId="0FF472D6" w14:textId="77777777" w:rsidR="006234A7" w:rsidRPr="004B3072" w:rsidRDefault="006234A7" w:rsidP="006234A7">
      <w:pPr>
        <w:rPr>
          <w:rFonts w:asciiTheme="majorHAnsi" w:hAnsiTheme="majorHAnsi"/>
          <w:szCs w:val="20"/>
        </w:rPr>
      </w:pPr>
    </w:p>
    <w:p w14:paraId="1D25EDF9" w14:textId="227F846A" w:rsidR="00E43F8A" w:rsidRPr="004B3072" w:rsidRDefault="00E43F8A" w:rsidP="00E43F8A">
      <w:pPr>
        <w:jc w:val="both"/>
        <w:rPr>
          <w:rFonts w:asciiTheme="majorHAnsi" w:hAnsiTheme="majorHAnsi"/>
          <w:szCs w:val="20"/>
        </w:rPr>
      </w:pPr>
      <w:r w:rsidRPr="004B3072">
        <w:rPr>
          <w:rFonts w:asciiTheme="majorHAnsi" w:hAnsiTheme="majorHAnsi"/>
          <w:szCs w:val="20"/>
        </w:rPr>
        <w:t xml:space="preserve">Le SWGSM </w:t>
      </w:r>
      <w:r w:rsidR="008B1B4D" w:rsidRPr="004B3072">
        <w:rPr>
          <w:rFonts w:asciiTheme="majorHAnsi" w:hAnsiTheme="majorHAnsi"/>
          <w:szCs w:val="20"/>
        </w:rPr>
        <w:t xml:space="preserve">devra </w:t>
      </w:r>
      <w:r w:rsidRPr="004B3072">
        <w:rPr>
          <w:rFonts w:asciiTheme="majorHAnsi" w:hAnsiTheme="majorHAnsi"/>
          <w:szCs w:val="20"/>
        </w:rPr>
        <w:t>formuler, le cas échéant, des recommandations à la Commission et fournira un retour d'information au SCRS.</w:t>
      </w:r>
    </w:p>
    <w:p w14:paraId="1E1DB38B" w14:textId="77777777" w:rsidR="00E43F8A" w:rsidRPr="004B3072" w:rsidRDefault="00E43F8A" w:rsidP="006234A7">
      <w:pPr>
        <w:rPr>
          <w:rFonts w:asciiTheme="majorHAnsi" w:hAnsiTheme="majorHAnsi"/>
          <w:szCs w:val="20"/>
        </w:rPr>
      </w:pPr>
    </w:p>
    <w:p w14:paraId="011EE636" w14:textId="4285C83D" w:rsidR="006234A7" w:rsidRPr="004B3072" w:rsidRDefault="006234A7" w:rsidP="006234A7">
      <w:pPr>
        <w:numPr>
          <w:ilvl w:val="0"/>
          <w:numId w:val="1"/>
        </w:numPr>
        <w:jc w:val="both"/>
        <w:rPr>
          <w:rFonts w:asciiTheme="majorHAnsi" w:hAnsiTheme="majorHAnsi"/>
          <w:szCs w:val="20"/>
        </w:rPr>
      </w:pPr>
      <w:r w:rsidRPr="004B3072">
        <w:rPr>
          <w:rFonts w:asciiTheme="majorHAnsi" w:hAnsiTheme="majorHAnsi"/>
          <w:szCs w:val="20"/>
        </w:rPr>
        <w:t xml:space="preserve">Le </w:t>
      </w:r>
      <w:r w:rsidR="00C73EF8" w:rsidRPr="004B3072">
        <w:rPr>
          <w:rFonts w:asciiTheme="majorHAnsi" w:hAnsiTheme="majorHAnsi"/>
          <w:szCs w:val="20"/>
        </w:rPr>
        <w:t>SWGSM devra</w:t>
      </w:r>
      <w:r w:rsidRPr="004B3072">
        <w:rPr>
          <w:rFonts w:asciiTheme="majorHAnsi" w:hAnsiTheme="majorHAnsi"/>
          <w:szCs w:val="20"/>
        </w:rPr>
        <w:t xml:space="preserve"> s'acquitter de cette tâche, entre autres, par les moyens suivants :</w:t>
      </w:r>
    </w:p>
    <w:p w14:paraId="23BFB595" w14:textId="77777777" w:rsidR="006234A7" w:rsidRPr="004B3072" w:rsidRDefault="006234A7" w:rsidP="006234A7">
      <w:pPr>
        <w:pStyle w:val="ListParagraph"/>
        <w:rPr>
          <w:rFonts w:asciiTheme="majorHAnsi" w:hAnsiTheme="majorHAnsi"/>
          <w:szCs w:val="20"/>
        </w:rPr>
      </w:pPr>
    </w:p>
    <w:p w14:paraId="5F63DE2F" w14:textId="4ABEC963" w:rsidR="008372D5" w:rsidRPr="004B3072" w:rsidRDefault="006234A7" w:rsidP="006234A7">
      <w:pPr>
        <w:ind w:left="851" w:hanging="425"/>
        <w:jc w:val="both"/>
        <w:rPr>
          <w:rFonts w:asciiTheme="majorHAnsi" w:eastAsia="Calibri" w:hAnsiTheme="majorHAnsi"/>
          <w:szCs w:val="20"/>
        </w:rPr>
      </w:pPr>
      <w:r w:rsidRPr="004B3072">
        <w:rPr>
          <w:rFonts w:asciiTheme="majorHAnsi" w:hAnsiTheme="majorHAnsi"/>
          <w:szCs w:val="20"/>
        </w:rPr>
        <w:t xml:space="preserve">a) </w:t>
      </w:r>
      <w:r w:rsidRPr="004B3072">
        <w:rPr>
          <w:rFonts w:asciiTheme="majorHAnsi" w:hAnsiTheme="majorHAnsi"/>
          <w:szCs w:val="20"/>
        </w:rPr>
        <w:tab/>
      </w:r>
      <w:r w:rsidR="00332FEC" w:rsidRPr="004B3072">
        <w:rPr>
          <w:rFonts w:asciiTheme="majorHAnsi" w:hAnsiTheme="majorHAnsi"/>
          <w:szCs w:val="20"/>
        </w:rPr>
        <w:t>l’amélioration de</w:t>
      </w:r>
      <w:r w:rsidRPr="004B3072">
        <w:rPr>
          <w:rFonts w:asciiTheme="majorHAnsi" w:hAnsiTheme="majorHAnsi"/>
          <w:szCs w:val="20"/>
        </w:rPr>
        <w:t xml:space="preserve"> </w:t>
      </w:r>
      <w:r w:rsidR="00A45AD4" w:rsidRPr="004B3072">
        <w:rPr>
          <w:rFonts w:asciiTheme="majorHAnsi" w:hAnsiTheme="majorHAnsi"/>
          <w:szCs w:val="20"/>
        </w:rPr>
        <w:t>la compréhension mutuelle des gestionnaires et des scientifiques en ce qui concerne les concepts relatifs aux stratégies de gestion, dont :</w:t>
      </w:r>
    </w:p>
    <w:p w14:paraId="54633AF6" w14:textId="77777777" w:rsidR="00AA60C1" w:rsidRPr="004B3072" w:rsidRDefault="00AA60C1" w:rsidP="00AA60C1">
      <w:pPr>
        <w:jc w:val="both"/>
        <w:rPr>
          <w:rFonts w:asciiTheme="majorHAnsi" w:eastAsia="Calibri" w:hAnsiTheme="majorHAnsi"/>
          <w:szCs w:val="20"/>
        </w:rPr>
      </w:pPr>
    </w:p>
    <w:p w14:paraId="154F981B" w14:textId="38621CA5" w:rsidR="008372D5" w:rsidRPr="004B3072" w:rsidRDefault="00623416" w:rsidP="00370C39">
      <w:pPr>
        <w:numPr>
          <w:ilvl w:val="2"/>
          <w:numId w:val="1"/>
        </w:numPr>
        <w:spacing w:after="120"/>
        <w:ind w:left="1418" w:hanging="284"/>
        <w:jc w:val="both"/>
        <w:rPr>
          <w:rFonts w:asciiTheme="majorHAnsi" w:eastAsia="Calibri" w:hAnsiTheme="majorHAnsi"/>
          <w:szCs w:val="20"/>
        </w:rPr>
      </w:pPr>
      <w:r w:rsidRPr="004B3072">
        <w:rPr>
          <w:rFonts w:asciiTheme="majorHAnsi" w:hAnsiTheme="majorHAnsi"/>
          <w:szCs w:val="20"/>
        </w:rPr>
        <w:t xml:space="preserve">l'adoption de points de référence limite et cible (LRP et </w:t>
      </w:r>
      <w:r w:rsidRPr="004B3072">
        <w:rPr>
          <w:rFonts w:asciiTheme="majorHAnsi" w:eastAsia="Calibri" w:hAnsiTheme="majorHAnsi"/>
          <w:szCs w:val="20"/>
        </w:rPr>
        <w:t>TRP</w:t>
      </w:r>
      <w:r w:rsidR="00212B4D" w:rsidRPr="004B3072">
        <w:rPr>
          <w:rFonts w:asciiTheme="majorHAnsi" w:hAnsiTheme="majorHAnsi"/>
          <w:szCs w:val="20"/>
        </w:rPr>
        <w:t>) ;</w:t>
      </w:r>
    </w:p>
    <w:p w14:paraId="298AEDEC" w14:textId="2D5FCF85" w:rsidR="008372D5" w:rsidRPr="004B3072" w:rsidRDefault="00623416" w:rsidP="00370C39">
      <w:pPr>
        <w:numPr>
          <w:ilvl w:val="2"/>
          <w:numId w:val="1"/>
        </w:numPr>
        <w:spacing w:after="120"/>
        <w:ind w:left="1418" w:hanging="284"/>
        <w:jc w:val="both"/>
        <w:rPr>
          <w:rFonts w:asciiTheme="majorHAnsi" w:eastAsia="Calibri" w:hAnsiTheme="majorHAnsi"/>
          <w:szCs w:val="20"/>
        </w:rPr>
      </w:pPr>
      <w:r w:rsidRPr="004B3072">
        <w:rPr>
          <w:rFonts w:asciiTheme="majorHAnsi" w:hAnsiTheme="majorHAnsi"/>
          <w:szCs w:val="20"/>
        </w:rPr>
        <w:t>l'élaboration de règles de c</w:t>
      </w:r>
      <w:r w:rsidR="00212B4D" w:rsidRPr="004B3072">
        <w:rPr>
          <w:rFonts w:asciiTheme="majorHAnsi" w:hAnsiTheme="majorHAnsi"/>
          <w:szCs w:val="20"/>
        </w:rPr>
        <w:t>ontrôle de l'exploitation (HCR) ;</w:t>
      </w:r>
    </w:p>
    <w:p w14:paraId="51D62D5B" w14:textId="77777777" w:rsidR="00623416" w:rsidRPr="004B3072" w:rsidRDefault="00623416" w:rsidP="00370C39">
      <w:pPr>
        <w:numPr>
          <w:ilvl w:val="2"/>
          <w:numId w:val="1"/>
        </w:numPr>
        <w:spacing w:after="120"/>
        <w:ind w:left="1418" w:hanging="284"/>
        <w:jc w:val="both"/>
        <w:rPr>
          <w:rFonts w:asciiTheme="majorHAnsi" w:eastAsia="Calibri" w:hAnsiTheme="majorHAnsi"/>
          <w:szCs w:val="20"/>
        </w:rPr>
      </w:pPr>
      <w:r w:rsidRPr="004B3072">
        <w:rPr>
          <w:rFonts w:asciiTheme="majorHAnsi" w:hAnsiTheme="majorHAnsi"/>
          <w:szCs w:val="20"/>
        </w:rPr>
        <w:t xml:space="preserve">l'application de </w:t>
      </w:r>
      <w:r w:rsidRPr="004B3072">
        <w:rPr>
          <w:rFonts w:asciiTheme="majorHAnsi" w:eastAsia="Calibri" w:hAnsiTheme="majorHAnsi"/>
          <w:szCs w:val="20"/>
        </w:rPr>
        <w:t>l'évaluation</w:t>
      </w:r>
      <w:r w:rsidRPr="004B3072">
        <w:rPr>
          <w:rFonts w:asciiTheme="majorHAnsi" w:hAnsiTheme="majorHAnsi"/>
          <w:szCs w:val="20"/>
        </w:rPr>
        <w:t xml:space="preserve"> des stratégies de gestion (MSE).</w:t>
      </w:r>
    </w:p>
    <w:p w14:paraId="0782EFA5" w14:textId="77777777" w:rsidR="00AA60C1" w:rsidRPr="004B3072" w:rsidRDefault="00AA60C1" w:rsidP="00AA60C1">
      <w:pPr>
        <w:jc w:val="both"/>
        <w:rPr>
          <w:rFonts w:asciiTheme="majorHAnsi" w:eastAsia="Calibri" w:hAnsiTheme="majorHAnsi"/>
          <w:szCs w:val="20"/>
        </w:rPr>
      </w:pPr>
    </w:p>
    <w:p w14:paraId="4EDEC02D" w14:textId="2730CD5B" w:rsidR="00E43F8A" w:rsidRPr="004B3072" w:rsidRDefault="00E43F8A" w:rsidP="006234A7">
      <w:pPr>
        <w:ind w:left="851" w:hanging="425"/>
        <w:jc w:val="both"/>
        <w:rPr>
          <w:rFonts w:asciiTheme="majorHAnsi" w:eastAsia="Calibri" w:hAnsiTheme="majorHAnsi"/>
          <w:szCs w:val="20"/>
        </w:rPr>
      </w:pPr>
      <w:r w:rsidRPr="004B3072">
        <w:rPr>
          <w:rFonts w:asciiTheme="majorHAnsi" w:eastAsia="Calibri" w:hAnsiTheme="majorHAnsi"/>
          <w:szCs w:val="20"/>
        </w:rPr>
        <w:t xml:space="preserve">b) </w:t>
      </w:r>
      <w:r w:rsidRPr="004B3072">
        <w:rPr>
          <w:rFonts w:asciiTheme="majorHAnsi" w:eastAsia="Calibri" w:hAnsiTheme="majorHAnsi"/>
          <w:szCs w:val="20"/>
        </w:rPr>
        <w:tab/>
        <w:t>la promotion de l’utilisation efficace des ressources scientifiques ;</w:t>
      </w:r>
    </w:p>
    <w:p w14:paraId="217BAEC1" w14:textId="77777777" w:rsidR="00E43F8A" w:rsidRPr="004B3072" w:rsidRDefault="00E43F8A" w:rsidP="006234A7">
      <w:pPr>
        <w:ind w:left="851" w:hanging="425"/>
        <w:jc w:val="both"/>
        <w:rPr>
          <w:rFonts w:asciiTheme="majorHAnsi" w:eastAsia="Calibri" w:hAnsiTheme="majorHAnsi"/>
          <w:szCs w:val="20"/>
        </w:rPr>
      </w:pPr>
    </w:p>
    <w:p w14:paraId="16BAC200" w14:textId="6E412EA2" w:rsidR="00E43F8A" w:rsidRPr="004B3072" w:rsidRDefault="00E43F8A" w:rsidP="006234A7">
      <w:pPr>
        <w:ind w:left="851" w:hanging="425"/>
        <w:jc w:val="both"/>
        <w:rPr>
          <w:rFonts w:asciiTheme="majorHAnsi" w:eastAsia="Calibri" w:hAnsiTheme="majorHAnsi"/>
          <w:szCs w:val="20"/>
        </w:rPr>
      </w:pPr>
      <w:r w:rsidRPr="004B3072">
        <w:rPr>
          <w:rFonts w:asciiTheme="majorHAnsi" w:eastAsia="Calibri" w:hAnsiTheme="majorHAnsi"/>
          <w:szCs w:val="20"/>
        </w:rPr>
        <w:t>c)</w:t>
      </w:r>
      <w:r w:rsidRPr="004B3072">
        <w:rPr>
          <w:rFonts w:asciiTheme="majorHAnsi" w:eastAsia="Calibri" w:hAnsiTheme="majorHAnsi"/>
          <w:szCs w:val="20"/>
        </w:rPr>
        <w:tab/>
        <w:t>l’identification des priorités de recherche du SCRS, en tenant compte des besoins de la Commission, notamment en ce qui concerne les programmes de travail annuels du SCRS et le plan stratégique pour la science du SCRS ;</w:t>
      </w:r>
    </w:p>
    <w:p w14:paraId="4530425E" w14:textId="77777777" w:rsidR="00AA60C1" w:rsidRPr="004B3072" w:rsidRDefault="00AA60C1" w:rsidP="00AA60C1">
      <w:pPr>
        <w:jc w:val="both"/>
        <w:rPr>
          <w:rFonts w:asciiTheme="majorHAnsi" w:eastAsia="Calibri" w:hAnsiTheme="majorHAnsi"/>
          <w:szCs w:val="20"/>
        </w:rPr>
      </w:pPr>
    </w:p>
    <w:p w14:paraId="57FCEEAE" w14:textId="7318CF92" w:rsidR="00116553" w:rsidRPr="004B3072" w:rsidRDefault="00E43F8A" w:rsidP="006234A7">
      <w:pPr>
        <w:ind w:left="851" w:hanging="425"/>
        <w:jc w:val="both"/>
        <w:rPr>
          <w:rFonts w:asciiTheme="majorHAnsi" w:eastAsia="Calibri" w:hAnsiTheme="majorHAnsi"/>
          <w:szCs w:val="20"/>
        </w:rPr>
      </w:pPr>
      <w:r w:rsidRPr="004B3072">
        <w:rPr>
          <w:rFonts w:asciiTheme="majorHAnsi" w:hAnsiTheme="majorHAnsi"/>
          <w:szCs w:val="20"/>
        </w:rPr>
        <w:t>d</w:t>
      </w:r>
      <w:r w:rsidR="006234A7" w:rsidRPr="004B3072">
        <w:rPr>
          <w:rFonts w:asciiTheme="majorHAnsi" w:hAnsiTheme="majorHAnsi"/>
          <w:szCs w:val="20"/>
        </w:rPr>
        <w:t>)</w:t>
      </w:r>
      <w:r w:rsidR="006234A7" w:rsidRPr="004B3072">
        <w:rPr>
          <w:rFonts w:asciiTheme="majorHAnsi" w:hAnsiTheme="majorHAnsi"/>
          <w:szCs w:val="20"/>
        </w:rPr>
        <w:tab/>
      </w:r>
      <w:r w:rsidR="00F1344E" w:rsidRPr="004B3072">
        <w:rPr>
          <w:rFonts w:asciiTheme="majorHAnsi" w:hAnsiTheme="majorHAnsi"/>
          <w:szCs w:val="20"/>
        </w:rPr>
        <w:t xml:space="preserve">l'identification des opportunités/approches qui </w:t>
      </w:r>
      <w:r w:rsidR="006234A7" w:rsidRPr="004B3072">
        <w:rPr>
          <w:rFonts w:asciiTheme="majorHAnsi" w:hAnsiTheme="majorHAnsi"/>
          <w:szCs w:val="20"/>
        </w:rPr>
        <w:t>amélioreraient</w:t>
      </w:r>
      <w:r w:rsidR="00212B4D" w:rsidRPr="004B3072">
        <w:rPr>
          <w:rFonts w:asciiTheme="majorHAnsi" w:hAnsiTheme="majorHAnsi"/>
          <w:szCs w:val="20"/>
        </w:rPr>
        <w:t xml:space="preserve"> les données disponibles</w:t>
      </w:r>
      <w:r w:rsidR="006234A7" w:rsidRPr="004B3072">
        <w:rPr>
          <w:rFonts w:asciiTheme="majorHAnsi" w:hAnsiTheme="majorHAnsi"/>
          <w:szCs w:val="20"/>
        </w:rPr>
        <w:t xml:space="preserve"> pertinentes pour les travaux de l’ICCAT</w:t>
      </w:r>
      <w:r w:rsidR="00912D10" w:rsidRPr="004B3072">
        <w:rPr>
          <w:rFonts w:asciiTheme="majorHAnsi" w:hAnsiTheme="majorHAnsi"/>
          <w:szCs w:val="20"/>
        </w:rPr>
        <w:t> ;</w:t>
      </w:r>
    </w:p>
    <w:p w14:paraId="676ED72E" w14:textId="77777777" w:rsidR="00AA60C1" w:rsidRPr="004B3072" w:rsidRDefault="00AA60C1" w:rsidP="00AA60C1">
      <w:pPr>
        <w:jc w:val="both"/>
        <w:rPr>
          <w:rFonts w:asciiTheme="majorHAnsi" w:eastAsia="Calibri" w:hAnsiTheme="majorHAnsi"/>
          <w:szCs w:val="20"/>
        </w:rPr>
      </w:pPr>
    </w:p>
    <w:p w14:paraId="1D5D672C" w14:textId="0021D02E" w:rsidR="00116553" w:rsidRPr="004B3072" w:rsidRDefault="00E43F8A" w:rsidP="006234A7">
      <w:pPr>
        <w:ind w:left="851" w:hanging="425"/>
        <w:jc w:val="both"/>
        <w:rPr>
          <w:rFonts w:asciiTheme="majorHAnsi" w:eastAsia="Calibri" w:hAnsiTheme="majorHAnsi"/>
          <w:szCs w:val="20"/>
        </w:rPr>
      </w:pPr>
      <w:r w:rsidRPr="004B3072">
        <w:rPr>
          <w:rFonts w:asciiTheme="majorHAnsi" w:hAnsiTheme="majorHAnsi"/>
          <w:szCs w:val="20"/>
        </w:rPr>
        <w:t>e</w:t>
      </w:r>
      <w:r w:rsidR="006234A7" w:rsidRPr="004B3072">
        <w:rPr>
          <w:rFonts w:asciiTheme="majorHAnsi" w:hAnsiTheme="majorHAnsi"/>
          <w:szCs w:val="20"/>
        </w:rPr>
        <w:t>)</w:t>
      </w:r>
      <w:r w:rsidR="006234A7" w:rsidRPr="004B3072">
        <w:rPr>
          <w:rFonts w:asciiTheme="majorHAnsi" w:hAnsiTheme="majorHAnsi"/>
          <w:szCs w:val="20"/>
        </w:rPr>
        <w:tab/>
      </w:r>
      <w:r w:rsidR="00755B58" w:rsidRPr="004B3072">
        <w:rPr>
          <w:rFonts w:asciiTheme="majorHAnsi" w:hAnsiTheme="majorHAnsi"/>
          <w:szCs w:val="20"/>
        </w:rPr>
        <w:t>l</w:t>
      </w:r>
      <w:r w:rsidR="00F1344E" w:rsidRPr="004B3072">
        <w:rPr>
          <w:rFonts w:asciiTheme="majorHAnsi" w:hAnsiTheme="majorHAnsi"/>
          <w:szCs w:val="20"/>
        </w:rPr>
        <w:t>'identification de possibles thèmes</w:t>
      </w:r>
      <w:r w:rsidR="00212B4D" w:rsidRPr="004B3072">
        <w:rPr>
          <w:rFonts w:asciiTheme="majorHAnsi" w:hAnsiTheme="majorHAnsi"/>
          <w:szCs w:val="20"/>
        </w:rPr>
        <w:t xml:space="preserve"> de recherche socio-économiques</w:t>
      </w:r>
      <w:r w:rsidR="00912D10" w:rsidRPr="004B3072">
        <w:rPr>
          <w:rFonts w:asciiTheme="majorHAnsi" w:hAnsiTheme="majorHAnsi"/>
          <w:szCs w:val="20"/>
        </w:rPr>
        <w:t> ;</w:t>
      </w:r>
    </w:p>
    <w:p w14:paraId="2241E10C" w14:textId="77777777" w:rsidR="00AA60C1" w:rsidRPr="004B3072" w:rsidRDefault="00AA60C1" w:rsidP="00AA60C1">
      <w:pPr>
        <w:jc w:val="both"/>
        <w:rPr>
          <w:rFonts w:asciiTheme="majorHAnsi" w:eastAsia="Calibri" w:hAnsiTheme="majorHAnsi"/>
          <w:szCs w:val="20"/>
        </w:rPr>
      </w:pPr>
    </w:p>
    <w:p w14:paraId="2F6519D1" w14:textId="765A9489" w:rsidR="006234A7" w:rsidRPr="004B3072" w:rsidRDefault="006234A7" w:rsidP="006234A7">
      <w:pPr>
        <w:ind w:left="851" w:hanging="425"/>
        <w:jc w:val="both"/>
        <w:rPr>
          <w:rFonts w:asciiTheme="majorHAnsi" w:hAnsiTheme="majorHAnsi"/>
          <w:szCs w:val="20"/>
        </w:rPr>
      </w:pPr>
      <w:r w:rsidRPr="004B3072">
        <w:rPr>
          <w:rFonts w:asciiTheme="majorHAnsi" w:hAnsiTheme="majorHAnsi"/>
          <w:szCs w:val="20"/>
        </w:rPr>
        <w:t>f)</w:t>
      </w:r>
      <w:r w:rsidRPr="004B3072">
        <w:rPr>
          <w:rFonts w:asciiTheme="majorHAnsi" w:hAnsiTheme="majorHAnsi"/>
          <w:szCs w:val="20"/>
        </w:rPr>
        <w:tab/>
        <w:t>l'examen du plan d'action de l’ICCAT sur le changement climatique et le suivi de sa mise en œuvre.</w:t>
      </w:r>
    </w:p>
    <w:p w14:paraId="790FBCCC" w14:textId="77777777" w:rsidR="00F5737D" w:rsidRPr="004B3072" w:rsidRDefault="00F5737D">
      <w:pPr>
        <w:spacing w:after="200" w:line="276" w:lineRule="auto"/>
        <w:rPr>
          <w:rFonts w:asciiTheme="majorHAnsi" w:hAnsiTheme="majorHAnsi"/>
          <w:szCs w:val="20"/>
        </w:rPr>
      </w:pPr>
      <w:r w:rsidRPr="004B3072">
        <w:rPr>
          <w:rFonts w:asciiTheme="majorHAnsi" w:hAnsiTheme="majorHAnsi"/>
          <w:szCs w:val="20"/>
        </w:rPr>
        <w:br w:type="page"/>
      </w:r>
    </w:p>
    <w:p w14:paraId="537E8E01" w14:textId="61084C1D" w:rsidR="005736A0" w:rsidRPr="004B3072" w:rsidRDefault="005736A0" w:rsidP="007C206D">
      <w:pPr>
        <w:numPr>
          <w:ilvl w:val="0"/>
          <w:numId w:val="1"/>
        </w:numPr>
        <w:ind w:left="426" w:hanging="426"/>
        <w:jc w:val="both"/>
        <w:rPr>
          <w:rFonts w:asciiTheme="majorHAnsi" w:eastAsia="Calibri" w:hAnsiTheme="majorHAnsi"/>
          <w:szCs w:val="20"/>
        </w:rPr>
      </w:pPr>
      <w:r w:rsidRPr="004B3072">
        <w:rPr>
          <w:rFonts w:asciiTheme="majorHAnsi" w:hAnsiTheme="majorHAnsi"/>
          <w:szCs w:val="20"/>
        </w:rPr>
        <w:lastRenderedPageBreak/>
        <w:t xml:space="preserve">Le SWGSM </w:t>
      </w:r>
      <w:r w:rsidR="008B1B4D" w:rsidRPr="004B3072">
        <w:rPr>
          <w:rFonts w:asciiTheme="majorHAnsi" w:hAnsiTheme="majorHAnsi"/>
          <w:szCs w:val="20"/>
        </w:rPr>
        <w:t>devra élire</w:t>
      </w:r>
      <w:r w:rsidR="006234A7" w:rsidRPr="004B3072">
        <w:rPr>
          <w:rFonts w:asciiTheme="majorHAnsi" w:hAnsiTheme="majorHAnsi"/>
          <w:szCs w:val="20"/>
        </w:rPr>
        <w:t xml:space="preserve"> ses propres coprésidents, qui </w:t>
      </w:r>
      <w:r w:rsidR="008B1B4D" w:rsidRPr="004B3072">
        <w:rPr>
          <w:rFonts w:asciiTheme="majorHAnsi" w:hAnsiTheme="majorHAnsi"/>
          <w:szCs w:val="20"/>
        </w:rPr>
        <w:t>devront être</w:t>
      </w:r>
      <w:r w:rsidR="006234A7" w:rsidRPr="004B3072">
        <w:rPr>
          <w:rFonts w:asciiTheme="majorHAnsi" w:hAnsiTheme="majorHAnsi"/>
          <w:szCs w:val="20"/>
        </w:rPr>
        <w:t xml:space="preserve"> un gestionnaire de</w:t>
      </w:r>
      <w:r w:rsidR="007C206D" w:rsidRPr="004B3072">
        <w:rPr>
          <w:rFonts w:asciiTheme="majorHAnsi" w:hAnsiTheme="majorHAnsi"/>
          <w:szCs w:val="20"/>
        </w:rPr>
        <w:t xml:space="preserve">s pêcheries </w:t>
      </w:r>
      <w:r w:rsidR="006234A7" w:rsidRPr="004B3072">
        <w:rPr>
          <w:rFonts w:asciiTheme="majorHAnsi" w:hAnsiTheme="majorHAnsi"/>
          <w:szCs w:val="20"/>
        </w:rPr>
        <w:t>de la Commission et un scientifique du SCRS.</w:t>
      </w:r>
    </w:p>
    <w:p w14:paraId="1530D80E" w14:textId="77777777" w:rsidR="006234A7" w:rsidRPr="004B3072" w:rsidRDefault="006234A7" w:rsidP="007C206D">
      <w:pPr>
        <w:ind w:left="426" w:hanging="426"/>
        <w:jc w:val="both"/>
        <w:rPr>
          <w:rFonts w:asciiTheme="majorHAnsi" w:eastAsia="Calibri" w:hAnsiTheme="majorHAnsi"/>
          <w:szCs w:val="20"/>
        </w:rPr>
      </w:pPr>
    </w:p>
    <w:p w14:paraId="4F5C93E5" w14:textId="3AFFD54A" w:rsidR="005736A0" w:rsidRPr="004B3072" w:rsidRDefault="005736A0" w:rsidP="007C206D">
      <w:pPr>
        <w:numPr>
          <w:ilvl w:val="0"/>
          <w:numId w:val="1"/>
        </w:numPr>
        <w:ind w:left="426" w:hanging="426"/>
        <w:jc w:val="both"/>
        <w:rPr>
          <w:rFonts w:asciiTheme="majorHAnsi" w:eastAsia="Calibri" w:hAnsiTheme="majorHAnsi"/>
          <w:szCs w:val="20"/>
        </w:rPr>
      </w:pPr>
      <w:r w:rsidRPr="004B3072">
        <w:rPr>
          <w:rFonts w:asciiTheme="majorHAnsi" w:hAnsiTheme="majorHAnsi"/>
          <w:szCs w:val="20"/>
        </w:rPr>
        <w:t xml:space="preserve">Le SWGSM </w:t>
      </w:r>
      <w:r w:rsidR="008B1B4D" w:rsidRPr="004B3072">
        <w:rPr>
          <w:rFonts w:asciiTheme="majorHAnsi" w:hAnsiTheme="majorHAnsi"/>
          <w:szCs w:val="20"/>
        </w:rPr>
        <w:t xml:space="preserve">devra </w:t>
      </w:r>
      <w:r w:rsidRPr="004B3072">
        <w:rPr>
          <w:rFonts w:asciiTheme="majorHAnsi" w:hAnsiTheme="majorHAnsi"/>
          <w:szCs w:val="20"/>
        </w:rPr>
        <w:t xml:space="preserve">se réunir pendant la période intersession et ses réunions </w:t>
      </w:r>
      <w:r w:rsidR="008B1B4D" w:rsidRPr="004B3072">
        <w:rPr>
          <w:rFonts w:asciiTheme="majorHAnsi" w:hAnsiTheme="majorHAnsi"/>
          <w:szCs w:val="20"/>
        </w:rPr>
        <w:t>devront être</w:t>
      </w:r>
      <w:r w:rsidRPr="004B3072">
        <w:rPr>
          <w:rFonts w:asciiTheme="majorHAnsi" w:hAnsiTheme="majorHAnsi"/>
          <w:szCs w:val="20"/>
        </w:rPr>
        <w:t xml:space="preserve"> ouvertes aux gestionnaires des pêcheries des Parties contractantes, des Parties, Entités ou Entités de pêche non contractantes coopérantes (CPC), aux scientifiques du SCRS et aux observateurs accrédités. Les gestionnaires des pêcheries des CPC et les halieutes du SCRS </w:t>
      </w:r>
      <w:r w:rsidR="000A1F18" w:rsidRPr="004B3072">
        <w:rPr>
          <w:rFonts w:asciiTheme="majorHAnsi" w:hAnsiTheme="majorHAnsi"/>
          <w:szCs w:val="20"/>
        </w:rPr>
        <w:t>devront être</w:t>
      </w:r>
      <w:r w:rsidRPr="004B3072">
        <w:rPr>
          <w:rFonts w:asciiTheme="majorHAnsi" w:hAnsiTheme="majorHAnsi"/>
          <w:szCs w:val="20"/>
        </w:rPr>
        <w:t xml:space="preserve"> considérés sur un pied d'égalité pendant les réunions de ce Groupe de travail permanent. D’autres experts peuvent être invités à des réunions spécifiques de ce Groupe de travail permanent en fonction des thèmes à aborder. </w:t>
      </w:r>
    </w:p>
    <w:p w14:paraId="2DA28D03" w14:textId="77777777" w:rsidR="005736A0" w:rsidRPr="004B3072" w:rsidRDefault="005736A0" w:rsidP="007C206D">
      <w:pPr>
        <w:ind w:left="426" w:hanging="426"/>
        <w:jc w:val="both"/>
        <w:rPr>
          <w:rFonts w:asciiTheme="majorHAnsi" w:eastAsia="Calibri" w:hAnsiTheme="majorHAnsi"/>
          <w:szCs w:val="20"/>
        </w:rPr>
      </w:pPr>
    </w:p>
    <w:p w14:paraId="5008773E" w14:textId="05055056" w:rsidR="005736A0" w:rsidRPr="004B3072" w:rsidRDefault="005736A0" w:rsidP="007C206D">
      <w:pPr>
        <w:numPr>
          <w:ilvl w:val="0"/>
          <w:numId w:val="1"/>
        </w:numPr>
        <w:ind w:left="426" w:hanging="426"/>
        <w:jc w:val="both"/>
        <w:rPr>
          <w:rFonts w:asciiTheme="majorHAnsi" w:eastAsia="Calibri" w:hAnsiTheme="majorHAnsi"/>
          <w:szCs w:val="20"/>
        </w:rPr>
      </w:pPr>
      <w:r w:rsidRPr="004B3072">
        <w:rPr>
          <w:rFonts w:asciiTheme="majorHAnsi" w:hAnsiTheme="majorHAnsi"/>
          <w:szCs w:val="20"/>
        </w:rPr>
        <w:t xml:space="preserve">La structure des réunions </w:t>
      </w:r>
      <w:r w:rsidR="00F73CF6" w:rsidRPr="004B3072">
        <w:rPr>
          <w:rFonts w:asciiTheme="majorHAnsi" w:hAnsiTheme="majorHAnsi"/>
          <w:szCs w:val="20"/>
        </w:rPr>
        <w:t>devra inclure</w:t>
      </w:r>
      <w:r w:rsidRPr="004B3072">
        <w:rPr>
          <w:rFonts w:asciiTheme="majorHAnsi" w:hAnsiTheme="majorHAnsi"/>
          <w:szCs w:val="20"/>
        </w:rPr>
        <w:t xml:space="preserve"> </w:t>
      </w:r>
      <w:r w:rsidR="003A284A" w:rsidRPr="004B3072">
        <w:rPr>
          <w:rFonts w:asciiTheme="majorHAnsi" w:hAnsiTheme="majorHAnsi"/>
          <w:szCs w:val="20"/>
        </w:rPr>
        <w:t>un dialogue/forum ouvert</w:t>
      </w:r>
      <w:r w:rsidRPr="004B3072">
        <w:rPr>
          <w:rFonts w:asciiTheme="majorHAnsi" w:hAnsiTheme="majorHAnsi"/>
          <w:szCs w:val="20"/>
        </w:rPr>
        <w:t xml:space="preserve">. Les </w:t>
      </w:r>
      <w:r w:rsidR="009A6E0A" w:rsidRPr="004B3072">
        <w:rPr>
          <w:rFonts w:asciiTheme="majorHAnsi" w:hAnsiTheme="majorHAnsi"/>
          <w:szCs w:val="20"/>
        </w:rPr>
        <w:t>r</w:t>
      </w:r>
      <w:r w:rsidRPr="004B3072">
        <w:rPr>
          <w:rFonts w:asciiTheme="majorHAnsi" w:hAnsiTheme="majorHAnsi"/>
          <w:szCs w:val="20"/>
        </w:rPr>
        <w:t xml:space="preserve">ecommandations à la Commission </w:t>
      </w:r>
      <w:r w:rsidR="009A6E0A" w:rsidRPr="004B3072">
        <w:rPr>
          <w:rFonts w:asciiTheme="majorHAnsi" w:hAnsiTheme="majorHAnsi"/>
          <w:szCs w:val="20"/>
        </w:rPr>
        <w:t>d</w:t>
      </w:r>
      <w:r w:rsidRPr="004B3072">
        <w:rPr>
          <w:rFonts w:asciiTheme="majorHAnsi" w:hAnsiTheme="majorHAnsi"/>
          <w:szCs w:val="20"/>
        </w:rPr>
        <w:t>e</w:t>
      </w:r>
      <w:r w:rsidR="009A6E0A" w:rsidRPr="004B3072">
        <w:rPr>
          <w:rFonts w:asciiTheme="majorHAnsi" w:hAnsiTheme="majorHAnsi"/>
          <w:szCs w:val="20"/>
        </w:rPr>
        <w:t>v</w:t>
      </w:r>
      <w:r w:rsidRPr="004B3072">
        <w:rPr>
          <w:rFonts w:asciiTheme="majorHAnsi" w:hAnsiTheme="majorHAnsi"/>
          <w:szCs w:val="20"/>
        </w:rPr>
        <w:t xml:space="preserve">ront </w:t>
      </w:r>
      <w:r w:rsidR="009A6E0A" w:rsidRPr="004B3072">
        <w:rPr>
          <w:rFonts w:asciiTheme="majorHAnsi" w:hAnsiTheme="majorHAnsi"/>
          <w:szCs w:val="20"/>
        </w:rPr>
        <w:t xml:space="preserve">être </w:t>
      </w:r>
      <w:r w:rsidRPr="004B3072">
        <w:rPr>
          <w:rFonts w:asciiTheme="majorHAnsi" w:hAnsiTheme="majorHAnsi"/>
          <w:szCs w:val="20"/>
        </w:rPr>
        <w:t>élaborées par le biais de sessions formelles du SWGSM qui devrait garantir une présence équilibrée et une participation active des scientifiques et des gestionnaires.</w:t>
      </w:r>
    </w:p>
    <w:p w14:paraId="3D60F94D" w14:textId="77777777" w:rsidR="00E43F8A" w:rsidRPr="004B3072" w:rsidRDefault="00E43F8A" w:rsidP="00E43F8A">
      <w:pPr>
        <w:ind w:left="426"/>
        <w:jc w:val="both"/>
        <w:rPr>
          <w:rFonts w:asciiTheme="majorHAnsi" w:eastAsia="Calibri" w:hAnsiTheme="majorHAnsi"/>
          <w:szCs w:val="20"/>
        </w:rPr>
      </w:pPr>
    </w:p>
    <w:p w14:paraId="13B66196" w14:textId="50457BDB" w:rsidR="00BA44B1" w:rsidRPr="004B3072" w:rsidRDefault="00E43F8A" w:rsidP="00332FEC">
      <w:pPr>
        <w:numPr>
          <w:ilvl w:val="0"/>
          <w:numId w:val="1"/>
        </w:numPr>
        <w:ind w:left="426" w:hanging="426"/>
        <w:jc w:val="both"/>
        <w:rPr>
          <w:rFonts w:asciiTheme="majorHAnsi" w:eastAsia="Calibri" w:hAnsiTheme="majorHAnsi"/>
          <w:szCs w:val="20"/>
        </w:rPr>
      </w:pPr>
      <w:r w:rsidRPr="004B3072">
        <w:rPr>
          <w:rFonts w:asciiTheme="majorHAnsi" w:hAnsiTheme="majorHAnsi"/>
          <w:szCs w:val="20"/>
        </w:rPr>
        <w:t>L</w:t>
      </w:r>
      <w:r w:rsidR="00F1344E" w:rsidRPr="004B3072">
        <w:rPr>
          <w:rFonts w:asciiTheme="majorHAnsi" w:hAnsiTheme="majorHAnsi"/>
          <w:szCs w:val="20"/>
        </w:rPr>
        <w:t xml:space="preserve">e SWGSM </w:t>
      </w:r>
      <w:r w:rsidR="00F73CF6" w:rsidRPr="004B3072">
        <w:rPr>
          <w:rFonts w:asciiTheme="majorHAnsi" w:hAnsiTheme="majorHAnsi"/>
          <w:szCs w:val="20"/>
        </w:rPr>
        <w:t>devra élaborer</w:t>
      </w:r>
      <w:r w:rsidRPr="004B3072">
        <w:rPr>
          <w:rFonts w:asciiTheme="majorHAnsi" w:hAnsiTheme="majorHAnsi"/>
          <w:szCs w:val="20"/>
        </w:rPr>
        <w:t xml:space="preserve"> un</w:t>
      </w:r>
      <w:r w:rsidR="00F1344E" w:rsidRPr="004B3072">
        <w:rPr>
          <w:rFonts w:asciiTheme="majorHAnsi" w:hAnsiTheme="majorHAnsi"/>
          <w:szCs w:val="20"/>
        </w:rPr>
        <w:t xml:space="preserve"> plan de travail et l'actualiser</w:t>
      </w:r>
      <w:r w:rsidRPr="004B3072">
        <w:rPr>
          <w:rFonts w:asciiTheme="majorHAnsi" w:hAnsiTheme="majorHAnsi"/>
          <w:szCs w:val="20"/>
        </w:rPr>
        <w:t>a périodiquement</w:t>
      </w:r>
      <w:r w:rsidR="00F1344E" w:rsidRPr="004B3072">
        <w:rPr>
          <w:rFonts w:asciiTheme="majorHAnsi" w:hAnsiTheme="majorHAnsi"/>
          <w:szCs w:val="20"/>
        </w:rPr>
        <w:t>, si nécessaire. Tenant compte de c</w:t>
      </w:r>
      <w:r w:rsidRPr="004B3072">
        <w:rPr>
          <w:rFonts w:asciiTheme="majorHAnsi" w:hAnsiTheme="majorHAnsi"/>
          <w:szCs w:val="20"/>
        </w:rPr>
        <w:t>e plan de travail</w:t>
      </w:r>
      <w:r w:rsidR="007C206D" w:rsidRPr="004B3072">
        <w:rPr>
          <w:rFonts w:asciiTheme="majorHAnsi" w:hAnsiTheme="majorHAnsi"/>
          <w:szCs w:val="20"/>
        </w:rPr>
        <w:t xml:space="preserve">, </w:t>
      </w:r>
      <w:r w:rsidR="00F1344E" w:rsidRPr="004B3072">
        <w:rPr>
          <w:rFonts w:asciiTheme="majorHAnsi" w:hAnsiTheme="majorHAnsi"/>
          <w:szCs w:val="20"/>
        </w:rPr>
        <w:t xml:space="preserve">la Commission </w:t>
      </w:r>
      <w:r w:rsidR="00F73CF6" w:rsidRPr="004B3072">
        <w:rPr>
          <w:rFonts w:asciiTheme="majorHAnsi" w:hAnsiTheme="majorHAnsi"/>
          <w:szCs w:val="20"/>
        </w:rPr>
        <w:t>devra mettre</w:t>
      </w:r>
      <w:r w:rsidR="00F1344E" w:rsidRPr="004B3072">
        <w:rPr>
          <w:rFonts w:asciiTheme="majorHAnsi" w:hAnsiTheme="majorHAnsi"/>
          <w:szCs w:val="20"/>
        </w:rPr>
        <w:t xml:space="preserve"> au point un calendrier </w:t>
      </w:r>
      <w:r w:rsidR="007C206D" w:rsidRPr="004B3072">
        <w:rPr>
          <w:rFonts w:asciiTheme="majorHAnsi" w:hAnsiTheme="majorHAnsi"/>
          <w:szCs w:val="20"/>
        </w:rPr>
        <w:t>de</w:t>
      </w:r>
      <w:r w:rsidR="00582039" w:rsidRPr="004B3072">
        <w:rPr>
          <w:rFonts w:asciiTheme="majorHAnsi" w:hAnsiTheme="majorHAnsi"/>
          <w:szCs w:val="20"/>
        </w:rPr>
        <w:t>s futures réunions du SWGSM</w:t>
      </w:r>
      <w:r w:rsidR="007C206D" w:rsidRPr="004B3072">
        <w:rPr>
          <w:rFonts w:asciiTheme="majorHAnsi" w:hAnsiTheme="majorHAnsi"/>
          <w:szCs w:val="20"/>
        </w:rPr>
        <w:t>.</w:t>
      </w:r>
    </w:p>
    <w:p w14:paraId="7347C776" w14:textId="77777777" w:rsidR="00332FEC" w:rsidRPr="004B3072" w:rsidRDefault="00332FEC" w:rsidP="00332FEC">
      <w:pPr>
        <w:ind w:left="426" w:hanging="426"/>
        <w:jc w:val="both"/>
        <w:rPr>
          <w:rFonts w:asciiTheme="majorHAnsi" w:eastAsia="Calibri" w:hAnsiTheme="majorHAnsi"/>
          <w:szCs w:val="20"/>
        </w:rPr>
      </w:pPr>
    </w:p>
    <w:p w14:paraId="56CA638D" w14:textId="3995F175" w:rsidR="0046424A" w:rsidRPr="004B3072" w:rsidRDefault="00B62359" w:rsidP="00332FEC">
      <w:pPr>
        <w:numPr>
          <w:ilvl w:val="0"/>
          <w:numId w:val="1"/>
        </w:numPr>
        <w:ind w:left="426" w:hanging="426"/>
        <w:jc w:val="both"/>
        <w:rPr>
          <w:rFonts w:asciiTheme="majorHAnsi" w:eastAsia="Calibri" w:hAnsiTheme="majorHAnsi"/>
          <w:szCs w:val="20"/>
        </w:rPr>
      </w:pPr>
      <w:r w:rsidRPr="004B3072">
        <w:rPr>
          <w:rFonts w:asciiTheme="majorHAnsi" w:hAnsiTheme="majorHAnsi"/>
          <w:szCs w:val="20"/>
        </w:rPr>
        <w:t xml:space="preserve">La présente Recommandation </w:t>
      </w:r>
      <w:r w:rsidR="007C206D" w:rsidRPr="004B3072">
        <w:rPr>
          <w:rFonts w:asciiTheme="majorHAnsi" w:hAnsiTheme="majorHAnsi"/>
          <w:szCs w:val="20"/>
        </w:rPr>
        <w:t xml:space="preserve">abroge et </w:t>
      </w:r>
      <w:r w:rsidRPr="004B3072">
        <w:rPr>
          <w:rFonts w:asciiTheme="majorHAnsi" w:hAnsiTheme="majorHAnsi"/>
          <w:szCs w:val="20"/>
        </w:rPr>
        <w:t xml:space="preserve">remplace la </w:t>
      </w:r>
      <w:r w:rsidR="007C206D" w:rsidRPr="004B3072">
        <w:rPr>
          <w:rFonts w:asciiTheme="majorHAnsi" w:hAnsiTheme="majorHAnsi"/>
          <w:i/>
          <w:szCs w:val="20"/>
        </w:rPr>
        <w:t xml:space="preserve">Recommandation de l’ICCAT amendant la Recommandation de l'ICCAT visant à renforcer le dialogue entre les halieutes et les gestionnaires des pêcheries </w:t>
      </w:r>
      <w:r w:rsidRPr="004B3072">
        <w:rPr>
          <w:rFonts w:asciiTheme="majorHAnsi" w:hAnsiTheme="majorHAnsi"/>
          <w:szCs w:val="20"/>
        </w:rPr>
        <w:t xml:space="preserve">(Rec. </w:t>
      </w:r>
      <w:r w:rsidR="007C206D" w:rsidRPr="004B3072">
        <w:rPr>
          <w:rFonts w:asciiTheme="majorHAnsi" w:hAnsiTheme="majorHAnsi"/>
          <w:szCs w:val="20"/>
        </w:rPr>
        <w:t>14</w:t>
      </w:r>
      <w:r w:rsidRPr="004B3072">
        <w:rPr>
          <w:rFonts w:asciiTheme="majorHAnsi" w:hAnsiTheme="majorHAnsi"/>
          <w:szCs w:val="20"/>
        </w:rPr>
        <w:t>-</w:t>
      </w:r>
      <w:r w:rsidR="007C206D" w:rsidRPr="004B3072">
        <w:rPr>
          <w:rFonts w:asciiTheme="majorHAnsi" w:hAnsiTheme="majorHAnsi"/>
          <w:szCs w:val="20"/>
        </w:rPr>
        <w:t>13</w:t>
      </w:r>
      <w:r w:rsidRPr="004B3072">
        <w:rPr>
          <w:rFonts w:asciiTheme="majorHAnsi" w:hAnsiTheme="majorHAnsi"/>
          <w:szCs w:val="20"/>
        </w:rPr>
        <w:t>).</w:t>
      </w:r>
    </w:p>
    <w:p w14:paraId="2D59EA92" w14:textId="00F57ADA" w:rsidR="002B17D1" w:rsidRPr="004B3072" w:rsidRDefault="002B17D1">
      <w:pPr>
        <w:spacing w:after="200" w:line="276" w:lineRule="auto"/>
        <w:rPr>
          <w:rFonts w:asciiTheme="majorHAnsi" w:eastAsia="Calibri" w:hAnsiTheme="majorHAnsi"/>
          <w:szCs w:val="20"/>
        </w:rPr>
      </w:pPr>
    </w:p>
    <w:sectPr w:rsidR="002B17D1" w:rsidRPr="004B3072" w:rsidSect="003C379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B2F4C" w14:textId="77777777" w:rsidR="002C77C6" w:rsidRDefault="002C77C6" w:rsidP="00837DB9">
      <w:r>
        <w:separator/>
      </w:r>
    </w:p>
  </w:endnote>
  <w:endnote w:type="continuationSeparator" w:id="0">
    <w:p w14:paraId="4C240DFC" w14:textId="77777777" w:rsidR="002C77C6" w:rsidRDefault="002C77C6" w:rsidP="00837DB9">
      <w:r>
        <w:continuationSeparator/>
      </w:r>
    </w:p>
  </w:endnote>
  <w:endnote w:type="continuationNotice" w:id="1">
    <w:p w14:paraId="1BF2B744" w14:textId="77777777" w:rsidR="002C77C6" w:rsidRDefault="002C7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Cs w:val="20"/>
      </w:rPr>
      <w:id w:val="-473753194"/>
      <w:docPartObj>
        <w:docPartGallery w:val="Page Numbers (Bottom of Page)"/>
        <w:docPartUnique/>
      </w:docPartObj>
    </w:sdtPr>
    <w:sdtEndPr>
      <w:rPr>
        <w:rFonts w:asciiTheme="majorHAnsi" w:hAnsiTheme="majorHAnsi"/>
      </w:rPr>
    </w:sdtEndPr>
    <w:sdtContent>
      <w:p w14:paraId="1824E65D" w14:textId="049D623F" w:rsidR="007B1315" w:rsidRPr="003C3797" w:rsidRDefault="003C3797" w:rsidP="003C3797">
        <w:pPr>
          <w:pStyle w:val="Footer"/>
          <w:jc w:val="center"/>
          <w:rPr>
            <w:rFonts w:asciiTheme="majorHAnsi" w:hAnsiTheme="majorHAnsi"/>
            <w:szCs w:val="20"/>
          </w:rPr>
        </w:pPr>
        <w:r w:rsidRPr="003C3797">
          <w:rPr>
            <w:rFonts w:asciiTheme="majorHAnsi" w:hAnsiTheme="majorHAnsi"/>
            <w:szCs w:val="20"/>
          </w:rPr>
          <w:fldChar w:fldCharType="begin"/>
        </w:r>
        <w:r w:rsidRPr="003C3797">
          <w:rPr>
            <w:rFonts w:asciiTheme="majorHAnsi" w:hAnsiTheme="majorHAnsi"/>
            <w:szCs w:val="20"/>
          </w:rPr>
          <w:instrText xml:space="preserve"> PAGE </w:instrText>
        </w:r>
        <w:r w:rsidRPr="003C3797">
          <w:rPr>
            <w:rFonts w:asciiTheme="majorHAnsi" w:hAnsiTheme="majorHAnsi"/>
            <w:szCs w:val="20"/>
          </w:rPr>
          <w:fldChar w:fldCharType="separate"/>
        </w:r>
        <w:r w:rsidRPr="003C3797">
          <w:rPr>
            <w:rFonts w:asciiTheme="majorHAnsi" w:hAnsiTheme="majorHAnsi"/>
            <w:noProof/>
            <w:szCs w:val="20"/>
          </w:rPr>
          <w:t>2</w:t>
        </w:r>
        <w:r w:rsidRPr="003C3797">
          <w:rPr>
            <w:rFonts w:asciiTheme="majorHAnsi" w:hAnsiTheme="majorHAnsi"/>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A401A" w14:textId="77777777" w:rsidR="002C77C6" w:rsidRDefault="002C77C6" w:rsidP="00837DB9">
      <w:r>
        <w:separator/>
      </w:r>
    </w:p>
  </w:footnote>
  <w:footnote w:type="continuationSeparator" w:id="0">
    <w:p w14:paraId="72DA08E2" w14:textId="77777777" w:rsidR="002C77C6" w:rsidRDefault="002C77C6" w:rsidP="00837DB9">
      <w:r>
        <w:continuationSeparator/>
      </w:r>
    </w:p>
  </w:footnote>
  <w:footnote w:type="continuationNotice" w:id="1">
    <w:p w14:paraId="0B14C824" w14:textId="77777777" w:rsidR="002C77C6" w:rsidRDefault="002C77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A0719"/>
    <w:multiLevelType w:val="hybridMultilevel"/>
    <w:tmpl w:val="D702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C6CFD"/>
    <w:multiLevelType w:val="hybridMultilevel"/>
    <w:tmpl w:val="FEE8B7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B12B9A"/>
    <w:multiLevelType w:val="hybridMultilevel"/>
    <w:tmpl w:val="2B4A2AD0"/>
    <w:lvl w:ilvl="0" w:tplc="6EB2091E">
      <w:numFmt w:val="bullet"/>
      <w:lvlText w:val="-"/>
      <w:lvlJc w:val="left"/>
      <w:pPr>
        <w:ind w:left="786" w:hanging="360"/>
      </w:pPr>
      <w:rPr>
        <w:rFonts w:ascii="Cambria" w:eastAsia="Calibri" w:hAnsi="Cambria"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342B209D"/>
    <w:multiLevelType w:val="hybridMultilevel"/>
    <w:tmpl w:val="B1861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C35FD"/>
    <w:multiLevelType w:val="hybridMultilevel"/>
    <w:tmpl w:val="B8AC564A"/>
    <w:lvl w:ilvl="0" w:tplc="C03685DE">
      <w:start w:val="1"/>
      <w:numFmt w:val="decimal"/>
      <w:lvlText w:val="%1."/>
      <w:lvlJc w:val="left"/>
      <w:pPr>
        <w:ind w:left="473" w:hanging="340"/>
      </w:pPr>
      <w:rPr>
        <w:rFonts w:ascii="Times New Roman" w:eastAsia="Times New Roman" w:hAnsi="Times New Roman" w:cs="Times New Roman" w:hint="default"/>
        <w:b w:val="0"/>
        <w:bCs w:val="0"/>
        <w:i w:val="0"/>
        <w:iCs w:val="0"/>
        <w:color w:val="231F20"/>
        <w:spacing w:val="0"/>
        <w:w w:val="99"/>
        <w:sz w:val="19"/>
        <w:szCs w:val="19"/>
        <w:lang w:val="en-US" w:eastAsia="en-US" w:bidi="ar-SA"/>
      </w:rPr>
    </w:lvl>
    <w:lvl w:ilvl="1" w:tplc="14EE5ED6">
      <w:start w:val="1"/>
      <w:numFmt w:val="lowerLetter"/>
      <w:lvlText w:val="%2."/>
      <w:lvlJc w:val="left"/>
      <w:pPr>
        <w:ind w:left="1148" w:hanging="337"/>
      </w:pPr>
      <w:rPr>
        <w:rFonts w:ascii="Times New Roman" w:eastAsia="Times New Roman" w:hAnsi="Times New Roman" w:cs="Times New Roman" w:hint="default"/>
        <w:b w:val="0"/>
        <w:bCs w:val="0"/>
        <w:i w:val="0"/>
        <w:iCs w:val="0"/>
        <w:color w:val="231F20"/>
        <w:spacing w:val="-1"/>
        <w:w w:val="99"/>
        <w:sz w:val="19"/>
        <w:szCs w:val="19"/>
        <w:lang w:val="en-US" w:eastAsia="en-US" w:bidi="ar-SA"/>
      </w:rPr>
    </w:lvl>
    <w:lvl w:ilvl="2" w:tplc="B32C4690">
      <w:start w:val="1"/>
      <w:numFmt w:val="lowerRoman"/>
      <w:lvlText w:val="%3."/>
      <w:lvlJc w:val="left"/>
      <w:pPr>
        <w:ind w:left="1830" w:hanging="269"/>
        <w:jc w:val="right"/>
      </w:pPr>
      <w:rPr>
        <w:rFonts w:ascii="Times New Roman" w:eastAsia="Times New Roman" w:hAnsi="Times New Roman" w:cs="Times New Roman" w:hint="default"/>
        <w:b w:val="0"/>
        <w:bCs w:val="0"/>
        <w:i w:val="0"/>
        <w:iCs w:val="0"/>
        <w:color w:val="231F20"/>
        <w:spacing w:val="-1"/>
        <w:w w:val="99"/>
        <w:sz w:val="19"/>
        <w:szCs w:val="19"/>
        <w:lang w:val="en-US" w:eastAsia="en-US" w:bidi="ar-SA"/>
      </w:rPr>
    </w:lvl>
    <w:lvl w:ilvl="3" w:tplc="518E04CC">
      <w:numFmt w:val="bullet"/>
      <w:lvlText w:val="•"/>
      <w:lvlJc w:val="left"/>
      <w:pPr>
        <w:ind w:left="1840" w:hanging="269"/>
      </w:pPr>
      <w:rPr>
        <w:rFonts w:hint="default"/>
        <w:lang w:val="en-US" w:eastAsia="en-US" w:bidi="ar-SA"/>
      </w:rPr>
    </w:lvl>
    <w:lvl w:ilvl="4" w:tplc="511E6E08">
      <w:numFmt w:val="bullet"/>
      <w:lvlText w:val="•"/>
      <w:lvlJc w:val="left"/>
      <w:pPr>
        <w:ind w:left="2834" w:hanging="269"/>
      </w:pPr>
      <w:rPr>
        <w:rFonts w:hint="default"/>
        <w:lang w:val="en-US" w:eastAsia="en-US" w:bidi="ar-SA"/>
      </w:rPr>
    </w:lvl>
    <w:lvl w:ilvl="5" w:tplc="C9900C58">
      <w:numFmt w:val="bullet"/>
      <w:lvlText w:val="•"/>
      <w:lvlJc w:val="left"/>
      <w:pPr>
        <w:ind w:left="3828" w:hanging="269"/>
      </w:pPr>
      <w:rPr>
        <w:rFonts w:hint="default"/>
        <w:lang w:val="en-US" w:eastAsia="en-US" w:bidi="ar-SA"/>
      </w:rPr>
    </w:lvl>
    <w:lvl w:ilvl="6" w:tplc="1018CA8E">
      <w:numFmt w:val="bullet"/>
      <w:lvlText w:val="•"/>
      <w:lvlJc w:val="left"/>
      <w:pPr>
        <w:ind w:left="4822" w:hanging="269"/>
      </w:pPr>
      <w:rPr>
        <w:rFonts w:hint="default"/>
        <w:lang w:val="en-US" w:eastAsia="en-US" w:bidi="ar-SA"/>
      </w:rPr>
    </w:lvl>
    <w:lvl w:ilvl="7" w:tplc="51E63B04">
      <w:numFmt w:val="bullet"/>
      <w:lvlText w:val="•"/>
      <w:lvlJc w:val="left"/>
      <w:pPr>
        <w:ind w:left="5817" w:hanging="269"/>
      </w:pPr>
      <w:rPr>
        <w:rFonts w:hint="default"/>
        <w:lang w:val="en-US" w:eastAsia="en-US" w:bidi="ar-SA"/>
      </w:rPr>
    </w:lvl>
    <w:lvl w:ilvl="8" w:tplc="730E44EC">
      <w:numFmt w:val="bullet"/>
      <w:lvlText w:val="•"/>
      <w:lvlJc w:val="left"/>
      <w:pPr>
        <w:ind w:left="6811" w:hanging="269"/>
      </w:pPr>
      <w:rPr>
        <w:rFonts w:hint="default"/>
        <w:lang w:val="en-US" w:eastAsia="en-US" w:bidi="ar-SA"/>
      </w:rPr>
    </w:lvl>
  </w:abstractNum>
  <w:abstractNum w:abstractNumId="5" w15:restartNumberingAfterBreak="0">
    <w:nsid w:val="4E7653EA"/>
    <w:multiLevelType w:val="hybridMultilevel"/>
    <w:tmpl w:val="DD56E0B0"/>
    <w:lvl w:ilvl="0" w:tplc="C1D6DA4E">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E53502"/>
    <w:multiLevelType w:val="hybridMultilevel"/>
    <w:tmpl w:val="CE5C2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864485568">
    <w:abstractNumId w:val="1"/>
  </w:num>
  <w:num w:numId="2" w16cid:durableId="395324086">
    <w:abstractNumId w:val="6"/>
  </w:num>
  <w:num w:numId="3" w16cid:durableId="1126698922">
    <w:abstractNumId w:val="5"/>
  </w:num>
  <w:num w:numId="4" w16cid:durableId="1742215268">
    <w:abstractNumId w:val="3"/>
  </w:num>
  <w:num w:numId="5" w16cid:durableId="2084795742">
    <w:abstractNumId w:val="0"/>
  </w:num>
  <w:num w:numId="6" w16cid:durableId="970399096">
    <w:abstractNumId w:val="4"/>
  </w:num>
  <w:num w:numId="7" w16cid:durableId="37125249">
    <w:abstractNumId w:val="7"/>
  </w:num>
  <w:num w:numId="8" w16cid:durableId="55747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736A0"/>
    <w:rsid w:val="00000775"/>
    <w:rsid w:val="00006D85"/>
    <w:rsid w:val="00030446"/>
    <w:rsid w:val="000502C6"/>
    <w:rsid w:val="000644C9"/>
    <w:rsid w:val="00086929"/>
    <w:rsid w:val="000A1F18"/>
    <w:rsid w:val="000C2048"/>
    <w:rsid w:val="000C5218"/>
    <w:rsid w:val="000C6766"/>
    <w:rsid w:val="000D053D"/>
    <w:rsid w:val="000D19AD"/>
    <w:rsid w:val="000D7014"/>
    <w:rsid w:val="000F06BF"/>
    <w:rsid w:val="000F4DD6"/>
    <w:rsid w:val="00112159"/>
    <w:rsid w:val="00112216"/>
    <w:rsid w:val="00116553"/>
    <w:rsid w:val="00144C41"/>
    <w:rsid w:val="0016450F"/>
    <w:rsid w:val="00195AE2"/>
    <w:rsid w:val="001F7B3E"/>
    <w:rsid w:val="00212B4D"/>
    <w:rsid w:val="00217466"/>
    <w:rsid w:val="002337BA"/>
    <w:rsid w:val="002338C3"/>
    <w:rsid w:val="0024492A"/>
    <w:rsid w:val="0027121A"/>
    <w:rsid w:val="00280DF8"/>
    <w:rsid w:val="0028704A"/>
    <w:rsid w:val="002A51DE"/>
    <w:rsid w:val="002B17D1"/>
    <w:rsid w:val="002C428B"/>
    <w:rsid w:val="002C6963"/>
    <w:rsid w:val="002C77C6"/>
    <w:rsid w:val="002D4F44"/>
    <w:rsid w:val="002E29E7"/>
    <w:rsid w:val="002F4A89"/>
    <w:rsid w:val="002F79CD"/>
    <w:rsid w:val="003007AB"/>
    <w:rsid w:val="00321EE9"/>
    <w:rsid w:val="00332FEC"/>
    <w:rsid w:val="003372C3"/>
    <w:rsid w:val="00363050"/>
    <w:rsid w:val="00370C39"/>
    <w:rsid w:val="00373C0E"/>
    <w:rsid w:val="00385582"/>
    <w:rsid w:val="00395A43"/>
    <w:rsid w:val="00396F8D"/>
    <w:rsid w:val="003A284A"/>
    <w:rsid w:val="003B399C"/>
    <w:rsid w:val="003C3797"/>
    <w:rsid w:val="003C3E2F"/>
    <w:rsid w:val="003C4240"/>
    <w:rsid w:val="003D144E"/>
    <w:rsid w:val="003D7F02"/>
    <w:rsid w:val="003E505D"/>
    <w:rsid w:val="00413C42"/>
    <w:rsid w:val="004328F9"/>
    <w:rsid w:val="00435744"/>
    <w:rsid w:val="0044669A"/>
    <w:rsid w:val="0046424A"/>
    <w:rsid w:val="004659B1"/>
    <w:rsid w:val="004A420B"/>
    <w:rsid w:val="004B3072"/>
    <w:rsid w:val="004B3889"/>
    <w:rsid w:val="004C6F19"/>
    <w:rsid w:val="004F09DA"/>
    <w:rsid w:val="00500D45"/>
    <w:rsid w:val="005020E2"/>
    <w:rsid w:val="0051650B"/>
    <w:rsid w:val="005226F0"/>
    <w:rsid w:val="00526DFC"/>
    <w:rsid w:val="0056617E"/>
    <w:rsid w:val="005736A0"/>
    <w:rsid w:val="0057600A"/>
    <w:rsid w:val="0057683B"/>
    <w:rsid w:val="00582039"/>
    <w:rsid w:val="005904EC"/>
    <w:rsid w:val="00591CFC"/>
    <w:rsid w:val="00597F15"/>
    <w:rsid w:val="00597FA1"/>
    <w:rsid w:val="005A122E"/>
    <w:rsid w:val="005E2D15"/>
    <w:rsid w:val="005E78B7"/>
    <w:rsid w:val="00623416"/>
    <w:rsid w:val="006234A7"/>
    <w:rsid w:val="006623A6"/>
    <w:rsid w:val="0066424B"/>
    <w:rsid w:val="0067456A"/>
    <w:rsid w:val="006763D5"/>
    <w:rsid w:val="00685E37"/>
    <w:rsid w:val="006A4735"/>
    <w:rsid w:val="006D3EB9"/>
    <w:rsid w:val="006D7C93"/>
    <w:rsid w:val="006E4D9C"/>
    <w:rsid w:val="0070125B"/>
    <w:rsid w:val="0072129C"/>
    <w:rsid w:val="0072434F"/>
    <w:rsid w:val="0073546F"/>
    <w:rsid w:val="00753E20"/>
    <w:rsid w:val="00755B58"/>
    <w:rsid w:val="00771D4D"/>
    <w:rsid w:val="007852B2"/>
    <w:rsid w:val="007B1315"/>
    <w:rsid w:val="007C206D"/>
    <w:rsid w:val="007D76AB"/>
    <w:rsid w:val="007E19C9"/>
    <w:rsid w:val="007E6A58"/>
    <w:rsid w:val="008372D5"/>
    <w:rsid w:val="00837DB9"/>
    <w:rsid w:val="00854D5F"/>
    <w:rsid w:val="008A2C8D"/>
    <w:rsid w:val="008B1B4D"/>
    <w:rsid w:val="008C0E18"/>
    <w:rsid w:val="008C3827"/>
    <w:rsid w:val="008C3A80"/>
    <w:rsid w:val="008C3FB6"/>
    <w:rsid w:val="008D35C8"/>
    <w:rsid w:val="009005BD"/>
    <w:rsid w:val="00911E68"/>
    <w:rsid w:val="00912D10"/>
    <w:rsid w:val="0091537F"/>
    <w:rsid w:val="00916F06"/>
    <w:rsid w:val="00917077"/>
    <w:rsid w:val="00917C25"/>
    <w:rsid w:val="0094452E"/>
    <w:rsid w:val="00952F92"/>
    <w:rsid w:val="0097035F"/>
    <w:rsid w:val="00977EC3"/>
    <w:rsid w:val="0098723A"/>
    <w:rsid w:val="00993D0A"/>
    <w:rsid w:val="009A6E0A"/>
    <w:rsid w:val="009C07F7"/>
    <w:rsid w:val="009C1201"/>
    <w:rsid w:val="009C5F18"/>
    <w:rsid w:val="009D5A51"/>
    <w:rsid w:val="009E2DA4"/>
    <w:rsid w:val="009F29AF"/>
    <w:rsid w:val="00A04966"/>
    <w:rsid w:val="00A4038B"/>
    <w:rsid w:val="00A45AD4"/>
    <w:rsid w:val="00A62FA2"/>
    <w:rsid w:val="00A918C2"/>
    <w:rsid w:val="00A91B4E"/>
    <w:rsid w:val="00A959AF"/>
    <w:rsid w:val="00AA60C1"/>
    <w:rsid w:val="00AE0ACC"/>
    <w:rsid w:val="00B21BA0"/>
    <w:rsid w:val="00B31714"/>
    <w:rsid w:val="00B467F4"/>
    <w:rsid w:val="00B56704"/>
    <w:rsid w:val="00B62359"/>
    <w:rsid w:val="00B8311D"/>
    <w:rsid w:val="00BA12A4"/>
    <w:rsid w:val="00BA44B1"/>
    <w:rsid w:val="00BB37D9"/>
    <w:rsid w:val="00BB580F"/>
    <w:rsid w:val="00BC47B7"/>
    <w:rsid w:val="00C27FE0"/>
    <w:rsid w:val="00C328B0"/>
    <w:rsid w:val="00C330AE"/>
    <w:rsid w:val="00C73EF8"/>
    <w:rsid w:val="00C810FC"/>
    <w:rsid w:val="00C956AA"/>
    <w:rsid w:val="00CA45A9"/>
    <w:rsid w:val="00CD299C"/>
    <w:rsid w:val="00CE5776"/>
    <w:rsid w:val="00D002BF"/>
    <w:rsid w:val="00D315B6"/>
    <w:rsid w:val="00D85809"/>
    <w:rsid w:val="00D85B9B"/>
    <w:rsid w:val="00D85FE3"/>
    <w:rsid w:val="00D94523"/>
    <w:rsid w:val="00D95AC1"/>
    <w:rsid w:val="00DC0779"/>
    <w:rsid w:val="00DC11E1"/>
    <w:rsid w:val="00DC1ABD"/>
    <w:rsid w:val="00DD5AF7"/>
    <w:rsid w:val="00DD65AA"/>
    <w:rsid w:val="00DD7C36"/>
    <w:rsid w:val="00DF72BC"/>
    <w:rsid w:val="00E43F8A"/>
    <w:rsid w:val="00E57435"/>
    <w:rsid w:val="00E74558"/>
    <w:rsid w:val="00E9461A"/>
    <w:rsid w:val="00E957B3"/>
    <w:rsid w:val="00EB5617"/>
    <w:rsid w:val="00EB7000"/>
    <w:rsid w:val="00F1344E"/>
    <w:rsid w:val="00F42308"/>
    <w:rsid w:val="00F54997"/>
    <w:rsid w:val="00F56231"/>
    <w:rsid w:val="00F568FF"/>
    <w:rsid w:val="00F5737D"/>
    <w:rsid w:val="00F57FB4"/>
    <w:rsid w:val="00F73CF6"/>
    <w:rsid w:val="00F74A75"/>
    <w:rsid w:val="00F770A3"/>
    <w:rsid w:val="00F806F6"/>
    <w:rsid w:val="00F924C8"/>
    <w:rsid w:val="00F94F8F"/>
    <w:rsid w:val="00FA50A4"/>
    <w:rsid w:val="00FC3248"/>
    <w:rsid w:val="00FE4327"/>
    <w:rsid w:val="00FE725E"/>
    <w:rsid w:val="00FF0487"/>
    <w:rsid w:val="00FF1491"/>
    <w:rsid w:val="00FF48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A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36A0"/>
    <w:pPr>
      <w:ind w:left="720"/>
    </w:pPr>
  </w:style>
  <w:style w:type="paragraph" w:customStyle="1" w:styleId="MediumGrid1-Accent21">
    <w:name w:val="Medium Grid 1 - Accent 21"/>
    <w:basedOn w:val="Normal"/>
    <w:uiPriority w:val="34"/>
    <w:qFormat/>
    <w:rsid w:val="005736A0"/>
    <w:pPr>
      <w:ind w:left="708"/>
    </w:pPr>
    <w:rPr>
      <w:rFonts w:eastAsia="Calibri"/>
    </w:rPr>
  </w:style>
  <w:style w:type="paragraph" w:styleId="BalloonText">
    <w:name w:val="Balloon Text"/>
    <w:basedOn w:val="Normal"/>
    <w:link w:val="BalloonTextChar"/>
    <w:uiPriority w:val="99"/>
    <w:semiHidden/>
    <w:unhideWhenUsed/>
    <w:rsid w:val="00B62359"/>
    <w:rPr>
      <w:rFonts w:ascii="Tahoma" w:hAnsi="Tahoma" w:cs="Tahoma"/>
      <w:sz w:val="16"/>
      <w:szCs w:val="16"/>
    </w:rPr>
  </w:style>
  <w:style w:type="character" w:customStyle="1" w:styleId="BalloonTextChar">
    <w:name w:val="Balloon Text Char"/>
    <w:basedOn w:val="DefaultParagraphFont"/>
    <w:link w:val="BalloonText"/>
    <w:uiPriority w:val="99"/>
    <w:semiHidden/>
    <w:rsid w:val="00B62359"/>
    <w:rPr>
      <w:rFonts w:ascii="Tahoma" w:eastAsia="Times New Roman" w:hAnsi="Tahoma" w:cs="Tahoma"/>
      <w:sz w:val="16"/>
      <w:szCs w:val="16"/>
      <w:lang w:val="fr-FR"/>
    </w:rPr>
  </w:style>
  <w:style w:type="paragraph" w:styleId="Header">
    <w:name w:val="header"/>
    <w:basedOn w:val="Normal"/>
    <w:link w:val="HeaderChar"/>
    <w:uiPriority w:val="99"/>
    <w:unhideWhenUsed/>
    <w:rsid w:val="00837DB9"/>
    <w:pPr>
      <w:tabs>
        <w:tab w:val="center" w:pos="4252"/>
        <w:tab w:val="right" w:pos="8504"/>
      </w:tabs>
    </w:pPr>
  </w:style>
  <w:style w:type="character" w:customStyle="1" w:styleId="HeaderChar">
    <w:name w:val="Header Char"/>
    <w:basedOn w:val="DefaultParagraphFont"/>
    <w:link w:val="Header"/>
    <w:uiPriority w:val="99"/>
    <w:rsid w:val="00837DB9"/>
    <w:rPr>
      <w:rFonts w:ascii="Times New Roman" w:eastAsia="Times New Roman" w:hAnsi="Times New Roman" w:cs="Times New Roman"/>
      <w:sz w:val="20"/>
      <w:szCs w:val="24"/>
      <w:lang w:val="fr-FR"/>
    </w:rPr>
  </w:style>
  <w:style w:type="paragraph" w:styleId="Footer">
    <w:name w:val="footer"/>
    <w:basedOn w:val="Normal"/>
    <w:link w:val="FooterChar"/>
    <w:uiPriority w:val="99"/>
    <w:unhideWhenUsed/>
    <w:rsid w:val="00837DB9"/>
    <w:pPr>
      <w:tabs>
        <w:tab w:val="center" w:pos="4252"/>
        <w:tab w:val="right" w:pos="8504"/>
      </w:tabs>
    </w:pPr>
  </w:style>
  <w:style w:type="character" w:customStyle="1" w:styleId="FooterChar">
    <w:name w:val="Footer Char"/>
    <w:basedOn w:val="DefaultParagraphFont"/>
    <w:link w:val="Footer"/>
    <w:uiPriority w:val="99"/>
    <w:rsid w:val="00837DB9"/>
    <w:rPr>
      <w:rFonts w:ascii="Times New Roman" w:eastAsia="Times New Roman" w:hAnsi="Times New Roman" w:cs="Times New Roman"/>
      <w:sz w:val="20"/>
      <w:szCs w:val="24"/>
      <w:lang w:val="fr-FR"/>
    </w:rPr>
  </w:style>
  <w:style w:type="paragraph" w:styleId="BodyText">
    <w:name w:val="Body Text"/>
    <w:basedOn w:val="Normal"/>
    <w:link w:val="BodyTextChar"/>
    <w:uiPriority w:val="1"/>
    <w:qFormat/>
    <w:rsid w:val="0073546F"/>
    <w:pPr>
      <w:widowControl w:val="0"/>
      <w:autoSpaceDE w:val="0"/>
      <w:autoSpaceDN w:val="0"/>
    </w:pPr>
    <w:rPr>
      <w:rFonts w:ascii="Cambria" w:eastAsia="Cambria" w:hAnsi="Cambria" w:cs="Cambria"/>
      <w:szCs w:val="20"/>
      <w:lang w:eastAsia="en-US" w:bidi="ar-SA"/>
    </w:rPr>
  </w:style>
  <w:style w:type="character" w:customStyle="1" w:styleId="BodyTextChar">
    <w:name w:val="Body Text Char"/>
    <w:basedOn w:val="DefaultParagraphFont"/>
    <w:link w:val="BodyText"/>
    <w:uiPriority w:val="1"/>
    <w:rsid w:val="0073546F"/>
    <w:rPr>
      <w:rFonts w:ascii="Cambria" w:eastAsia="Cambria" w:hAnsi="Cambria" w:cs="Cambria"/>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861254">
      <w:bodyDiv w:val="1"/>
      <w:marLeft w:val="0"/>
      <w:marRight w:val="0"/>
      <w:marTop w:val="0"/>
      <w:marBottom w:val="0"/>
      <w:divBdr>
        <w:top w:val="none" w:sz="0" w:space="0" w:color="auto"/>
        <w:left w:val="none" w:sz="0" w:space="0" w:color="auto"/>
        <w:bottom w:val="none" w:sz="0" w:space="0" w:color="auto"/>
        <w:right w:val="none" w:sz="0" w:space="0" w:color="auto"/>
      </w:divBdr>
    </w:div>
    <w:div w:id="998919095">
      <w:bodyDiv w:val="1"/>
      <w:marLeft w:val="0"/>
      <w:marRight w:val="0"/>
      <w:marTop w:val="0"/>
      <w:marBottom w:val="0"/>
      <w:divBdr>
        <w:top w:val="none" w:sz="0" w:space="0" w:color="auto"/>
        <w:left w:val="none" w:sz="0" w:space="0" w:color="auto"/>
        <w:bottom w:val="none" w:sz="0" w:space="0" w:color="auto"/>
        <w:right w:val="none" w:sz="0" w:space="0" w:color="auto"/>
      </w:divBdr>
    </w:div>
    <w:div w:id="1060325304">
      <w:bodyDiv w:val="1"/>
      <w:marLeft w:val="0"/>
      <w:marRight w:val="0"/>
      <w:marTop w:val="0"/>
      <w:marBottom w:val="0"/>
      <w:divBdr>
        <w:top w:val="none" w:sz="0" w:space="0" w:color="auto"/>
        <w:left w:val="none" w:sz="0" w:space="0" w:color="auto"/>
        <w:bottom w:val="none" w:sz="0" w:space="0" w:color="auto"/>
        <w:right w:val="none" w:sz="0" w:space="0" w:color="auto"/>
      </w:divBdr>
    </w:div>
    <w:div w:id="209134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5E50-C3A8-4F4A-87C0-E228614B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2014-11-16T18:45:00Z</dcterms:created>
  <dcterms:modified xsi:type="dcterms:W3CDTF">2024-12-09T14:01:00Z</dcterms:modified>
</cp:coreProperties>
</file>