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D2EE" w14:textId="0EB1C364" w:rsidR="001E1C24" w:rsidRPr="00786E2A" w:rsidRDefault="001E1C24" w:rsidP="001E1C24">
      <w:pPr>
        <w:pBdr>
          <w:top w:val="double" w:sz="4" w:space="1" w:color="auto"/>
          <w:left w:val="double" w:sz="4" w:space="4" w:color="auto"/>
          <w:bottom w:val="double" w:sz="4" w:space="1" w:color="auto"/>
          <w:right w:val="double" w:sz="4" w:space="4" w:color="auto"/>
        </w:pBdr>
        <w:tabs>
          <w:tab w:val="left" w:pos="300"/>
        </w:tabs>
        <w:jc w:val="both"/>
        <w:rPr>
          <w:rFonts w:ascii="Cambria" w:hAnsi="Cambria"/>
          <w:b/>
          <w:bCs/>
          <w:sz w:val="20"/>
          <w:szCs w:val="20"/>
        </w:rPr>
      </w:pPr>
      <w:r w:rsidRPr="00786E2A">
        <w:rPr>
          <w:rFonts w:ascii="Cambria" w:hAnsi="Cambria"/>
          <w:b/>
          <w:bCs/>
          <w:sz w:val="20"/>
          <w:szCs w:val="20"/>
        </w:rPr>
        <w:t>24-1</w:t>
      </w:r>
      <w:r w:rsidR="00F90469" w:rsidRPr="00786E2A">
        <w:rPr>
          <w:rFonts w:ascii="Cambria" w:hAnsi="Cambria"/>
          <w:b/>
          <w:bCs/>
          <w:sz w:val="20"/>
          <w:szCs w:val="20"/>
        </w:rPr>
        <w:t>2</w:t>
      </w:r>
      <w:r w:rsidRPr="00786E2A">
        <w:rPr>
          <w:rFonts w:ascii="Cambria" w:hAnsi="Cambria"/>
          <w:b/>
          <w:bCs/>
          <w:sz w:val="20"/>
          <w:szCs w:val="20"/>
        </w:rPr>
        <w:tab/>
      </w:r>
      <w:r w:rsidRPr="00786E2A">
        <w:rPr>
          <w:rFonts w:ascii="Cambria" w:hAnsi="Cambria"/>
          <w:b/>
          <w:bCs/>
          <w:sz w:val="20"/>
          <w:szCs w:val="20"/>
        </w:rPr>
        <w:tab/>
      </w:r>
      <w:r w:rsidRPr="00786E2A">
        <w:rPr>
          <w:rFonts w:ascii="Cambria" w:hAnsi="Cambria"/>
          <w:b/>
          <w:bCs/>
          <w:sz w:val="20"/>
          <w:szCs w:val="20"/>
        </w:rPr>
        <w:tab/>
      </w:r>
      <w:r w:rsidRPr="00786E2A">
        <w:rPr>
          <w:rFonts w:ascii="Cambria" w:hAnsi="Cambria"/>
          <w:b/>
          <w:bCs/>
          <w:sz w:val="20"/>
          <w:szCs w:val="20"/>
        </w:rPr>
        <w:tab/>
      </w:r>
      <w:r w:rsidRPr="00786E2A">
        <w:rPr>
          <w:rFonts w:ascii="Cambria" w:hAnsi="Cambria"/>
          <w:b/>
          <w:bCs/>
          <w:sz w:val="20"/>
          <w:szCs w:val="20"/>
        </w:rPr>
        <w:tab/>
      </w:r>
      <w:r w:rsidRPr="00786E2A">
        <w:rPr>
          <w:rFonts w:ascii="Cambria" w:hAnsi="Cambria"/>
          <w:b/>
          <w:bCs/>
          <w:sz w:val="20"/>
          <w:szCs w:val="20"/>
        </w:rPr>
        <w:tab/>
      </w:r>
      <w:r w:rsidRPr="00786E2A">
        <w:rPr>
          <w:rFonts w:ascii="Cambria" w:hAnsi="Cambria"/>
          <w:b/>
          <w:bCs/>
          <w:sz w:val="20"/>
          <w:szCs w:val="20"/>
        </w:rPr>
        <w:tab/>
      </w:r>
      <w:r w:rsidRPr="00786E2A">
        <w:rPr>
          <w:rFonts w:ascii="Cambria" w:hAnsi="Cambria"/>
          <w:b/>
          <w:bCs/>
          <w:sz w:val="20"/>
          <w:szCs w:val="20"/>
        </w:rPr>
        <w:tab/>
      </w:r>
      <w:r w:rsidRPr="00786E2A">
        <w:rPr>
          <w:rFonts w:ascii="Cambria" w:hAnsi="Cambria"/>
          <w:b/>
          <w:bCs/>
          <w:sz w:val="20"/>
          <w:szCs w:val="20"/>
        </w:rPr>
        <w:tab/>
      </w:r>
      <w:r w:rsidRPr="00786E2A">
        <w:rPr>
          <w:rFonts w:ascii="Cambria" w:hAnsi="Cambria"/>
          <w:b/>
          <w:bCs/>
          <w:sz w:val="20"/>
          <w:szCs w:val="20"/>
        </w:rPr>
        <w:tab/>
      </w:r>
      <w:r w:rsidRPr="00786E2A">
        <w:rPr>
          <w:rFonts w:ascii="Cambria" w:hAnsi="Cambria"/>
          <w:b/>
          <w:bCs/>
          <w:sz w:val="20"/>
          <w:szCs w:val="20"/>
        </w:rPr>
        <w:tab/>
      </w:r>
      <w:r w:rsidRPr="00786E2A">
        <w:rPr>
          <w:rFonts w:ascii="Cambria" w:hAnsi="Cambria"/>
          <w:b/>
          <w:bCs/>
          <w:sz w:val="20"/>
          <w:szCs w:val="20"/>
        </w:rPr>
        <w:tab/>
        <w:t>BYC</w:t>
      </w:r>
    </w:p>
    <w:p w14:paraId="67112125" w14:textId="77777777" w:rsidR="001E1C24" w:rsidRPr="00786E2A" w:rsidRDefault="001E1C24" w:rsidP="00DE4A35">
      <w:pPr>
        <w:pBdr>
          <w:top w:val="double" w:sz="4" w:space="1" w:color="auto"/>
          <w:left w:val="double" w:sz="4" w:space="4" w:color="auto"/>
          <w:bottom w:val="double" w:sz="4" w:space="1" w:color="auto"/>
          <w:right w:val="double" w:sz="4" w:space="4" w:color="auto"/>
        </w:pBdr>
        <w:tabs>
          <w:tab w:val="left" w:pos="300"/>
        </w:tabs>
        <w:jc w:val="center"/>
        <w:rPr>
          <w:rFonts w:ascii="Cambria" w:hAnsi="Cambria"/>
          <w:b/>
          <w:bCs/>
          <w:sz w:val="20"/>
          <w:szCs w:val="20"/>
        </w:rPr>
      </w:pPr>
    </w:p>
    <w:p w14:paraId="1BEDB251" w14:textId="39083F26" w:rsidR="009E4D27" w:rsidRPr="00786E2A" w:rsidRDefault="00DE4A35" w:rsidP="00DE4A35">
      <w:pPr>
        <w:pBdr>
          <w:top w:val="double" w:sz="4" w:space="1" w:color="auto"/>
          <w:left w:val="double" w:sz="4" w:space="4" w:color="auto"/>
          <w:bottom w:val="double" w:sz="4" w:space="1" w:color="auto"/>
          <w:right w:val="double" w:sz="4" w:space="4" w:color="auto"/>
        </w:pBdr>
        <w:tabs>
          <w:tab w:val="left" w:pos="300"/>
        </w:tabs>
        <w:jc w:val="center"/>
        <w:rPr>
          <w:rFonts w:ascii="Cambria" w:hAnsi="Cambria"/>
          <w:b/>
          <w:bCs/>
          <w:sz w:val="20"/>
          <w:szCs w:val="20"/>
        </w:rPr>
      </w:pPr>
      <w:r w:rsidRPr="00786E2A">
        <w:rPr>
          <w:rFonts w:ascii="Cambria" w:hAnsi="Cambria"/>
          <w:b/>
          <w:bCs/>
          <w:sz w:val="20"/>
          <w:szCs w:val="20"/>
        </w:rPr>
        <w:t>RECOMMANDATION DE L’ICCAT REMPLAÇANT LA RECOMMANDATION 23-14 SUR LES RAIES MOBULID</w:t>
      </w:r>
      <w:r w:rsidR="00EF2EC2" w:rsidRPr="00786E2A">
        <w:rPr>
          <w:rFonts w:ascii="Cambria" w:hAnsi="Cambria"/>
          <w:b/>
          <w:bCs/>
          <w:sz w:val="20"/>
          <w:szCs w:val="20"/>
        </w:rPr>
        <w:t>É</w:t>
      </w:r>
      <w:r w:rsidRPr="00786E2A">
        <w:rPr>
          <w:rFonts w:ascii="Cambria" w:hAnsi="Cambria"/>
          <w:b/>
          <w:bCs/>
          <w:sz w:val="20"/>
          <w:szCs w:val="20"/>
        </w:rPr>
        <w:t>ES (FAMILLE MOBULIDAE) CAPTUR</w:t>
      </w:r>
      <w:r w:rsidR="00EF2EC2" w:rsidRPr="00786E2A">
        <w:rPr>
          <w:rFonts w:ascii="Cambria" w:hAnsi="Cambria"/>
          <w:b/>
          <w:bCs/>
          <w:sz w:val="20"/>
          <w:szCs w:val="20"/>
        </w:rPr>
        <w:t>É</w:t>
      </w:r>
      <w:r w:rsidRPr="00786E2A">
        <w:rPr>
          <w:rFonts w:ascii="Cambria" w:hAnsi="Cambria"/>
          <w:b/>
          <w:bCs/>
          <w:sz w:val="20"/>
          <w:szCs w:val="20"/>
        </w:rPr>
        <w:t>ES EN ASSOCIATION AVEC LES P</w:t>
      </w:r>
      <w:r w:rsidR="00EF2EC2" w:rsidRPr="00786E2A">
        <w:rPr>
          <w:rFonts w:ascii="Cambria" w:hAnsi="Cambria"/>
          <w:b/>
          <w:bCs/>
          <w:sz w:val="20"/>
          <w:szCs w:val="20"/>
        </w:rPr>
        <w:t>Ê</w:t>
      </w:r>
      <w:r w:rsidRPr="00786E2A">
        <w:rPr>
          <w:rFonts w:ascii="Cambria" w:hAnsi="Cambria"/>
          <w:b/>
          <w:bCs/>
          <w:sz w:val="20"/>
          <w:szCs w:val="20"/>
        </w:rPr>
        <w:t>CHERIES DE L’ICCAT</w:t>
      </w:r>
    </w:p>
    <w:p w14:paraId="49A56212" w14:textId="77777777" w:rsidR="001E1C24" w:rsidRPr="00786E2A" w:rsidRDefault="001E1C24" w:rsidP="00DE4A35">
      <w:pPr>
        <w:pBdr>
          <w:top w:val="double" w:sz="4" w:space="1" w:color="auto"/>
          <w:left w:val="double" w:sz="4" w:space="4" w:color="auto"/>
          <w:bottom w:val="double" w:sz="4" w:space="1" w:color="auto"/>
          <w:right w:val="double" w:sz="4" w:space="4" w:color="auto"/>
        </w:pBdr>
        <w:tabs>
          <w:tab w:val="left" w:pos="300"/>
        </w:tabs>
        <w:jc w:val="center"/>
        <w:rPr>
          <w:rFonts w:ascii="Cambria" w:hAnsi="Cambria"/>
          <w:b/>
          <w:bCs/>
          <w:sz w:val="20"/>
          <w:szCs w:val="20"/>
        </w:rPr>
      </w:pPr>
    </w:p>
    <w:p w14:paraId="794E362A" w14:textId="77777777" w:rsidR="00F8008C" w:rsidRPr="00786E2A" w:rsidRDefault="00F8008C" w:rsidP="00F8008C">
      <w:pPr>
        <w:tabs>
          <w:tab w:val="left" w:pos="300"/>
        </w:tabs>
        <w:jc w:val="center"/>
        <w:rPr>
          <w:rFonts w:ascii="Cambria" w:hAnsi="Cambria"/>
          <w:b/>
          <w:bCs/>
          <w:sz w:val="20"/>
          <w:szCs w:val="20"/>
        </w:rPr>
      </w:pPr>
    </w:p>
    <w:p w14:paraId="44484EE7" w14:textId="77777777" w:rsidR="001E1C24" w:rsidRPr="00786E2A" w:rsidRDefault="001E1C24" w:rsidP="00F8008C">
      <w:pPr>
        <w:tabs>
          <w:tab w:val="left" w:pos="300"/>
        </w:tabs>
        <w:jc w:val="center"/>
        <w:rPr>
          <w:rFonts w:ascii="Cambria" w:hAnsi="Cambria"/>
          <w:b/>
          <w:bCs/>
          <w:sz w:val="20"/>
          <w:szCs w:val="20"/>
        </w:rPr>
      </w:pPr>
    </w:p>
    <w:p w14:paraId="3D3D851E" w14:textId="77777777" w:rsidR="009E4D27" w:rsidRPr="00786E2A" w:rsidRDefault="009E4D27" w:rsidP="00F8008C">
      <w:pPr>
        <w:ind w:firstLine="426"/>
        <w:jc w:val="both"/>
        <w:rPr>
          <w:rFonts w:ascii="Cambria" w:eastAsia="Calibri" w:hAnsi="Cambria" w:cs="Arial"/>
          <w:iCs/>
          <w:kern w:val="2"/>
          <w:sz w:val="20"/>
          <w:szCs w:val="20"/>
          <w14:ligatures w14:val="standardContextual"/>
        </w:rPr>
      </w:pPr>
      <w:r w:rsidRPr="00786E2A">
        <w:rPr>
          <w:rFonts w:ascii="Cambria" w:hAnsi="Cambria"/>
          <w:i/>
          <w:sz w:val="20"/>
          <w:szCs w:val="20"/>
        </w:rPr>
        <w:t xml:space="preserve">CONSIDÉRANT </w:t>
      </w:r>
      <w:r w:rsidRPr="00786E2A">
        <w:rPr>
          <w:rFonts w:ascii="Cambria" w:hAnsi="Cambria"/>
          <w:sz w:val="20"/>
          <w:szCs w:val="20"/>
        </w:rPr>
        <w:t xml:space="preserve">que les raies </w:t>
      </w:r>
      <w:proofErr w:type="spellStart"/>
      <w:r w:rsidRPr="00786E2A">
        <w:rPr>
          <w:rFonts w:ascii="Cambria" w:hAnsi="Cambria"/>
          <w:sz w:val="20"/>
          <w:szCs w:val="20"/>
        </w:rPr>
        <w:t>manta</w:t>
      </w:r>
      <w:proofErr w:type="spellEnd"/>
      <w:r w:rsidRPr="00786E2A">
        <w:rPr>
          <w:rFonts w:ascii="Cambria" w:hAnsi="Cambria"/>
          <w:sz w:val="20"/>
          <w:szCs w:val="20"/>
        </w:rPr>
        <w:t xml:space="preserve"> et les raies </w:t>
      </w:r>
      <w:proofErr w:type="spellStart"/>
      <w:r w:rsidRPr="00786E2A">
        <w:rPr>
          <w:rFonts w:ascii="Cambria" w:hAnsi="Cambria"/>
          <w:sz w:val="20"/>
          <w:szCs w:val="20"/>
        </w:rPr>
        <w:t>mobula</w:t>
      </w:r>
      <w:proofErr w:type="spellEnd"/>
      <w:r w:rsidRPr="00786E2A">
        <w:rPr>
          <w:rFonts w:ascii="Cambria" w:hAnsi="Cambria"/>
          <w:sz w:val="20"/>
          <w:szCs w:val="20"/>
        </w:rPr>
        <w:t xml:space="preserve"> de la famille </w:t>
      </w:r>
      <w:proofErr w:type="spellStart"/>
      <w:r w:rsidRPr="00786E2A">
        <w:rPr>
          <w:rFonts w:ascii="Cambria" w:hAnsi="Cambria"/>
          <w:iCs/>
          <w:sz w:val="20"/>
          <w:szCs w:val="20"/>
        </w:rPr>
        <w:t>Mobulidae</w:t>
      </w:r>
      <w:proofErr w:type="spellEnd"/>
      <w:r w:rsidRPr="00786E2A">
        <w:rPr>
          <w:rFonts w:ascii="Cambria" w:hAnsi="Cambria"/>
          <w:sz w:val="20"/>
          <w:szCs w:val="20"/>
        </w:rPr>
        <w:t xml:space="preserve"> (ci-après dénommées « raies </w:t>
      </w:r>
      <w:proofErr w:type="spellStart"/>
      <w:r w:rsidRPr="00786E2A">
        <w:rPr>
          <w:rFonts w:ascii="Cambria" w:hAnsi="Cambria"/>
          <w:sz w:val="20"/>
          <w:szCs w:val="20"/>
        </w:rPr>
        <w:t>mobulidées</w:t>
      </w:r>
      <w:proofErr w:type="spellEnd"/>
      <w:r w:rsidRPr="00786E2A">
        <w:rPr>
          <w:rFonts w:ascii="Cambria" w:hAnsi="Cambria"/>
          <w:sz w:val="20"/>
          <w:szCs w:val="20"/>
        </w:rPr>
        <w:t> ») sont capturées en association avec les pêcheries de l’ICCAT ;</w:t>
      </w:r>
    </w:p>
    <w:p w14:paraId="7C28A982" w14:textId="77777777" w:rsidR="009E4D27" w:rsidRPr="00786E2A" w:rsidRDefault="009E4D27" w:rsidP="00F8008C">
      <w:pPr>
        <w:ind w:firstLine="426"/>
        <w:jc w:val="both"/>
        <w:rPr>
          <w:rFonts w:ascii="Cambria" w:eastAsia="Calibri" w:hAnsi="Cambria" w:cs="Arial"/>
          <w:b/>
          <w:i/>
          <w:kern w:val="2"/>
          <w:sz w:val="20"/>
          <w:szCs w:val="20"/>
          <w14:ligatures w14:val="standardContextual"/>
        </w:rPr>
      </w:pPr>
    </w:p>
    <w:p w14:paraId="3EFBE9B8" w14:textId="77777777" w:rsidR="009E4D27" w:rsidRPr="00786E2A" w:rsidRDefault="009E4D27" w:rsidP="00F8008C">
      <w:pPr>
        <w:ind w:firstLine="426"/>
        <w:jc w:val="both"/>
        <w:rPr>
          <w:rFonts w:ascii="Cambria" w:eastAsia="Calibri" w:hAnsi="Cambria" w:cs="Arial"/>
          <w:iCs/>
          <w:kern w:val="2"/>
          <w:sz w:val="20"/>
          <w:szCs w:val="20"/>
          <w14:ligatures w14:val="standardContextual"/>
        </w:rPr>
      </w:pPr>
      <w:r w:rsidRPr="00786E2A">
        <w:rPr>
          <w:rFonts w:ascii="Cambria" w:hAnsi="Cambria"/>
          <w:i/>
          <w:sz w:val="20"/>
          <w:szCs w:val="20"/>
        </w:rPr>
        <w:t xml:space="preserve">NOTANT </w:t>
      </w:r>
      <w:r w:rsidRPr="00786E2A">
        <w:rPr>
          <w:rFonts w:ascii="Cambria" w:hAnsi="Cambria"/>
          <w:sz w:val="20"/>
          <w:szCs w:val="20"/>
        </w:rPr>
        <w:t xml:space="preserve">que les raies </w:t>
      </w:r>
      <w:proofErr w:type="spellStart"/>
      <w:r w:rsidRPr="00786E2A">
        <w:rPr>
          <w:rFonts w:ascii="Cambria" w:hAnsi="Cambria"/>
          <w:sz w:val="20"/>
          <w:szCs w:val="20"/>
        </w:rPr>
        <w:t>mobulidées</w:t>
      </w:r>
      <w:proofErr w:type="spellEnd"/>
      <w:r w:rsidRPr="00786E2A">
        <w:rPr>
          <w:rFonts w:ascii="Cambria" w:hAnsi="Cambria"/>
          <w:sz w:val="20"/>
          <w:szCs w:val="20"/>
        </w:rPr>
        <w:t xml:space="preserve"> présentent des taux de croissance lents et une fécondité très faible, et que les taux de croissance de la population sont très bas, ce qui les rend extrêmement vulnérables à la surpêche ;</w:t>
      </w:r>
    </w:p>
    <w:p w14:paraId="61421DAB" w14:textId="77777777" w:rsidR="009E4D27" w:rsidRPr="00786E2A" w:rsidRDefault="009E4D27" w:rsidP="00F8008C">
      <w:pPr>
        <w:ind w:firstLine="426"/>
        <w:jc w:val="both"/>
        <w:rPr>
          <w:rFonts w:ascii="Cambria" w:eastAsia="Calibri" w:hAnsi="Cambria" w:cs="Arial"/>
          <w:iCs/>
          <w:kern w:val="2"/>
          <w:sz w:val="20"/>
          <w:szCs w:val="20"/>
          <w14:ligatures w14:val="standardContextual"/>
        </w:rPr>
      </w:pPr>
    </w:p>
    <w:p w14:paraId="4079238E" w14:textId="77777777" w:rsidR="009E4D27" w:rsidRPr="00786E2A" w:rsidRDefault="009E4D27" w:rsidP="00F8008C">
      <w:pPr>
        <w:ind w:firstLine="426"/>
        <w:jc w:val="both"/>
        <w:rPr>
          <w:rFonts w:ascii="Cambria" w:eastAsia="Calibri" w:hAnsi="Cambria" w:cs="Arial"/>
          <w:iCs/>
          <w:sz w:val="20"/>
          <w:szCs w:val="20"/>
        </w:rPr>
      </w:pPr>
      <w:r w:rsidRPr="00786E2A">
        <w:rPr>
          <w:rFonts w:ascii="Cambria" w:hAnsi="Cambria"/>
          <w:i/>
          <w:sz w:val="20"/>
          <w:szCs w:val="20"/>
        </w:rPr>
        <w:t xml:space="preserve">NOTANT ÉGALEMENT </w:t>
      </w:r>
      <w:r w:rsidRPr="00786E2A">
        <w:rPr>
          <w:rFonts w:ascii="Cambria" w:hAnsi="Cambria"/>
          <w:sz w:val="20"/>
          <w:szCs w:val="20"/>
        </w:rPr>
        <w:t xml:space="preserve">que les raies </w:t>
      </w:r>
      <w:proofErr w:type="spellStart"/>
      <w:r w:rsidRPr="00786E2A">
        <w:rPr>
          <w:rFonts w:ascii="Cambria" w:hAnsi="Cambria"/>
          <w:sz w:val="20"/>
          <w:szCs w:val="20"/>
        </w:rPr>
        <w:t>mobulidées</w:t>
      </w:r>
      <w:proofErr w:type="spellEnd"/>
      <w:r w:rsidRPr="00786E2A">
        <w:rPr>
          <w:rFonts w:ascii="Cambria" w:hAnsi="Cambria"/>
          <w:sz w:val="20"/>
          <w:szCs w:val="20"/>
        </w:rPr>
        <w:t xml:space="preserve"> font partie des taxons de Chondrichtyens dont la durabilité fait l’objet de préoccupations, et que toutes les espèces de </w:t>
      </w:r>
      <w:proofErr w:type="spellStart"/>
      <w:r w:rsidRPr="00786E2A">
        <w:rPr>
          <w:rFonts w:ascii="Cambria" w:hAnsi="Cambria"/>
          <w:sz w:val="20"/>
          <w:szCs w:val="20"/>
        </w:rPr>
        <w:t>mobulidés</w:t>
      </w:r>
      <w:proofErr w:type="spellEnd"/>
      <w:r w:rsidRPr="00786E2A">
        <w:rPr>
          <w:rFonts w:ascii="Cambria" w:hAnsi="Cambria"/>
          <w:sz w:val="20"/>
          <w:szCs w:val="20"/>
        </w:rPr>
        <w:t xml:space="preserve"> déclarées dans la zone de la Convention de l’ICCAT qui ont été évaluées par l'Union internationale pour la conservation de la nature (IUCN) sont soupçonnées de répondre aux critères de la catégorie « menacées d'extinction » ;</w:t>
      </w:r>
    </w:p>
    <w:p w14:paraId="0255D0C9" w14:textId="77777777" w:rsidR="009E4D27" w:rsidRPr="00786E2A" w:rsidRDefault="009E4D27" w:rsidP="00F8008C">
      <w:pPr>
        <w:ind w:firstLine="426"/>
        <w:jc w:val="both"/>
        <w:rPr>
          <w:rFonts w:ascii="Cambria" w:eastAsia="Calibri" w:hAnsi="Cambria" w:cs="Arial"/>
          <w:i/>
          <w:sz w:val="20"/>
          <w:szCs w:val="20"/>
        </w:rPr>
      </w:pPr>
    </w:p>
    <w:p w14:paraId="31376C76" w14:textId="77777777" w:rsidR="009E4D27" w:rsidRPr="00786E2A" w:rsidRDefault="009E4D27" w:rsidP="00F8008C">
      <w:pPr>
        <w:ind w:firstLine="426"/>
        <w:jc w:val="both"/>
        <w:rPr>
          <w:rFonts w:ascii="Cambria" w:eastAsia="Calibri" w:hAnsi="Cambria" w:cs="Arial"/>
          <w:iCs/>
          <w:sz w:val="20"/>
          <w:szCs w:val="20"/>
        </w:rPr>
      </w:pPr>
      <w:r w:rsidRPr="00786E2A">
        <w:rPr>
          <w:rFonts w:ascii="Cambria" w:hAnsi="Cambria"/>
          <w:i/>
          <w:sz w:val="20"/>
          <w:szCs w:val="20"/>
        </w:rPr>
        <w:t xml:space="preserve">CONSIDÉRANT </w:t>
      </w:r>
      <w:r w:rsidRPr="00786E2A">
        <w:rPr>
          <w:rFonts w:ascii="Cambria" w:hAnsi="Cambria"/>
          <w:sz w:val="20"/>
          <w:szCs w:val="20"/>
        </w:rPr>
        <w:t xml:space="preserve">que toutes les espèces de raies </w:t>
      </w:r>
      <w:proofErr w:type="spellStart"/>
      <w:r w:rsidRPr="00786E2A">
        <w:rPr>
          <w:rFonts w:ascii="Cambria" w:hAnsi="Cambria"/>
          <w:sz w:val="20"/>
          <w:szCs w:val="20"/>
        </w:rPr>
        <w:t>mobulidées</w:t>
      </w:r>
      <w:proofErr w:type="spellEnd"/>
      <w:r w:rsidRPr="00786E2A">
        <w:rPr>
          <w:rFonts w:ascii="Cambria" w:hAnsi="Cambria"/>
          <w:sz w:val="20"/>
          <w:szCs w:val="20"/>
        </w:rPr>
        <w:t xml:space="preserve"> sont inscrites aux annexes I et II de la Convention sur la conservation des espèces migratrices appartenant à la faune sauvage (CMS) ;</w:t>
      </w:r>
    </w:p>
    <w:p w14:paraId="3648C29D" w14:textId="77777777" w:rsidR="009E4D27" w:rsidRPr="00786E2A" w:rsidRDefault="009E4D27" w:rsidP="00F8008C">
      <w:pPr>
        <w:ind w:firstLine="426"/>
        <w:jc w:val="both"/>
        <w:rPr>
          <w:rFonts w:ascii="Cambria" w:eastAsia="Calibri" w:hAnsi="Cambria" w:cs="Arial"/>
          <w:i/>
          <w:sz w:val="20"/>
          <w:szCs w:val="20"/>
        </w:rPr>
      </w:pPr>
    </w:p>
    <w:p w14:paraId="205EC00D" w14:textId="77777777" w:rsidR="009E4D27" w:rsidRPr="00786E2A" w:rsidRDefault="009E4D27" w:rsidP="00F8008C">
      <w:pPr>
        <w:ind w:firstLine="426"/>
        <w:jc w:val="both"/>
        <w:rPr>
          <w:rFonts w:ascii="Cambria" w:eastAsia="Calibri" w:hAnsi="Cambria" w:cs="Arial"/>
          <w:iCs/>
          <w:sz w:val="20"/>
          <w:szCs w:val="20"/>
        </w:rPr>
      </w:pPr>
      <w:r w:rsidRPr="00786E2A">
        <w:rPr>
          <w:rFonts w:ascii="Cambria" w:hAnsi="Cambria"/>
          <w:i/>
          <w:sz w:val="20"/>
          <w:szCs w:val="20"/>
        </w:rPr>
        <w:t xml:space="preserve">NOTANT </w:t>
      </w:r>
      <w:r w:rsidRPr="00786E2A">
        <w:rPr>
          <w:rFonts w:ascii="Cambria" w:hAnsi="Cambria"/>
          <w:sz w:val="20"/>
          <w:szCs w:val="20"/>
        </w:rPr>
        <w:t xml:space="preserve">que les Parties à la CMS « qui sont des États de l'aire de répartition d'une espèce migratrice inscrite à l'annexe I interdisent le prélèvement d'animaux appartenant à ces espèces » et que plusieurs flottilles opérant dans la zone de la Convention de l’ICCAT mettent déjà en œuvre des mesures de protection des raies </w:t>
      </w:r>
      <w:proofErr w:type="spellStart"/>
      <w:r w:rsidRPr="00786E2A">
        <w:rPr>
          <w:rFonts w:ascii="Cambria" w:hAnsi="Cambria"/>
          <w:sz w:val="20"/>
          <w:szCs w:val="20"/>
        </w:rPr>
        <w:t>mobulidées</w:t>
      </w:r>
      <w:proofErr w:type="spellEnd"/>
      <w:r w:rsidRPr="00786E2A">
        <w:rPr>
          <w:rFonts w:ascii="Cambria" w:hAnsi="Cambria"/>
          <w:sz w:val="20"/>
          <w:szCs w:val="20"/>
        </w:rPr>
        <w:t> ;</w:t>
      </w:r>
    </w:p>
    <w:p w14:paraId="6DFA8358" w14:textId="77777777" w:rsidR="009E4D27" w:rsidRPr="00786E2A" w:rsidRDefault="009E4D27" w:rsidP="00F8008C">
      <w:pPr>
        <w:ind w:firstLine="426"/>
        <w:jc w:val="both"/>
        <w:rPr>
          <w:rFonts w:ascii="Cambria" w:eastAsia="Calibri" w:hAnsi="Cambria" w:cs="Arial"/>
          <w:i/>
          <w:sz w:val="20"/>
          <w:szCs w:val="20"/>
        </w:rPr>
      </w:pPr>
    </w:p>
    <w:p w14:paraId="3E8DB1E4" w14:textId="68DA9659" w:rsidR="009E4D27" w:rsidRPr="00786E2A" w:rsidRDefault="009E4D27" w:rsidP="00F8008C">
      <w:pPr>
        <w:ind w:firstLine="426"/>
        <w:jc w:val="both"/>
        <w:rPr>
          <w:rFonts w:ascii="Cambria" w:eastAsia="Calibri" w:hAnsi="Cambria" w:cs="Arial"/>
          <w:iCs/>
          <w:kern w:val="2"/>
          <w:sz w:val="20"/>
          <w:szCs w:val="20"/>
          <w14:ligatures w14:val="standardContextual"/>
        </w:rPr>
      </w:pPr>
      <w:r w:rsidRPr="00786E2A">
        <w:rPr>
          <w:rFonts w:ascii="Cambria" w:hAnsi="Cambria"/>
          <w:i/>
          <w:sz w:val="20"/>
          <w:szCs w:val="20"/>
        </w:rPr>
        <w:t>CONSIDÉRANT</w:t>
      </w:r>
      <w:r w:rsidRPr="00786E2A">
        <w:rPr>
          <w:rFonts w:ascii="Cambria" w:hAnsi="Cambria"/>
          <w:sz w:val="20"/>
          <w:szCs w:val="20"/>
        </w:rPr>
        <w:t xml:space="preserve"> que toutes les raies </w:t>
      </w:r>
      <w:proofErr w:type="spellStart"/>
      <w:r w:rsidRPr="00786E2A">
        <w:rPr>
          <w:rFonts w:ascii="Cambria" w:hAnsi="Cambria"/>
          <w:sz w:val="20"/>
          <w:szCs w:val="20"/>
        </w:rPr>
        <w:t>mobulidées</w:t>
      </w:r>
      <w:proofErr w:type="spellEnd"/>
      <w:r w:rsidRPr="00786E2A">
        <w:rPr>
          <w:rFonts w:ascii="Cambria" w:hAnsi="Cambria"/>
          <w:sz w:val="20"/>
          <w:szCs w:val="20"/>
        </w:rPr>
        <w:t xml:space="preserve"> sont inscrites à l'annexe II de la Convention sur le commerce international des espèces de faune et de flore sauvages menacées d'extinction (CITES), dont le commerce devra être étroitement contrôlé dans des conditions spécifiques, notamment que le commerce ne </w:t>
      </w:r>
      <w:r w:rsidR="00E50A17" w:rsidRPr="00786E2A">
        <w:rPr>
          <w:rFonts w:ascii="Cambria" w:hAnsi="Cambria"/>
          <w:sz w:val="20"/>
          <w:szCs w:val="20"/>
        </w:rPr>
        <w:t>devra</w:t>
      </w:r>
      <w:r w:rsidRPr="00786E2A">
        <w:rPr>
          <w:rFonts w:ascii="Cambria" w:hAnsi="Cambria"/>
          <w:sz w:val="20"/>
          <w:szCs w:val="20"/>
        </w:rPr>
        <w:t xml:space="preserve"> pas </w:t>
      </w:r>
      <w:r w:rsidR="00E50A17" w:rsidRPr="00786E2A">
        <w:rPr>
          <w:rFonts w:ascii="Cambria" w:hAnsi="Cambria"/>
          <w:sz w:val="20"/>
          <w:szCs w:val="20"/>
        </w:rPr>
        <w:t xml:space="preserve">nuire </w:t>
      </w:r>
      <w:r w:rsidRPr="00786E2A">
        <w:rPr>
          <w:rFonts w:ascii="Cambria" w:hAnsi="Cambria"/>
          <w:sz w:val="20"/>
          <w:szCs w:val="20"/>
        </w:rPr>
        <w:t xml:space="preserve">à la survie de l'espèce à l'état sauvage ; </w:t>
      </w:r>
    </w:p>
    <w:p w14:paraId="5CEE5975" w14:textId="77777777" w:rsidR="009E4D27" w:rsidRPr="00786E2A" w:rsidRDefault="009E4D27" w:rsidP="00F8008C">
      <w:pPr>
        <w:ind w:firstLine="426"/>
        <w:jc w:val="both"/>
        <w:rPr>
          <w:rFonts w:ascii="Cambria" w:eastAsia="Calibri" w:hAnsi="Cambria" w:cs="Arial"/>
          <w:i/>
          <w:sz w:val="20"/>
          <w:szCs w:val="20"/>
        </w:rPr>
      </w:pPr>
    </w:p>
    <w:p w14:paraId="3EEAD158" w14:textId="77777777" w:rsidR="009E4D27" w:rsidRPr="00786E2A" w:rsidRDefault="009E4D27" w:rsidP="00F8008C">
      <w:pPr>
        <w:ind w:firstLine="426"/>
        <w:jc w:val="both"/>
        <w:rPr>
          <w:rFonts w:ascii="Cambria" w:eastAsia="Calibri" w:hAnsi="Cambria" w:cs="Arial"/>
          <w:b/>
          <w:iCs/>
          <w:kern w:val="2"/>
          <w:sz w:val="20"/>
          <w:szCs w:val="20"/>
          <w14:ligatures w14:val="standardContextual"/>
        </w:rPr>
      </w:pPr>
      <w:r w:rsidRPr="00786E2A">
        <w:rPr>
          <w:rFonts w:ascii="Cambria" w:hAnsi="Cambria"/>
          <w:i/>
          <w:sz w:val="20"/>
          <w:szCs w:val="20"/>
        </w:rPr>
        <w:t xml:space="preserve">CONSIDÉRANT EN OUTRE </w:t>
      </w:r>
      <w:r w:rsidRPr="00786E2A">
        <w:rPr>
          <w:rFonts w:ascii="Cambria" w:hAnsi="Cambria"/>
          <w:sz w:val="20"/>
          <w:szCs w:val="20"/>
        </w:rPr>
        <w:t>que des mesures comparables ont été introduites dans d'autres Organisations régionales de gestion des pêches (ORGP) thonières, à savoir la Commission des thons de l'océan Indien (CTOI ; Résolution 19/03), la Commission interaméricaine du thon tropical (IATTC, Résolution C-15-04) et la Commission des pêches du Pacifique occidental et central (WCPFC, CMM 2019-05) ;</w:t>
      </w:r>
    </w:p>
    <w:p w14:paraId="516DEFC4" w14:textId="77777777" w:rsidR="009E4D27" w:rsidRPr="00786E2A" w:rsidRDefault="009E4D27" w:rsidP="00F8008C">
      <w:pPr>
        <w:jc w:val="both"/>
        <w:rPr>
          <w:rFonts w:ascii="Cambria" w:eastAsia="Calibri" w:hAnsi="Cambria" w:cs="Arial"/>
          <w:b/>
          <w:kern w:val="2"/>
          <w:sz w:val="20"/>
          <w:szCs w:val="20"/>
          <w14:ligatures w14:val="standardContextual"/>
        </w:rPr>
      </w:pPr>
    </w:p>
    <w:p w14:paraId="01940108" w14:textId="77777777" w:rsidR="009E4D27" w:rsidRPr="00786E2A" w:rsidRDefault="009E4D27" w:rsidP="00F8008C">
      <w:pPr>
        <w:ind w:firstLine="426"/>
        <w:jc w:val="both"/>
        <w:rPr>
          <w:rFonts w:ascii="Cambria" w:eastAsia="Calibri" w:hAnsi="Cambria" w:cs="Arial"/>
          <w:iCs/>
          <w:sz w:val="20"/>
          <w:szCs w:val="20"/>
        </w:rPr>
      </w:pPr>
      <w:r w:rsidRPr="00786E2A">
        <w:rPr>
          <w:rFonts w:ascii="Cambria" w:hAnsi="Cambria"/>
          <w:i/>
          <w:iCs/>
          <w:sz w:val="20"/>
          <w:szCs w:val="20"/>
        </w:rPr>
        <w:t>NOTANT EN OUTRE</w:t>
      </w:r>
      <w:r w:rsidRPr="00786E2A">
        <w:rPr>
          <w:rFonts w:ascii="Cambria" w:hAnsi="Cambria"/>
          <w:sz w:val="20"/>
          <w:szCs w:val="20"/>
        </w:rPr>
        <w:t xml:space="preserve"> que plusieurs études scientifiques présentées au SCRS ces dernières années indiquaient que les pêcheries de l'ICCAT, en particulier celles qui utilisent l’engin de senne, interagissent avec les raies </w:t>
      </w:r>
      <w:proofErr w:type="spellStart"/>
      <w:r w:rsidRPr="00786E2A">
        <w:rPr>
          <w:rFonts w:ascii="Cambria" w:hAnsi="Cambria"/>
          <w:sz w:val="20"/>
          <w:szCs w:val="20"/>
        </w:rPr>
        <w:t>mobulidées</w:t>
      </w:r>
      <w:proofErr w:type="spellEnd"/>
      <w:r w:rsidRPr="00786E2A">
        <w:rPr>
          <w:rFonts w:ascii="Cambria" w:hAnsi="Cambria"/>
          <w:sz w:val="20"/>
          <w:szCs w:val="20"/>
        </w:rPr>
        <w:t xml:space="preserve"> et que certaines flottilles de senneurs opérant dans la zone de la Convention de l'ICCAT mettent déjà en œuvre volontairement les meilleures pratiques et procédures existantes pour la protection des raies </w:t>
      </w:r>
      <w:proofErr w:type="spellStart"/>
      <w:r w:rsidRPr="00786E2A">
        <w:rPr>
          <w:rFonts w:ascii="Cambria" w:hAnsi="Cambria"/>
          <w:sz w:val="20"/>
          <w:szCs w:val="20"/>
        </w:rPr>
        <w:t>mobulidées</w:t>
      </w:r>
      <w:proofErr w:type="spellEnd"/>
      <w:r w:rsidRPr="00786E2A">
        <w:rPr>
          <w:rFonts w:ascii="Cambria" w:hAnsi="Cambria"/>
          <w:sz w:val="20"/>
          <w:szCs w:val="20"/>
        </w:rPr>
        <w:t> ;</w:t>
      </w:r>
    </w:p>
    <w:p w14:paraId="25F846AE" w14:textId="77777777" w:rsidR="009E4D27" w:rsidRPr="00786E2A" w:rsidRDefault="009E4D27" w:rsidP="00F8008C">
      <w:pPr>
        <w:ind w:firstLine="426"/>
        <w:jc w:val="both"/>
        <w:rPr>
          <w:rFonts w:ascii="Cambria" w:eastAsia="Calibri" w:hAnsi="Cambria" w:cs="Arial"/>
          <w:iCs/>
          <w:sz w:val="20"/>
          <w:szCs w:val="20"/>
        </w:rPr>
      </w:pPr>
    </w:p>
    <w:p w14:paraId="40BC5296" w14:textId="2B93771A" w:rsidR="009E4D27" w:rsidRPr="00786E2A" w:rsidRDefault="009E4D27" w:rsidP="00F8008C">
      <w:pPr>
        <w:ind w:firstLine="426"/>
        <w:jc w:val="both"/>
        <w:rPr>
          <w:rFonts w:ascii="Cambria" w:eastAsia="Calibri" w:hAnsi="Cambria" w:cs="Arial"/>
          <w:bCs/>
          <w:kern w:val="2"/>
          <w:sz w:val="20"/>
          <w:szCs w:val="20"/>
          <w14:ligatures w14:val="standardContextual"/>
        </w:rPr>
      </w:pPr>
      <w:r w:rsidRPr="00786E2A">
        <w:rPr>
          <w:rFonts w:ascii="Cambria" w:eastAsia="Calibri" w:hAnsi="Cambria" w:cs="Arial"/>
          <w:bCs/>
          <w:i/>
          <w:iCs/>
          <w:kern w:val="2"/>
          <w:sz w:val="20"/>
          <w:szCs w:val="20"/>
          <w14:ligatures w14:val="standardContextual"/>
        </w:rPr>
        <w:t>RECONNAISSANT</w:t>
      </w:r>
      <w:r w:rsidRPr="00786E2A">
        <w:rPr>
          <w:rFonts w:ascii="Cambria" w:eastAsia="Calibri" w:hAnsi="Cambria" w:cs="Arial"/>
          <w:bCs/>
          <w:kern w:val="2"/>
          <w:sz w:val="20"/>
          <w:szCs w:val="20"/>
          <w14:ligatures w14:val="standardContextual"/>
        </w:rPr>
        <w:t xml:space="preserve"> que les raies </w:t>
      </w:r>
      <w:proofErr w:type="spellStart"/>
      <w:r w:rsidRPr="00786E2A">
        <w:rPr>
          <w:rFonts w:ascii="Cambria" w:eastAsia="Calibri" w:hAnsi="Cambria" w:cs="Arial"/>
          <w:bCs/>
          <w:kern w:val="2"/>
          <w:sz w:val="20"/>
          <w:szCs w:val="20"/>
          <w14:ligatures w14:val="standardContextual"/>
        </w:rPr>
        <w:t>mobulidées</w:t>
      </w:r>
      <w:proofErr w:type="spellEnd"/>
      <w:r w:rsidRPr="00786E2A">
        <w:rPr>
          <w:rFonts w:ascii="Cambria" w:eastAsia="Calibri" w:hAnsi="Cambria" w:cs="Arial"/>
          <w:bCs/>
          <w:kern w:val="2"/>
          <w:sz w:val="20"/>
          <w:szCs w:val="20"/>
          <w14:ligatures w14:val="standardContextual"/>
        </w:rPr>
        <w:t xml:space="preserve"> doivent être protégées dans tous les océans et que, conformément à l'article 5e de </w:t>
      </w:r>
      <w:r w:rsidR="002D161F" w:rsidRPr="00786E2A">
        <w:rPr>
          <w:rFonts w:ascii="Cambria" w:eastAsia="Calibri" w:hAnsi="Cambria" w:cs="Arial"/>
          <w:bCs/>
          <w:kern w:val="2"/>
          <w:sz w:val="20"/>
          <w:szCs w:val="20"/>
          <w14:ligatures w14:val="standardContextual"/>
        </w:rPr>
        <w:t>l’Accord des Nations Unies sur les stocks de poissons (</w:t>
      </w:r>
      <w:r w:rsidRPr="00786E2A">
        <w:rPr>
          <w:rFonts w:ascii="Cambria" w:eastAsia="Calibri" w:hAnsi="Cambria" w:cs="Arial"/>
          <w:bCs/>
          <w:kern w:val="2"/>
          <w:sz w:val="20"/>
          <w:szCs w:val="20"/>
          <w14:ligatures w14:val="standardContextual"/>
        </w:rPr>
        <w:t>UNFSA</w:t>
      </w:r>
      <w:r w:rsidR="002D161F" w:rsidRPr="00786E2A">
        <w:rPr>
          <w:rFonts w:ascii="Cambria" w:eastAsia="Calibri" w:hAnsi="Cambria" w:cs="Arial"/>
          <w:bCs/>
          <w:kern w:val="2"/>
          <w:sz w:val="20"/>
          <w:szCs w:val="20"/>
          <w14:ligatures w14:val="standardContextual"/>
        </w:rPr>
        <w:t>)</w:t>
      </w:r>
      <w:r w:rsidRPr="00786E2A">
        <w:rPr>
          <w:rFonts w:ascii="Cambria" w:eastAsia="Calibri" w:hAnsi="Cambria" w:cs="Arial"/>
          <w:bCs/>
          <w:kern w:val="2"/>
          <w:sz w:val="20"/>
          <w:szCs w:val="20"/>
          <w14:ligatures w14:val="standardContextual"/>
        </w:rPr>
        <w:t>, des mesures appropriées et cohérentes sont nécessaires pour garantir que les interactions avec les pêcheries de l'ICCAT ne compromettent pas l'état de conservation de cette espèce de poisson ;</w:t>
      </w:r>
    </w:p>
    <w:p w14:paraId="13B90D83" w14:textId="77777777" w:rsidR="009E4D27" w:rsidRPr="00786E2A" w:rsidRDefault="009E4D27" w:rsidP="00F8008C">
      <w:pPr>
        <w:ind w:firstLine="426"/>
        <w:jc w:val="both"/>
        <w:rPr>
          <w:rFonts w:ascii="Cambria" w:eastAsia="Calibri" w:hAnsi="Cambria" w:cs="Arial"/>
          <w:bCs/>
          <w:iCs/>
          <w:sz w:val="20"/>
          <w:szCs w:val="20"/>
        </w:rPr>
      </w:pPr>
    </w:p>
    <w:p w14:paraId="3D48219F" w14:textId="77777777" w:rsidR="009E4D27" w:rsidRPr="00786E2A" w:rsidRDefault="009E4D27" w:rsidP="00F8008C">
      <w:pPr>
        <w:ind w:firstLine="426"/>
        <w:jc w:val="both"/>
        <w:rPr>
          <w:rFonts w:ascii="Cambria" w:eastAsia="Calibri" w:hAnsi="Cambria" w:cs="Arial"/>
          <w:bCs/>
          <w:i/>
          <w:sz w:val="20"/>
          <w:szCs w:val="20"/>
        </w:rPr>
      </w:pPr>
      <w:r w:rsidRPr="00786E2A">
        <w:rPr>
          <w:rFonts w:ascii="Cambria" w:hAnsi="Cambria"/>
          <w:i/>
          <w:iCs/>
          <w:sz w:val="20"/>
          <w:szCs w:val="20"/>
        </w:rPr>
        <w:t>RECONNAISSANT EN OUTRE</w:t>
      </w:r>
      <w:r w:rsidRPr="00786E2A">
        <w:rPr>
          <w:rFonts w:ascii="Cambria" w:hAnsi="Cambria"/>
          <w:sz w:val="20"/>
          <w:szCs w:val="20"/>
        </w:rPr>
        <w:t xml:space="preserve"> que le SCRS a précédemment conseillé que « Des mesures de gestion de précaution devraient être envisagées pour les stocks ayant la plus grande vulnérabilité biologique et faisant l’objet de préoccupations de conservation et sur lesquels il existe très peu de données », ce qui pourrait raisonnablement s'appliquer aux raies </w:t>
      </w:r>
      <w:proofErr w:type="spellStart"/>
      <w:r w:rsidRPr="00786E2A">
        <w:rPr>
          <w:rFonts w:ascii="Cambria" w:hAnsi="Cambria"/>
          <w:sz w:val="20"/>
          <w:szCs w:val="20"/>
        </w:rPr>
        <w:t>mobulidées</w:t>
      </w:r>
      <w:proofErr w:type="spellEnd"/>
      <w:r w:rsidRPr="00786E2A">
        <w:rPr>
          <w:rFonts w:ascii="Cambria" w:hAnsi="Cambria"/>
          <w:sz w:val="20"/>
          <w:szCs w:val="20"/>
        </w:rPr>
        <w:t> ;</w:t>
      </w:r>
    </w:p>
    <w:p w14:paraId="133EB219" w14:textId="77777777" w:rsidR="009E4D27" w:rsidRPr="00786E2A" w:rsidRDefault="009E4D27" w:rsidP="00F8008C">
      <w:pPr>
        <w:ind w:firstLine="426"/>
        <w:jc w:val="both"/>
        <w:rPr>
          <w:rFonts w:ascii="Cambria" w:eastAsia="Calibri" w:hAnsi="Cambria" w:cs="Arial"/>
          <w:bCs/>
          <w:i/>
          <w:sz w:val="20"/>
          <w:szCs w:val="20"/>
        </w:rPr>
      </w:pPr>
    </w:p>
    <w:p w14:paraId="2F45D219" w14:textId="77777777" w:rsidR="00EF2EC2" w:rsidRPr="00786E2A" w:rsidRDefault="00EF2EC2">
      <w:pPr>
        <w:spacing w:after="160" w:line="259" w:lineRule="auto"/>
        <w:rPr>
          <w:rFonts w:ascii="Cambria" w:hAnsi="Cambria"/>
          <w:bCs/>
          <w:i/>
          <w:sz w:val="20"/>
          <w:szCs w:val="20"/>
        </w:rPr>
      </w:pPr>
      <w:r w:rsidRPr="00786E2A">
        <w:rPr>
          <w:rFonts w:ascii="Cambria" w:hAnsi="Cambria"/>
          <w:bCs/>
          <w:i/>
          <w:sz w:val="20"/>
          <w:szCs w:val="20"/>
        </w:rPr>
        <w:br w:type="page"/>
      </w:r>
    </w:p>
    <w:p w14:paraId="67431AAF" w14:textId="2DC6660D" w:rsidR="009E4D27" w:rsidRPr="00786E2A" w:rsidRDefault="009E4D27" w:rsidP="00F8008C">
      <w:pPr>
        <w:ind w:firstLine="426"/>
        <w:jc w:val="both"/>
        <w:rPr>
          <w:rFonts w:ascii="Cambria" w:hAnsi="Cambria"/>
          <w:bCs/>
          <w:sz w:val="20"/>
          <w:szCs w:val="20"/>
        </w:rPr>
      </w:pPr>
      <w:r w:rsidRPr="00786E2A">
        <w:rPr>
          <w:rFonts w:ascii="Cambria" w:hAnsi="Cambria"/>
          <w:bCs/>
          <w:i/>
          <w:sz w:val="20"/>
          <w:szCs w:val="20"/>
        </w:rPr>
        <w:lastRenderedPageBreak/>
        <w:t xml:space="preserve">NOTANT </w:t>
      </w:r>
      <w:r w:rsidRPr="00786E2A">
        <w:rPr>
          <w:rFonts w:ascii="Cambria" w:hAnsi="Cambria"/>
          <w:bCs/>
          <w:sz w:val="20"/>
          <w:szCs w:val="20"/>
        </w:rPr>
        <w:t>que, dans sa deuxième évaluation des performances, au chapitre « Tendances de l’état des espèces non ciblées », la Sous-commission 4 a recommandé que « l’approche de précaution soit appliquée systématiquement pour les espèces associées étant donné que les évaluations de ces espèces sont très incertaines et que leur état est souvent méconnu » ;</w:t>
      </w:r>
    </w:p>
    <w:p w14:paraId="25830817" w14:textId="77777777" w:rsidR="009E79E9" w:rsidRPr="00786E2A" w:rsidRDefault="009E79E9" w:rsidP="00F8008C">
      <w:pPr>
        <w:ind w:firstLine="426"/>
        <w:jc w:val="both"/>
        <w:rPr>
          <w:rFonts w:ascii="Cambria" w:hAnsi="Cambria"/>
          <w:bCs/>
          <w:sz w:val="20"/>
          <w:szCs w:val="20"/>
        </w:rPr>
      </w:pPr>
    </w:p>
    <w:p w14:paraId="007F1CF7" w14:textId="77777777" w:rsidR="009E79E9" w:rsidRPr="00786E2A" w:rsidRDefault="009E79E9" w:rsidP="00F8008C">
      <w:pPr>
        <w:ind w:firstLine="426"/>
        <w:jc w:val="both"/>
        <w:rPr>
          <w:rFonts w:ascii="Cambria" w:eastAsia="Calibri" w:hAnsi="Cambria" w:cs="Arial"/>
          <w:b/>
          <w:kern w:val="2"/>
          <w:sz w:val="20"/>
          <w:szCs w:val="20"/>
          <w14:ligatures w14:val="standardContextual"/>
        </w:rPr>
      </w:pPr>
    </w:p>
    <w:p w14:paraId="14638EDB" w14:textId="77777777" w:rsidR="009E4D27" w:rsidRPr="00786E2A" w:rsidRDefault="009E4D27" w:rsidP="00F8008C">
      <w:pPr>
        <w:jc w:val="center"/>
        <w:rPr>
          <w:rFonts w:ascii="Cambria" w:hAnsi="Cambria"/>
          <w:sz w:val="20"/>
          <w:szCs w:val="20"/>
        </w:rPr>
      </w:pPr>
      <w:r w:rsidRPr="00786E2A">
        <w:rPr>
          <w:rFonts w:ascii="Cambria" w:hAnsi="Cambria"/>
          <w:sz w:val="20"/>
          <w:szCs w:val="20"/>
        </w:rPr>
        <w:t>LA COMMISSION INTERNATIONALE POUR LA CONSERVATION DES THONIDÉS</w:t>
      </w:r>
    </w:p>
    <w:p w14:paraId="4A6C34E2" w14:textId="77777777" w:rsidR="009E4D27" w:rsidRPr="00786E2A" w:rsidRDefault="009E4D27" w:rsidP="00F8008C">
      <w:pPr>
        <w:jc w:val="center"/>
        <w:rPr>
          <w:rFonts w:ascii="Cambria" w:eastAsia="Calibri" w:hAnsi="Cambria" w:cs="Arial"/>
          <w:bCs/>
          <w:kern w:val="2"/>
          <w:sz w:val="20"/>
          <w:szCs w:val="20"/>
          <w14:ligatures w14:val="standardContextual"/>
        </w:rPr>
      </w:pPr>
      <w:r w:rsidRPr="00786E2A">
        <w:rPr>
          <w:rFonts w:ascii="Cambria" w:hAnsi="Cambria"/>
          <w:sz w:val="20"/>
          <w:szCs w:val="20"/>
        </w:rPr>
        <w:t>DE L’ATLANTIQUE (ICCAT) RECOMMANDE CE QUI SUIT :</w:t>
      </w:r>
    </w:p>
    <w:p w14:paraId="7DA1B018" w14:textId="77777777" w:rsidR="009E79E9" w:rsidRPr="00786E2A" w:rsidRDefault="009E79E9" w:rsidP="00F8008C">
      <w:pPr>
        <w:jc w:val="center"/>
        <w:rPr>
          <w:rFonts w:ascii="Cambria" w:eastAsia="Calibri" w:hAnsi="Cambria" w:cs="Arial"/>
          <w:bCs/>
          <w:kern w:val="2"/>
          <w:sz w:val="20"/>
          <w:szCs w:val="20"/>
          <w14:ligatures w14:val="standardContextual"/>
        </w:rPr>
      </w:pPr>
    </w:p>
    <w:p w14:paraId="0A472039" w14:textId="16A14D78" w:rsidR="009E4D27" w:rsidRPr="00786E2A" w:rsidRDefault="009E4D27" w:rsidP="00F8008C">
      <w:pPr>
        <w:pStyle w:val="ListParagraph"/>
        <w:ind w:left="426" w:hanging="426"/>
        <w:jc w:val="both"/>
        <w:rPr>
          <w:rFonts w:ascii="Cambria" w:eastAsia="Calibri" w:hAnsi="Cambria" w:cs="Arial"/>
          <w:kern w:val="2"/>
          <w:sz w:val="20"/>
          <w:szCs w:val="20"/>
          <w14:ligatures w14:val="standardContextual"/>
        </w:rPr>
      </w:pPr>
      <w:r w:rsidRPr="00786E2A">
        <w:rPr>
          <w:rFonts w:ascii="Cambria" w:hAnsi="Cambria"/>
          <w:sz w:val="20"/>
          <w:szCs w:val="20"/>
        </w:rPr>
        <w:t xml:space="preserve">1. </w:t>
      </w:r>
      <w:r w:rsidRPr="00786E2A">
        <w:rPr>
          <w:rFonts w:ascii="Cambria" w:hAnsi="Cambria"/>
          <w:sz w:val="20"/>
          <w:szCs w:val="20"/>
        </w:rPr>
        <w:tab/>
        <w:t xml:space="preserve">Les Parties contractantes et Parties, Entités ou Entités de pêche non contractantes coopérantes (ci-après dénommées « CPC ») devront interdire de retenir à bord, de transborder, de débarquer ou de stocker une partie ou la totalité de la carcasse de toutes les espèces de raies </w:t>
      </w:r>
      <w:proofErr w:type="spellStart"/>
      <w:r w:rsidRPr="00786E2A">
        <w:rPr>
          <w:rFonts w:ascii="Cambria" w:hAnsi="Cambria"/>
          <w:sz w:val="20"/>
          <w:szCs w:val="20"/>
        </w:rPr>
        <w:t>mobulidées</w:t>
      </w:r>
      <w:proofErr w:type="spellEnd"/>
      <w:r w:rsidRPr="00786E2A">
        <w:rPr>
          <w:rFonts w:ascii="Cambria" w:hAnsi="Cambria"/>
          <w:sz w:val="20"/>
          <w:szCs w:val="20"/>
        </w:rPr>
        <w:t xml:space="preserve"> (famille </w:t>
      </w:r>
      <w:proofErr w:type="spellStart"/>
      <w:r w:rsidRPr="00786E2A">
        <w:rPr>
          <w:rFonts w:ascii="Cambria" w:hAnsi="Cambria"/>
          <w:sz w:val="20"/>
          <w:szCs w:val="20"/>
        </w:rPr>
        <w:t>Mobulidae</w:t>
      </w:r>
      <w:proofErr w:type="spellEnd"/>
      <w:r w:rsidR="00DA3B8E" w:rsidRPr="00786E2A">
        <w:rPr>
          <w:rFonts w:ascii="Cambria" w:hAnsi="Cambria"/>
          <w:sz w:val="20"/>
          <w:szCs w:val="20"/>
        </w:rPr>
        <w:t>)</w:t>
      </w:r>
      <w:r w:rsidR="00757DB8" w:rsidRPr="00786E2A">
        <w:rPr>
          <w:rFonts w:ascii="Cambria" w:hAnsi="Cambria"/>
          <w:sz w:val="20"/>
          <w:szCs w:val="20"/>
        </w:rPr>
        <w:t>,</w:t>
      </w:r>
      <w:r w:rsidR="00DA3B8E" w:rsidRPr="00786E2A">
        <w:rPr>
          <w:rFonts w:ascii="Cambria" w:hAnsi="Cambria"/>
          <w:sz w:val="20"/>
          <w:szCs w:val="20"/>
        </w:rPr>
        <w:t xml:space="preserve"> telles qu’énumérées dans la</w:t>
      </w:r>
      <w:r w:rsidR="005666E2" w:rsidRPr="00786E2A">
        <w:rPr>
          <w:rFonts w:ascii="Cambria" w:hAnsi="Cambria"/>
          <w:sz w:val="20"/>
          <w:szCs w:val="20"/>
        </w:rPr>
        <w:t xml:space="preserve"> </w:t>
      </w:r>
      <w:r w:rsidR="005666E2" w:rsidRPr="00786E2A">
        <w:rPr>
          <w:rFonts w:ascii="Cambria" w:hAnsi="Cambria"/>
          <w:i/>
          <w:iCs/>
          <w:sz w:val="20"/>
          <w:szCs w:val="20"/>
        </w:rPr>
        <w:t>Recommandation de l’ICCAT sur les espèces considérées comme étant des thonidés et des espèces voisines ou des élasmobranches océaniques, pélagiques et hautement migratoires</w:t>
      </w:r>
      <w:r w:rsidR="00DA3B8E" w:rsidRPr="00786E2A">
        <w:rPr>
          <w:rFonts w:ascii="Cambria" w:hAnsi="Cambria"/>
          <w:i/>
          <w:iCs/>
          <w:sz w:val="20"/>
          <w:szCs w:val="20"/>
        </w:rPr>
        <w:t xml:space="preserve"> </w:t>
      </w:r>
      <w:r w:rsidR="005666E2" w:rsidRPr="00786E2A">
        <w:rPr>
          <w:rFonts w:ascii="Cambria" w:hAnsi="Cambria"/>
          <w:sz w:val="20"/>
          <w:szCs w:val="20"/>
        </w:rPr>
        <w:t>(</w:t>
      </w:r>
      <w:r w:rsidR="00DA3B8E" w:rsidRPr="00786E2A">
        <w:rPr>
          <w:rFonts w:ascii="Cambria" w:hAnsi="Cambria"/>
          <w:sz w:val="20"/>
          <w:szCs w:val="20"/>
        </w:rPr>
        <w:t>Rec. 19-01</w:t>
      </w:r>
      <w:r w:rsidR="005666E2" w:rsidRPr="00786E2A">
        <w:rPr>
          <w:rFonts w:ascii="Cambria" w:hAnsi="Cambria"/>
          <w:sz w:val="20"/>
          <w:szCs w:val="20"/>
        </w:rPr>
        <w:t>)</w:t>
      </w:r>
      <w:r w:rsidR="00DA3B8E" w:rsidRPr="00786E2A">
        <w:rPr>
          <w:rFonts w:ascii="Cambria" w:hAnsi="Cambria"/>
          <w:sz w:val="20"/>
          <w:szCs w:val="20"/>
        </w:rPr>
        <w:t xml:space="preserve"> et</w:t>
      </w:r>
      <w:r w:rsidRPr="00786E2A">
        <w:rPr>
          <w:rFonts w:ascii="Cambria" w:hAnsi="Cambria"/>
          <w:sz w:val="20"/>
          <w:szCs w:val="20"/>
        </w:rPr>
        <w:t xml:space="preserve"> capturées dans la zone de la Convention en association avec les pêcheries de l’ICCAT.</w:t>
      </w:r>
    </w:p>
    <w:p w14:paraId="65ABE0BA" w14:textId="77777777" w:rsidR="009E4D27" w:rsidRPr="00786E2A" w:rsidRDefault="009E4D27" w:rsidP="00F8008C">
      <w:pPr>
        <w:jc w:val="both"/>
        <w:rPr>
          <w:rFonts w:ascii="Cambria" w:eastAsia="Calibri" w:hAnsi="Cambria" w:cs="Arial"/>
          <w:b/>
          <w:kern w:val="2"/>
          <w:sz w:val="20"/>
          <w:szCs w:val="20"/>
          <w14:ligatures w14:val="standardContextual"/>
        </w:rPr>
      </w:pPr>
    </w:p>
    <w:p w14:paraId="0DD93E5A" w14:textId="77777777" w:rsidR="009E4D27" w:rsidRPr="00786E2A" w:rsidRDefault="009E4D27" w:rsidP="00F8008C">
      <w:pPr>
        <w:pStyle w:val="ListParagraph"/>
        <w:ind w:left="426" w:hanging="426"/>
        <w:jc w:val="both"/>
        <w:rPr>
          <w:rFonts w:ascii="Cambria" w:eastAsia="Calibri" w:hAnsi="Cambria" w:cs="Arial"/>
          <w:kern w:val="2"/>
          <w:sz w:val="20"/>
          <w:szCs w:val="20"/>
          <w14:ligatures w14:val="standardContextual"/>
        </w:rPr>
      </w:pPr>
      <w:r w:rsidRPr="00786E2A">
        <w:rPr>
          <w:rFonts w:ascii="Cambria" w:hAnsi="Cambria"/>
          <w:sz w:val="20"/>
          <w:szCs w:val="20"/>
        </w:rPr>
        <w:t>2.</w:t>
      </w:r>
      <w:r w:rsidRPr="00786E2A">
        <w:rPr>
          <w:rFonts w:ascii="Cambria" w:hAnsi="Cambria"/>
          <w:sz w:val="20"/>
          <w:szCs w:val="20"/>
        </w:rPr>
        <w:tab/>
        <w:t xml:space="preserve">Les CPC devront exiger des navires battant leur pavillon qu'ils remettent rapidement à l'eau les raies </w:t>
      </w:r>
      <w:proofErr w:type="spellStart"/>
      <w:r w:rsidRPr="00786E2A">
        <w:rPr>
          <w:rFonts w:ascii="Cambria" w:hAnsi="Cambria"/>
          <w:sz w:val="20"/>
          <w:szCs w:val="20"/>
        </w:rPr>
        <w:t>mobulidées</w:t>
      </w:r>
      <w:proofErr w:type="spellEnd"/>
      <w:r w:rsidRPr="00786E2A">
        <w:rPr>
          <w:rFonts w:ascii="Cambria" w:hAnsi="Cambria"/>
          <w:sz w:val="20"/>
          <w:szCs w:val="20"/>
        </w:rPr>
        <w:t xml:space="preserve"> indemnes, dans la mesure du possible, dès qu'elles sont aperçues dans le filet, sur l'hameçon ou sur le navire, d'une manière qui causera le moins de dommages possibles au spécimen. Les CPC devraient encourager leurs navires de pêche à mettre en œuvre les pratiques de manipulation décrites à l'</w:t>
      </w:r>
      <w:r w:rsidRPr="00786E2A">
        <w:rPr>
          <w:rFonts w:ascii="Cambria" w:hAnsi="Cambria"/>
          <w:b/>
          <w:sz w:val="20"/>
          <w:szCs w:val="20"/>
        </w:rPr>
        <w:t>annexe 1</w:t>
      </w:r>
      <w:r w:rsidRPr="00786E2A">
        <w:rPr>
          <w:rFonts w:ascii="Cambria" w:hAnsi="Cambria"/>
          <w:sz w:val="20"/>
          <w:szCs w:val="20"/>
        </w:rPr>
        <w:t>, tout en tenant compte de la sécurité de l'équipage.</w:t>
      </w:r>
    </w:p>
    <w:p w14:paraId="6239C30F" w14:textId="77777777" w:rsidR="009E4D27" w:rsidRPr="00786E2A" w:rsidRDefault="009E4D27" w:rsidP="00F8008C">
      <w:pPr>
        <w:rPr>
          <w:rFonts w:ascii="Cambria" w:eastAsiaTheme="minorHAnsi" w:hAnsi="Cambria" w:cs="Calibri"/>
          <w:sz w:val="20"/>
          <w:szCs w:val="20"/>
          <w:lang w:eastAsia="es-ES"/>
        </w:rPr>
      </w:pPr>
    </w:p>
    <w:p w14:paraId="5CFCF169" w14:textId="77777777" w:rsidR="009E4D27" w:rsidRPr="00786E2A" w:rsidRDefault="009E4D27" w:rsidP="00F8008C">
      <w:pPr>
        <w:pStyle w:val="ListParagraph"/>
        <w:ind w:left="426" w:hanging="426"/>
        <w:jc w:val="both"/>
        <w:rPr>
          <w:rFonts w:ascii="Cambria" w:eastAsia="Yu Mincho" w:hAnsi="Cambria" w:cs="Arial"/>
          <w:kern w:val="2"/>
          <w:sz w:val="20"/>
          <w:szCs w:val="20"/>
          <w14:ligatures w14:val="standardContextual"/>
        </w:rPr>
      </w:pPr>
      <w:r w:rsidRPr="00786E2A">
        <w:rPr>
          <w:rFonts w:ascii="Cambria" w:hAnsi="Cambria"/>
          <w:sz w:val="20"/>
          <w:szCs w:val="20"/>
        </w:rPr>
        <w:t>3.</w:t>
      </w:r>
      <w:r w:rsidRPr="00786E2A">
        <w:rPr>
          <w:rFonts w:ascii="Cambria" w:hAnsi="Cambria"/>
          <w:sz w:val="20"/>
          <w:szCs w:val="20"/>
        </w:rPr>
        <w:tab/>
        <w:t xml:space="preserve">Conformément aux exigences de la </w:t>
      </w:r>
      <w:r w:rsidRPr="00786E2A">
        <w:rPr>
          <w:rFonts w:ascii="Cambria" w:hAnsi="Cambria"/>
          <w:i/>
          <w:sz w:val="20"/>
          <w:szCs w:val="20"/>
        </w:rPr>
        <w:t>Recommandation de l’ICCAT visant à établir des normes minimales pour les programmes d’observateurs scientifiques à bord de navires de pêche</w:t>
      </w:r>
      <w:r w:rsidRPr="00786E2A">
        <w:rPr>
          <w:rFonts w:ascii="Cambria" w:hAnsi="Cambria"/>
          <w:sz w:val="20"/>
          <w:szCs w:val="20"/>
        </w:rPr>
        <w:t xml:space="preserve"> (Rec. 16-14), les CPC devront enregistrer, par le biais de leurs programmes d'observateurs nationaux, le nombre de rejets et de remises à l'eau de raies </w:t>
      </w:r>
      <w:proofErr w:type="spellStart"/>
      <w:r w:rsidRPr="00786E2A">
        <w:rPr>
          <w:rFonts w:ascii="Cambria" w:hAnsi="Cambria"/>
          <w:sz w:val="20"/>
          <w:szCs w:val="20"/>
        </w:rPr>
        <w:t>mobulidées</w:t>
      </w:r>
      <w:proofErr w:type="spellEnd"/>
      <w:r w:rsidRPr="00786E2A">
        <w:rPr>
          <w:rFonts w:ascii="Cambria" w:hAnsi="Cambria"/>
          <w:sz w:val="20"/>
          <w:szCs w:val="20"/>
        </w:rPr>
        <w:t xml:space="preserve"> capturées dans les pêcheries de l'ICCAT et, si possible, une indication de leur état (mort ou vivant). Ces données devront être déclarées à l’ICCAT. </w:t>
      </w:r>
    </w:p>
    <w:p w14:paraId="6EC6369D" w14:textId="77777777" w:rsidR="009E4D27" w:rsidRPr="00786E2A" w:rsidRDefault="009E4D27" w:rsidP="00F8008C">
      <w:pPr>
        <w:rPr>
          <w:rFonts w:ascii="Cambria" w:hAnsi="Cambria"/>
          <w:b/>
          <w:sz w:val="20"/>
          <w:szCs w:val="20"/>
        </w:rPr>
      </w:pPr>
    </w:p>
    <w:p w14:paraId="452A0D56" w14:textId="77777777" w:rsidR="009E4D27" w:rsidRPr="00786E2A" w:rsidRDefault="009E4D27" w:rsidP="00F8008C">
      <w:pPr>
        <w:jc w:val="both"/>
        <w:rPr>
          <w:rFonts w:ascii="Cambria" w:eastAsia="Calibri" w:hAnsi="Cambria" w:cs="Arial"/>
          <w:b/>
          <w:kern w:val="2"/>
          <w:sz w:val="20"/>
          <w:szCs w:val="20"/>
          <w14:ligatures w14:val="standardContextual"/>
        </w:rPr>
      </w:pPr>
      <w:r w:rsidRPr="00786E2A">
        <w:rPr>
          <w:rFonts w:ascii="Cambria" w:hAnsi="Cambria"/>
          <w:b/>
          <w:sz w:val="20"/>
          <w:szCs w:val="20"/>
        </w:rPr>
        <w:t>Recherche, renforcement des capacités et coopération</w:t>
      </w:r>
    </w:p>
    <w:p w14:paraId="794E7015" w14:textId="77777777" w:rsidR="009E4D27" w:rsidRPr="00786E2A" w:rsidRDefault="009E4D27" w:rsidP="00F8008C">
      <w:pPr>
        <w:jc w:val="both"/>
        <w:rPr>
          <w:rFonts w:ascii="Cambria" w:eastAsia="Calibri" w:hAnsi="Cambria" w:cs="Arial"/>
          <w:b/>
          <w:kern w:val="2"/>
          <w:sz w:val="20"/>
          <w:szCs w:val="20"/>
          <w14:ligatures w14:val="standardContextual"/>
        </w:rPr>
      </w:pPr>
    </w:p>
    <w:p w14:paraId="512EDFA5" w14:textId="77777777" w:rsidR="009E4D27" w:rsidRPr="00786E2A" w:rsidRDefault="009E4D27" w:rsidP="00F8008C">
      <w:pPr>
        <w:pStyle w:val="ListParagraph"/>
        <w:ind w:left="426" w:hanging="426"/>
        <w:jc w:val="both"/>
        <w:rPr>
          <w:rFonts w:ascii="Cambria" w:eastAsia="Calibri" w:hAnsi="Cambria" w:cs="Arial"/>
          <w:kern w:val="2"/>
          <w:sz w:val="20"/>
          <w:szCs w:val="20"/>
          <w14:ligatures w14:val="standardContextual"/>
        </w:rPr>
      </w:pPr>
      <w:r w:rsidRPr="00786E2A">
        <w:rPr>
          <w:rFonts w:ascii="Cambria" w:hAnsi="Cambria"/>
          <w:sz w:val="20"/>
          <w:szCs w:val="20"/>
        </w:rPr>
        <w:t>4.</w:t>
      </w:r>
      <w:r w:rsidRPr="00786E2A">
        <w:rPr>
          <w:rFonts w:ascii="Cambria" w:hAnsi="Cambria"/>
          <w:sz w:val="20"/>
          <w:szCs w:val="20"/>
        </w:rPr>
        <w:tab/>
        <w:t xml:space="preserve">Les CPC devront, dans la mesure du possible, mettre en œuvre des programmes de recherche sur les raies </w:t>
      </w:r>
      <w:proofErr w:type="spellStart"/>
      <w:r w:rsidRPr="00786E2A">
        <w:rPr>
          <w:rFonts w:ascii="Cambria" w:hAnsi="Cambria"/>
          <w:sz w:val="20"/>
          <w:szCs w:val="20"/>
        </w:rPr>
        <w:t>mobulidées</w:t>
      </w:r>
      <w:proofErr w:type="spellEnd"/>
      <w:r w:rsidRPr="00786E2A">
        <w:rPr>
          <w:rFonts w:ascii="Cambria" w:hAnsi="Cambria"/>
          <w:sz w:val="20"/>
          <w:szCs w:val="20"/>
        </w:rPr>
        <w:t xml:space="preserve"> dans la zone de la Convention afin d’identifier des zones potentielles d’accouplement, de mise bas, de nourricerie, de frai et d’hivernage. Sur la base de ces recherches, les CPC devront envisager de mettre en œuvre des mesures de gestion appropriées, telles que des fermetures de zones et de périodes, afin de fournir une protection supplémentaire aux raies </w:t>
      </w:r>
      <w:proofErr w:type="spellStart"/>
      <w:r w:rsidRPr="00786E2A">
        <w:rPr>
          <w:rFonts w:ascii="Cambria" w:hAnsi="Cambria"/>
          <w:sz w:val="20"/>
          <w:szCs w:val="20"/>
        </w:rPr>
        <w:t>mobulidées</w:t>
      </w:r>
      <w:proofErr w:type="spellEnd"/>
      <w:r w:rsidRPr="00786E2A">
        <w:rPr>
          <w:rFonts w:ascii="Cambria" w:hAnsi="Cambria"/>
          <w:sz w:val="20"/>
          <w:szCs w:val="20"/>
        </w:rPr>
        <w:t>.</w:t>
      </w:r>
    </w:p>
    <w:p w14:paraId="0E46AD43" w14:textId="77777777" w:rsidR="009E4D27" w:rsidRPr="00786E2A" w:rsidRDefault="009E4D27" w:rsidP="00F8008C">
      <w:pPr>
        <w:jc w:val="both"/>
        <w:rPr>
          <w:rFonts w:ascii="Cambria" w:eastAsia="Calibri" w:hAnsi="Cambria" w:cs="Arial"/>
          <w:kern w:val="2"/>
          <w:sz w:val="20"/>
          <w:szCs w:val="20"/>
          <w14:ligatures w14:val="standardContextual"/>
        </w:rPr>
      </w:pPr>
    </w:p>
    <w:p w14:paraId="4871A188" w14:textId="77777777" w:rsidR="009E4D27" w:rsidRPr="00786E2A" w:rsidRDefault="009E4D27" w:rsidP="00F8008C">
      <w:pPr>
        <w:pStyle w:val="ListParagraph"/>
        <w:ind w:left="426" w:hanging="426"/>
        <w:jc w:val="both"/>
        <w:rPr>
          <w:rFonts w:ascii="Cambria" w:eastAsia="Calibri" w:hAnsi="Cambria" w:cs="Arial"/>
          <w:kern w:val="2"/>
          <w:sz w:val="20"/>
          <w:szCs w:val="20"/>
          <w14:ligatures w14:val="standardContextual"/>
        </w:rPr>
      </w:pPr>
      <w:r w:rsidRPr="00786E2A">
        <w:rPr>
          <w:rFonts w:ascii="Cambria" w:hAnsi="Cambria"/>
          <w:sz w:val="20"/>
          <w:szCs w:val="20"/>
        </w:rPr>
        <w:t>5.</w:t>
      </w:r>
      <w:r w:rsidRPr="00786E2A">
        <w:rPr>
          <w:rFonts w:ascii="Cambria" w:hAnsi="Cambria"/>
          <w:sz w:val="20"/>
          <w:szCs w:val="20"/>
        </w:rPr>
        <w:tab/>
        <w:t>S’il y a lieu, la Commission et ses CPC devront, si possible, de manière individuelle et collective, déployer des efforts de renforcement des capacités et se livrer à d’autres activités de coopération afin de soutenir la mise en œuvre effective de la présente Recommandation, y compris en concluant des accords de coopération avec d’autres organismes internationaux compétents.</w:t>
      </w:r>
    </w:p>
    <w:p w14:paraId="4A4EAF1B" w14:textId="77777777" w:rsidR="009E4D27" w:rsidRPr="00786E2A" w:rsidRDefault="009E4D27" w:rsidP="00F8008C">
      <w:pPr>
        <w:jc w:val="both"/>
        <w:rPr>
          <w:rFonts w:ascii="Cambria" w:eastAsia="Calibri" w:hAnsi="Cambria" w:cs="Arial"/>
          <w:kern w:val="2"/>
          <w:sz w:val="20"/>
          <w:szCs w:val="20"/>
          <w14:ligatures w14:val="standardContextual"/>
        </w:rPr>
      </w:pPr>
    </w:p>
    <w:p w14:paraId="47A06A56" w14:textId="77777777" w:rsidR="009E4D27" w:rsidRPr="00786E2A" w:rsidRDefault="009E4D27" w:rsidP="00F8008C">
      <w:pPr>
        <w:pStyle w:val="ListParagraph"/>
        <w:ind w:left="426" w:hanging="426"/>
        <w:jc w:val="both"/>
        <w:rPr>
          <w:rFonts w:ascii="Cambria" w:eastAsia="Calibri" w:hAnsi="Cambria" w:cs="Arial"/>
          <w:kern w:val="2"/>
          <w:sz w:val="20"/>
          <w:szCs w:val="20"/>
          <w14:ligatures w14:val="standardContextual"/>
        </w:rPr>
      </w:pPr>
      <w:r w:rsidRPr="00786E2A">
        <w:rPr>
          <w:rFonts w:ascii="Cambria" w:hAnsi="Cambria"/>
          <w:sz w:val="20"/>
          <w:szCs w:val="20"/>
        </w:rPr>
        <w:t>6.</w:t>
      </w:r>
      <w:r w:rsidRPr="00786E2A">
        <w:rPr>
          <w:rFonts w:ascii="Cambria" w:hAnsi="Cambria"/>
          <w:sz w:val="20"/>
          <w:szCs w:val="20"/>
        </w:rPr>
        <w:tab/>
        <w:t xml:space="preserve">Nonobstant les dispositions du paragraphe 1, dans le cas des raies </w:t>
      </w:r>
      <w:proofErr w:type="spellStart"/>
      <w:r w:rsidRPr="00786E2A">
        <w:rPr>
          <w:rFonts w:ascii="Cambria" w:hAnsi="Cambria"/>
          <w:sz w:val="20"/>
          <w:szCs w:val="20"/>
        </w:rPr>
        <w:t>mobulidées</w:t>
      </w:r>
      <w:proofErr w:type="spellEnd"/>
      <w:r w:rsidRPr="00786E2A">
        <w:rPr>
          <w:rFonts w:ascii="Cambria" w:hAnsi="Cambria"/>
          <w:sz w:val="20"/>
          <w:szCs w:val="20"/>
        </w:rPr>
        <w:t xml:space="preserve"> qui sont capturées et congelées involontairement dans le cadre des opérations d'un senneur, le navire doit remettre la raie </w:t>
      </w:r>
      <w:proofErr w:type="spellStart"/>
      <w:r w:rsidRPr="00786E2A">
        <w:rPr>
          <w:rFonts w:ascii="Cambria" w:hAnsi="Cambria"/>
          <w:sz w:val="20"/>
          <w:szCs w:val="20"/>
        </w:rPr>
        <w:t>mobulidée</w:t>
      </w:r>
      <w:proofErr w:type="spellEnd"/>
      <w:r w:rsidRPr="00786E2A">
        <w:rPr>
          <w:rFonts w:ascii="Cambria" w:hAnsi="Cambria"/>
          <w:sz w:val="20"/>
          <w:szCs w:val="20"/>
        </w:rPr>
        <w:t xml:space="preserve"> entière aux autorités gouvernementales responsables ou à toute autre autorité compétente, ou la rejeter au point de débarquement. Les raies </w:t>
      </w:r>
      <w:proofErr w:type="spellStart"/>
      <w:r w:rsidRPr="00786E2A">
        <w:rPr>
          <w:rFonts w:ascii="Cambria" w:hAnsi="Cambria"/>
          <w:sz w:val="20"/>
          <w:szCs w:val="20"/>
        </w:rPr>
        <w:t>mobulidées</w:t>
      </w:r>
      <w:proofErr w:type="spellEnd"/>
      <w:r w:rsidRPr="00786E2A">
        <w:rPr>
          <w:rFonts w:ascii="Cambria" w:hAnsi="Cambria"/>
          <w:sz w:val="20"/>
          <w:szCs w:val="20"/>
        </w:rPr>
        <w:t xml:space="preserve"> ainsi remises ne peuvent être ni vendues ni échangées, mais peuvent être données à des fins de consommation humaine nationale.</w:t>
      </w:r>
    </w:p>
    <w:p w14:paraId="701C42AD" w14:textId="77777777" w:rsidR="009E4D27" w:rsidRPr="00786E2A" w:rsidRDefault="009E4D27" w:rsidP="00F8008C">
      <w:pPr>
        <w:pStyle w:val="ListParagraph"/>
        <w:rPr>
          <w:rFonts w:ascii="Cambria" w:eastAsia="Calibri" w:hAnsi="Cambria" w:cs="Arial"/>
          <w:kern w:val="2"/>
          <w:sz w:val="20"/>
          <w:szCs w:val="20"/>
          <w14:ligatures w14:val="standardContextual"/>
        </w:rPr>
      </w:pPr>
    </w:p>
    <w:p w14:paraId="0736D419" w14:textId="345A49CA" w:rsidR="009E4D27" w:rsidRPr="00786E2A" w:rsidRDefault="009E4D27" w:rsidP="00F8008C">
      <w:pPr>
        <w:pStyle w:val="ListParagraph"/>
        <w:ind w:left="426" w:hanging="426"/>
        <w:jc w:val="both"/>
        <w:rPr>
          <w:rFonts w:ascii="Cambria" w:hAnsi="Cambria"/>
          <w:sz w:val="20"/>
          <w:szCs w:val="20"/>
        </w:rPr>
      </w:pPr>
      <w:r w:rsidRPr="00786E2A">
        <w:rPr>
          <w:rFonts w:ascii="Cambria" w:hAnsi="Cambria"/>
          <w:sz w:val="20"/>
          <w:szCs w:val="20"/>
        </w:rPr>
        <w:t>7.</w:t>
      </w:r>
      <w:r w:rsidRPr="00786E2A">
        <w:rPr>
          <w:rFonts w:ascii="Cambria" w:hAnsi="Cambria"/>
          <w:sz w:val="20"/>
          <w:szCs w:val="20"/>
        </w:rPr>
        <w:tab/>
        <w:t xml:space="preserve">Les paragraphes 1 à 5 ne devront pas s'appliquer aux navires opérant exclusivement au Nord de 47°N ou au Sud de 47°S </w:t>
      </w:r>
      <w:r w:rsidR="00000A6B" w:rsidRPr="00786E2A">
        <w:rPr>
          <w:rFonts w:ascii="Cambria" w:hAnsi="Cambria"/>
          <w:sz w:val="20"/>
          <w:szCs w:val="20"/>
        </w:rPr>
        <w:t xml:space="preserve">de latitude </w:t>
      </w:r>
      <w:r w:rsidRPr="00786E2A">
        <w:rPr>
          <w:rFonts w:ascii="Cambria" w:hAnsi="Cambria"/>
          <w:sz w:val="20"/>
          <w:szCs w:val="20"/>
        </w:rPr>
        <w:t xml:space="preserve">(c'est-à-dire en dehors de l'aire de </w:t>
      </w:r>
      <w:r w:rsidR="00657722" w:rsidRPr="00786E2A">
        <w:rPr>
          <w:rFonts w:ascii="Cambria" w:hAnsi="Cambria"/>
          <w:sz w:val="20"/>
          <w:szCs w:val="20"/>
        </w:rPr>
        <w:t>répartition</w:t>
      </w:r>
      <w:r w:rsidRPr="00786E2A">
        <w:rPr>
          <w:rFonts w:ascii="Cambria" w:hAnsi="Cambria"/>
          <w:sz w:val="20"/>
          <w:szCs w:val="20"/>
        </w:rPr>
        <w:t xml:space="preserve"> géographique principale des raies </w:t>
      </w:r>
      <w:proofErr w:type="spellStart"/>
      <w:r w:rsidRPr="00786E2A">
        <w:rPr>
          <w:rFonts w:ascii="Cambria" w:hAnsi="Cambria"/>
          <w:sz w:val="20"/>
          <w:szCs w:val="20"/>
        </w:rPr>
        <w:t>mobulidées</w:t>
      </w:r>
      <w:proofErr w:type="spellEnd"/>
      <w:r w:rsidRPr="00786E2A">
        <w:rPr>
          <w:rFonts w:ascii="Cambria" w:hAnsi="Cambria"/>
          <w:sz w:val="20"/>
          <w:szCs w:val="20"/>
        </w:rPr>
        <w:t xml:space="preserve"> (famille </w:t>
      </w:r>
      <w:proofErr w:type="spellStart"/>
      <w:r w:rsidRPr="00786E2A">
        <w:rPr>
          <w:rFonts w:ascii="Cambria" w:hAnsi="Cambria"/>
          <w:sz w:val="20"/>
          <w:szCs w:val="20"/>
        </w:rPr>
        <w:t>Mobulidae</w:t>
      </w:r>
      <w:proofErr w:type="spellEnd"/>
      <w:r w:rsidRPr="00786E2A">
        <w:rPr>
          <w:rFonts w:ascii="Cambria" w:hAnsi="Cambria"/>
          <w:sz w:val="20"/>
          <w:szCs w:val="20"/>
        </w:rPr>
        <w:t>)).</w:t>
      </w:r>
    </w:p>
    <w:p w14:paraId="5D737043" w14:textId="77777777" w:rsidR="009E4D27" w:rsidRPr="00786E2A" w:rsidRDefault="009E4D27" w:rsidP="00F8008C">
      <w:pPr>
        <w:jc w:val="both"/>
        <w:rPr>
          <w:rFonts w:ascii="Cambria" w:eastAsia="Calibri" w:hAnsi="Cambria" w:cs="Arial"/>
          <w:sz w:val="20"/>
          <w:szCs w:val="20"/>
        </w:rPr>
      </w:pPr>
    </w:p>
    <w:p w14:paraId="164583E4" w14:textId="03E18EDC" w:rsidR="00EF2EC2" w:rsidRPr="00786E2A" w:rsidRDefault="009E4D27" w:rsidP="00EF2EC2">
      <w:pPr>
        <w:pStyle w:val="ListParagraph"/>
        <w:ind w:left="426" w:hanging="426"/>
        <w:jc w:val="both"/>
        <w:rPr>
          <w:rFonts w:ascii="Cambria" w:hAnsi="Cambria"/>
          <w:b/>
          <w:sz w:val="20"/>
          <w:szCs w:val="20"/>
        </w:rPr>
      </w:pPr>
      <w:r w:rsidRPr="00786E2A">
        <w:rPr>
          <w:rFonts w:ascii="Cambria" w:hAnsi="Cambria"/>
          <w:sz w:val="20"/>
          <w:szCs w:val="20"/>
        </w:rPr>
        <w:t>8.</w:t>
      </w:r>
      <w:r w:rsidRPr="00786E2A">
        <w:rPr>
          <w:rFonts w:ascii="Cambria" w:hAnsi="Cambria"/>
          <w:sz w:val="20"/>
          <w:szCs w:val="20"/>
        </w:rPr>
        <w:tab/>
        <w:t xml:space="preserve">En 2024, le SCRS devra examiner les données et les informations existantes relatives au cycle vital et à l'état de conservation des raies </w:t>
      </w:r>
      <w:proofErr w:type="spellStart"/>
      <w:r w:rsidRPr="00786E2A">
        <w:rPr>
          <w:rFonts w:ascii="Cambria" w:hAnsi="Cambria"/>
          <w:sz w:val="20"/>
          <w:szCs w:val="20"/>
        </w:rPr>
        <w:t>mobulidées</w:t>
      </w:r>
      <w:proofErr w:type="spellEnd"/>
      <w:r w:rsidRPr="00786E2A">
        <w:rPr>
          <w:rFonts w:ascii="Cambria" w:hAnsi="Cambria"/>
          <w:sz w:val="20"/>
          <w:szCs w:val="20"/>
        </w:rPr>
        <w:t>, et confirmer si elles répondent à la définition d'un taxon présentant la plus grande vulnérabilité biologique et la plus grande préoccupation en matière de conservation, pour lequel il existe très peu de données. Si tel est le cas, le SCRS devra donner son avis sur l'opportunité d'appliquer des mesures de gestion de précaution telles que l'interdiction de la rétention. Le SCRS peut également identifier les options pour la recherche future et la collecte de données, et formuler un avis sur d'autres mesures d'atténuation.</w:t>
      </w:r>
      <w:r w:rsidR="00EF2EC2" w:rsidRPr="00786E2A">
        <w:rPr>
          <w:rFonts w:ascii="Cambria" w:hAnsi="Cambria"/>
          <w:b/>
          <w:sz w:val="20"/>
          <w:szCs w:val="20"/>
        </w:rPr>
        <w:br w:type="page"/>
      </w:r>
    </w:p>
    <w:p w14:paraId="34E0F35D" w14:textId="004C9D91" w:rsidR="009E4D27" w:rsidRPr="00786E2A" w:rsidRDefault="009E4D27" w:rsidP="00F8008C">
      <w:pPr>
        <w:jc w:val="both"/>
        <w:rPr>
          <w:rFonts w:ascii="Cambria" w:eastAsia="Calibri" w:hAnsi="Cambria" w:cs="Arial"/>
          <w:b/>
          <w:bCs/>
          <w:kern w:val="2"/>
          <w:sz w:val="20"/>
          <w:szCs w:val="20"/>
          <w14:ligatures w14:val="standardContextual"/>
        </w:rPr>
      </w:pPr>
      <w:r w:rsidRPr="00786E2A">
        <w:rPr>
          <w:rFonts w:ascii="Cambria" w:hAnsi="Cambria"/>
          <w:b/>
          <w:sz w:val="20"/>
          <w:szCs w:val="20"/>
        </w:rPr>
        <w:lastRenderedPageBreak/>
        <w:t>Entrée en vigueur</w:t>
      </w:r>
    </w:p>
    <w:p w14:paraId="34E4F773" w14:textId="77777777" w:rsidR="009E4D27" w:rsidRPr="00786E2A" w:rsidRDefault="009E4D27" w:rsidP="00F8008C">
      <w:pPr>
        <w:jc w:val="both"/>
        <w:rPr>
          <w:rFonts w:ascii="Cambria" w:eastAsia="Calibri" w:hAnsi="Cambria" w:cs="Arial"/>
          <w:b/>
          <w:bCs/>
          <w:kern w:val="2"/>
          <w:sz w:val="20"/>
          <w:szCs w:val="20"/>
          <w14:ligatures w14:val="standardContextual"/>
        </w:rPr>
      </w:pPr>
    </w:p>
    <w:p w14:paraId="4EF5C740" w14:textId="2ADE95A0" w:rsidR="009E4D27" w:rsidRPr="00786E2A" w:rsidRDefault="009E4D27" w:rsidP="00F8008C">
      <w:pPr>
        <w:pStyle w:val="ListParagraph"/>
        <w:ind w:left="426" w:hanging="426"/>
        <w:jc w:val="both"/>
        <w:rPr>
          <w:rFonts w:ascii="Cambria" w:eastAsia="Calibri" w:hAnsi="Cambria" w:cs="Arial"/>
          <w:kern w:val="2"/>
          <w:sz w:val="20"/>
          <w:szCs w:val="20"/>
          <w14:ligatures w14:val="standardContextual"/>
        </w:rPr>
      </w:pPr>
      <w:r w:rsidRPr="00786E2A">
        <w:rPr>
          <w:rFonts w:ascii="Cambria" w:eastAsia="Calibri" w:hAnsi="Cambria" w:cs="Arial"/>
          <w:kern w:val="2"/>
          <w:sz w:val="20"/>
          <w:szCs w:val="20"/>
          <w14:ligatures w14:val="standardContextual"/>
        </w:rPr>
        <w:t>9.</w:t>
      </w:r>
      <w:r w:rsidRPr="00786E2A">
        <w:rPr>
          <w:rFonts w:ascii="Cambria" w:eastAsia="Calibri" w:hAnsi="Cambria" w:cs="Arial"/>
          <w:kern w:val="2"/>
          <w:sz w:val="20"/>
          <w:szCs w:val="20"/>
          <w14:ligatures w14:val="standardContextual"/>
        </w:rPr>
        <w:tab/>
        <w:t>La présente Recommandation prendra effet au plus tard le 1</w:t>
      </w:r>
      <w:r w:rsidRPr="00786E2A">
        <w:rPr>
          <w:rFonts w:ascii="Cambria" w:eastAsia="Calibri" w:hAnsi="Cambria" w:cs="Arial"/>
          <w:kern w:val="2"/>
          <w:sz w:val="20"/>
          <w:szCs w:val="20"/>
          <w:vertAlign w:val="superscript"/>
          <w14:ligatures w14:val="standardContextual"/>
        </w:rPr>
        <w:t>er</w:t>
      </w:r>
      <w:r w:rsidRPr="00786E2A">
        <w:rPr>
          <w:rFonts w:ascii="Cambria" w:eastAsia="Calibri" w:hAnsi="Cambria" w:cs="Arial"/>
          <w:kern w:val="2"/>
          <w:sz w:val="20"/>
          <w:szCs w:val="20"/>
          <w14:ligatures w14:val="standardContextual"/>
        </w:rPr>
        <w:t xml:space="preserve"> juillet 2025.</w:t>
      </w:r>
    </w:p>
    <w:p w14:paraId="15654005" w14:textId="77777777" w:rsidR="001D383F" w:rsidRPr="00786E2A" w:rsidRDefault="001D383F" w:rsidP="00F8008C">
      <w:pPr>
        <w:pStyle w:val="ListParagraph"/>
        <w:ind w:left="426" w:hanging="426"/>
        <w:jc w:val="both"/>
        <w:rPr>
          <w:rFonts w:ascii="Cambria" w:eastAsia="Calibri" w:hAnsi="Cambria" w:cs="Arial"/>
          <w:kern w:val="2"/>
          <w:sz w:val="20"/>
          <w:szCs w:val="20"/>
          <w14:ligatures w14:val="standardContextual"/>
        </w:rPr>
      </w:pPr>
    </w:p>
    <w:p w14:paraId="52044EBB" w14:textId="29FB7FFB" w:rsidR="005733F0" w:rsidRPr="00786E2A" w:rsidRDefault="005733F0" w:rsidP="005733F0">
      <w:pPr>
        <w:rPr>
          <w:rFonts w:ascii="Cambria" w:eastAsia="Calibri" w:hAnsi="Cambria" w:cs="Arial"/>
          <w:b/>
          <w:bCs/>
          <w:kern w:val="2"/>
          <w:sz w:val="20"/>
          <w:szCs w:val="20"/>
          <w:lang w:eastAsia="es-ES"/>
          <w14:ligatures w14:val="standardContextual"/>
        </w:rPr>
      </w:pPr>
      <w:r w:rsidRPr="00786E2A">
        <w:rPr>
          <w:rFonts w:ascii="Cambria" w:eastAsia="Calibri" w:hAnsi="Cambria" w:cs="Arial"/>
          <w:b/>
          <w:bCs/>
          <w:kern w:val="2"/>
          <w:sz w:val="20"/>
          <w:szCs w:val="20"/>
          <w:lang w:eastAsia="es-ES"/>
          <w14:ligatures w14:val="standardContextual"/>
        </w:rPr>
        <w:t>Abrogation</w:t>
      </w:r>
    </w:p>
    <w:p w14:paraId="0A4D3926" w14:textId="16815C4E" w:rsidR="005733F0" w:rsidRPr="00786E2A" w:rsidRDefault="005733F0" w:rsidP="005733F0">
      <w:pPr>
        <w:rPr>
          <w:rFonts w:ascii="Cambria" w:eastAsia="Calibri" w:hAnsi="Cambria" w:cs="Arial"/>
          <w:kern w:val="2"/>
          <w:sz w:val="20"/>
          <w:szCs w:val="20"/>
          <w:lang w:eastAsia="es-ES"/>
          <w14:ligatures w14:val="standardContextual"/>
        </w:rPr>
      </w:pPr>
    </w:p>
    <w:p w14:paraId="4F9618C8" w14:textId="7A244E10" w:rsidR="005733F0" w:rsidRPr="00786E2A" w:rsidRDefault="00143634" w:rsidP="00A45C69">
      <w:pPr>
        <w:ind w:left="426" w:hanging="426"/>
        <w:jc w:val="both"/>
        <w:rPr>
          <w:rFonts w:ascii="Cambria" w:eastAsia="Calibri" w:hAnsi="Cambria" w:cs="Arial"/>
          <w:kern w:val="2"/>
          <w:sz w:val="20"/>
          <w:szCs w:val="20"/>
          <w:lang w:eastAsia="es-ES"/>
          <w14:ligatures w14:val="standardContextual"/>
        </w:rPr>
      </w:pPr>
      <w:r w:rsidRPr="00786E2A">
        <w:rPr>
          <w:rFonts w:ascii="Cambria" w:eastAsia="Calibri" w:hAnsi="Cambria" w:cs="Arial"/>
          <w:kern w:val="2"/>
          <w:sz w:val="20"/>
          <w:szCs w:val="20"/>
          <w:lang w:eastAsia="es-ES"/>
          <w14:ligatures w14:val="standardContextual"/>
        </w:rPr>
        <w:t>10.</w:t>
      </w:r>
      <w:r w:rsidRPr="00786E2A">
        <w:rPr>
          <w:rFonts w:ascii="Cambria" w:eastAsia="Calibri" w:hAnsi="Cambria" w:cs="Arial"/>
          <w:kern w:val="2"/>
          <w:sz w:val="20"/>
          <w:szCs w:val="20"/>
          <w:lang w:eastAsia="es-ES"/>
          <w14:ligatures w14:val="standardContextual"/>
        </w:rPr>
        <w:tab/>
      </w:r>
      <w:r w:rsidR="005733F0" w:rsidRPr="00786E2A">
        <w:rPr>
          <w:rFonts w:ascii="Cambria" w:eastAsia="Calibri" w:hAnsi="Cambria" w:cs="Arial"/>
          <w:kern w:val="2"/>
          <w:sz w:val="20"/>
          <w:szCs w:val="20"/>
          <w:lang w:eastAsia="es-ES"/>
          <w14:ligatures w14:val="standardContextual"/>
        </w:rPr>
        <w:t xml:space="preserve">La présente Recommandation abroge et remplace la </w:t>
      </w:r>
      <w:r w:rsidR="005733F0" w:rsidRPr="00786E2A">
        <w:rPr>
          <w:rFonts w:ascii="Cambria" w:eastAsia="Calibri" w:hAnsi="Cambria" w:cs="Arial"/>
          <w:i/>
          <w:iCs/>
          <w:kern w:val="2"/>
          <w:sz w:val="20"/>
          <w:szCs w:val="20"/>
          <w:lang w:eastAsia="es-ES"/>
          <w14:ligatures w14:val="standardContextual"/>
        </w:rPr>
        <w:t xml:space="preserve">Recommandation de l’ICCAT sur les raies </w:t>
      </w:r>
      <w:proofErr w:type="spellStart"/>
      <w:r w:rsidR="005733F0" w:rsidRPr="00786E2A">
        <w:rPr>
          <w:rFonts w:ascii="Cambria" w:eastAsia="Calibri" w:hAnsi="Cambria" w:cs="Arial"/>
          <w:i/>
          <w:iCs/>
          <w:kern w:val="2"/>
          <w:sz w:val="20"/>
          <w:szCs w:val="20"/>
          <w:lang w:eastAsia="es-ES"/>
          <w14:ligatures w14:val="standardContextual"/>
        </w:rPr>
        <w:t>mobulidées</w:t>
      </w:r>
      <w:proofErr w:type="spellEnd"/>
      <w:r w:rsidR="005733F0" w:rsidRPr="00786E2A">
        <w:rPr>
          <w:rFonts w:ascii="Cambria" w:eastAsia="Calibri" w:hAnsi="Cambria" w:cs="Arial"/>
          <w:i/>
          <w:iCs/>
          <w:kern w:val="2"/>
          <w:sz w:val="20"/>
          <w:szCs w:val="20"/>
          <w:lang w:eastAsia="es-ES"/>
          <w14:ligatures w14:val="standardContextual"/>
        </w:rPr>
        <w:t xml:space="preserve"> (famille </w:t>
      </w:r>
      <w:proofErr w:type="spellStart"/>
      <w:r w:rsidR="005733F0" w:rsidRPr="00786E2A">
        <w:rPr>
          <w:rFonts w:ascii="Cambria" w:eastAsia="Calibri" w:hAnsi="Cambria" w:cs="Arial"/>
          <w:i/>
          <w:iCs/>
          <w:kern w:val="2"/>
          <w:sz w:val="20"/>
          <w:szCs w:val="20"/>
          <w:lang w:eastAsia="es-ES"/>
          <w14:ligatures w14:val="standardContextual"/>
        </w:rPr>
        <w:t>Mobulidae</w:t>
      </w:r>
      <w:proofErr w:type="spellEnd"/>
      <w:r w:rsidR="005733F0" w:rsidRPr="00786E2A">
        <w:rPr>
          <w:rFonts w:ascii="Cambria" w:eastAsia="Calibri" w:hAnsi="Cambria" w:cs="Arial"/>
          <w:i/>
          <w:iCs/>
          <w:kern w:val="2"/>
          <w:sz w:val="20"/>
          <w:szCs w:val="20"/>
          <w:lang w:eastAsia="es-ES"/>
          <w14:ligatures w14:val="standardContextual"/>
        </w:rPr>
        <w:t>) capturées en association avec les pêcheries de l’ICCAT</w:t>
      </w:r>
      <w:r w:rsidR="005733F0" w:rsidRPr="00786E2A">
        <w:rPr>
          <w:rFonts w:ascii="Cambria" w:eastAsia="Calibri" w:hAnsi="Cambria" w:cs="Arial"/>
          <w:kern w:val="2"/>
          <w:sz w:val="20"/>
          <w:szCs w:val="20"/>
          <w:lang w:eastAsia="es-ES"/>
          <w14:ligatures w14:val="standardContextual"/>
        </w:rPr>
        <w:t xml:space="preserve"> (Rec. 23-14)</w:t>
      </w:r>
      <w:r w:rsidR="009A16EF" w:rsidRPr="00786E2A">
        <w:rPr>
          <w:rFonts w:ascii="Cambria" w:eastAsia="Calibri" w:hAnsi="Cambria" w:cs="Arial"/>
          <w:kern w:val="2"/>
          <w:sz w:val="20"/>
          <w:szCs w:val="20"/>
          <w:lang w:eastAsia="es-ES"/>
          <w14:ligatures w14:val="standardContextual"/>
        </w:rPr>
        <w:t>.</w:t>
      </w:r>
    </w:p>
    <w:p w14:paraId="45E9BF3C" w14:textId="77777777" w:rsidR="009E4D27" w:rsidRPr="00786E2A" w:rsidRDefault="009E4D27" w:rsidP="00F8008C">
      <w:pPr>
        <w:rPr>
          <w:rFonts w:ascii="Cambria" w:eastAsia="Calibri" w:hAnsi="Cambria" w:cs="Arial"/>
          <w:kern w:val="2"/>
          <w:sz w:val="20"/>
          <w:szCs w:val="20"/>
          <w14:ligatures w14:val="standardContextual"/>
        </w:rPr>
      </w:pPr>
      <w:r w:rsidRPr="00786E2A">
        <w:rPr>
          <w:rFonts w:ascii="Cambria" w:hAnsi="Cambria"/>
          <w:sz w:val="20"/>
          <w:szCs w:val="20"/>
        </w:rPr>
        <w:br w:type="page"/>
      </w:r>
    </w:p>
    <w:p w14:paraId="335A4A99" w14:textId="77777777" w:rsidR="009E4D27" w:rsidRPr="00786E2A" w:rsidRDefault="009E4D27" w:rsidP="00F8008C">
      <w:pPr>
        <w:jc w:val="right"/>
        <w:rPr>
          <w:rFonts w:ascii="Cambria" w:eastAsia="Calibri" w:hAnsi="Cambria" w:cs="Arial"/>
          <w:b/>
          <w:bCs/>
          <w:kern w:val="2"/>
          <w:sz w:val="20"/>
          <w:szCs w:val="20"/>
          <w14:ligatures w14:val="standardContextual"/>
        </w:rPr>
      </w:pPr>
      <w:r w:rsidRPr="00786E2A">
        <w:rPr>
          <w:rFonts w:ascii="Cambria" w:hAnsi="Cambria"/>
          <w:b/>
          <w:sz w:val="20"/>
          <w:szCs w:val="20"/>
        </w:rPr>
        <w:lastRenderedPageBreak/>
        <w:t xml:space="preserve">Annexe 1 </w:t>
      </w:r>
    </w:p>
    <w:p w14:paraId="29EC9558" w14:textId="77777777" w:rsidR="009E4D27" w:rsidRPr="00786E2A" w:rsidRDefault="009E4D27" w:rsidP="00F8008C">
      <w:pPr>
        <w:jc w:val="right"/>
        <w:rPr>
          <w:rFonts w:ascii="Cambria" w:eastAsia="Calibri" w:hAnsi="Cambria" w:cs="Arial"/>
          <w:b/>
          <w:bCs/>
          <w:kern w:val="2"/>
          <w:sz w:val="20"/>
          <w:szCs w:val="20"/>
          <w14:ligatures w14:val="standardContextual"/>
        </w:rPr>
      </w:pPr>
    </w:p>
    <w:p w14:paraId="742A0890" w14:textId="77777777" w:rsidR="009E4D27" w:rsidRPr="00786E2A" w:rsidRDefault="009E4D27" w:rsidP="00F8008C">
      <w:pPr>
        <w:jc w:val="center"/>
        <w:rPr>
          <w:rFonts w:ascii="Cambria" w:eastAsia="Calibri" w:hAnsi="Cambria" w:cs="Arial"/>
          <w:b/>
          <w:kern w:val="2"/>
          <w:sz w:val="20"/>
          <w:szCs w:val="20"/>
          <w14:ligatures w14:val="standardContextual"/>
        </w:rPr>
      </w:pPr>
      <w:r w:rsidRPr="00786E2A">
        <w:rPr>
          <w:rFonts w:ascii="Cambria" w:hAnsi="Cambria"/>
          <w:b/>
          <w:sz w:val="20"/>
          <w:szCs w:val="20"/>
        </w:rPr>
        <w:t xml:space="preserve">Meilleures pratiques de manipulation pour la remise à l’eau en toute sécurité des raies </w:t>
      </w:r>
      <w:proofErr w:type="spellStart"/>
      <w:r w:rsidRPr="00786E2A">
        <w:rPr>
          <w:rFonts w:ascii="Cambria" w:hAnsi="Cambria"/>
          <w:b/>
          <w:sz w:val="20"/>
          <w:szCs w:val="20"/>
        </w:rPr>
        <w:t>mobulidées</w:t>
      </w:r>
      <w:proofErr w:type="spellEnd"/>
    </w:p>
    <w:p w14:paraId="0B9773FA" w14:textId="77777777" w:rsidR="009E4D27" w:rsidRPr="00786E2A" w:rsidRDefault="009E4D27" w:rsidP="00F8008C">
      <w:pPr>
        <w:jc w:val="both"/>
        <w:rPr>
          <w:rFonts w:ascii="Cambria" w:eastAsia="Calibri" w:hAnsi="Cambria" w:cs="Arial"/>
          <w:b/>
          <w:kern w:val="2"/>
          <w:sz w:val="20"/>
          <w:szCs w:val="20"/>
          <w14:ligatures w14:val="standardContextual"/>
        </w:rPr>
      </w:pPr>
    </w:p>
    <w:p w14:paraId="4C48F471" w14:textId="77777777" w:rsidR="009E4D27" w:rsidRPr="00786E2A" w:rsidRDefault="009E4D27" w:rsidP="00F8008C">
      <w:pPr>
        <w:jc w:val="both"/>
        <w:rPr>
          <w:rFonts w:ascii="Cambria" w:eastAsia="Calibri" w:hAnsi="Cambria" w:cs="Arial"/>
          <w:i/>
          <w:kern w:val="2"/>
          <w:sz w:val="20"/>
          <w:szCs w:val="20"/>
          <w14:ligatures w14:val="standardContextual"/>
        </w:rPr>
      </w:pPr>
      <w:r w:rsidRPr="00786E2A">
        <w:rPr>
          <w:rFonts w:ascii="Cambria" w:hAnsi="Cambria"/>
          <w:i/>
          <w:sz w:val="20"/>
          <w:szCs w:val="20"/>
        </w:rPr>
        <w:t xml:space="preserve">(Tiré de </w:t>
      </w:r>
      <w:r w:rsidRPr="00786E2A">
        <w:rPr>
          <w:rFonts w:ascii="Cambria" w:eastAsia="Calibri" w:hAnsi="Cambria" w:cs="Arial"/>
          <w:i/>
          <w:kern w:val="2"/>
          <w:sz w:val="20"/>
          <w:szCs w:val="20"/>
          <w14:ligatures w14:val="standardContextual"/>
        </w:rPr>
        <w:t>WCPFC</w:t>
      </w:r>
      <w:r w:rsidRPr="00786E2A">
        <w:rPr>
          <w:rFonts w:ascii="Cambria" w:hAnsi="Cambria"/>
          <w:i/>
          <w:sz w:val="20"/>
          <w:szCs w:val="20"/>
        </w:rPr>
        <w:t xml:space="preserve"> CMM 2019-05 - Mesure de conservation et de gestion applicable aux raies </w:t>
      </w:r>
      <w:proofErr w:type="spellStart"/>
      <w:r w:rsidRPr="00786E2A">
        <w:rPr>
          <w:rFonts w:ascii="Cambria" w:hAnsi="Cambria"/>
          <w:i/>
          <w:sz w:val="20"/>
          <w:szCs w:val="20"/>
        </w:rPr>
        <w:t>mobulidées</w:t>
      </w:r>
      <w:proofErr w:type="spellEnd"/>
      <w:r w:rsidRPr="00786E2A">
        <w:rPr>
          <w:rFonts w:ascii="Cambria" w:hAnsi="Cambria"/>
          <w:i/>
          <w:sz w:val="20"/>
          <w:szCs w:val="20"/>
        </w:rPr>
        <w:t xml:space="preserve"> capturées en association avec les pêcheries dans la zone de la Convention de la WCPFC)</w:t>
      </w:r>
    </w:p>
    <w:p w14:paraId="25D67CDA" w14:textId="77777777" w:rsidR="009E4D27" w:rsidRPr="00786E2A" w:rsidRDefault="009E4D27" w:rsidP="00F8008C">
      <w:pPr>
        <w:jc w:val="both"/>
        <w:rPr>
          <w:rFonts w:ascii="Cambria" w:eastAsia="Calibri" w:hAnsi="Cambria" w:cs="Arial"/>
          <w:kern w:val="2"/>
          <w:sz w:val="20"/>
          <w:szCs w:val="20"/>
          <w14:ligatures w14:val="standardContextual"/>
        </w:rPr>
      </w:pPr>
    </w:p>
    <w:p w14:paraId="30807CF4" w14:textId="3BEE2E46" w:rsidR="009E4D27" w:rsidRPr="00786E2A" w:rsidRDefault="009E4D27" w:rsidP="00F8008C">
      <w:pPr>
        <w:jc w:val="both"/>
        <w:rPr>
          <w:rFonts w:ascii="Cambria" w:eastAsia="Calibri" w:hAnsi="Cambria" w:cs="Arial"/>
          <w:b/>
          <w:bCs/>
          <w:iCs/>
          <w:kern w:val="2"/>
          <w:sz w:val="20"/>
          <w:szCs w:val="20"/>
          <w14:ligatures w14:val="standardContextual"/>
        </w:rPr>
      </w:pPr>
      <w:r w:rsidRPr="00786E2A">
        <w:rPr>
          <w:rFonts w:ascii="Cambria" w:hAnsi="Cambria"/>
          <w:b/>
          <w:sz w:val="20"/>
          <w:szCs w:val="20"/>
        </w:rPr>
        <w:t>Senne</w:t>
      </w:r>
    </w:p>
    <w:p w14:paraId="4C467A9A" w14:textId="77777777" w:rsidR="009E4D27" w:rsidRPr="00786E2A" w:rsidRDefault="009E4D27" w:rsidP="00F8008C">
      <w:pPr>
        <w:jc w:val="both"/>
        <w:rPr>
          <w:rFonts w:ascii="Cambria" w:eastAsia="Calibri" w:hAnsi="Cambria" w:cs="Arial"/>
          <w:b/>
          <w:bCs/>
          <w:i/>
          <w:kern w:val="2"/>
          <w:sz w:val="20"/>
          <w:szCs w:val="20"/>
          <w:lang w:val="en-GB"/>
          <w14:ligatures w14:val="standardContextual"/>
        </w:rPr>
      </w:pPr>
    </w:p>
    <w:p w14:paraId="46DA373E" w14:textId="77777777" w:rsidR="009E4D27" w:rsidRPr="00786E2A" w:rsidRDefault="009E4D27" w:rsidP="00F8008C">
      <w:pPr>
        <w:jc w:val="both"/>
        <w:rPr>
          <w:rFonts w:ascii="Cambria" w:eastAsia="Calibri" w:hAnsi="Cambria" w:cs="Arial"/>
          <w:i/>
          <w:iCs/>
          <w:kern w:val="2"/>
          <w:sz w:val="20"/>
          <w:szCs w:val="20"/>
          <w14:ligatures w14:val="standardContextual"/>
        </w:rPr>
      </w:pPr>
      <w:r w:rsidRPr="00786E2A">
        <w:rPr>
          <w:rFonts w:ascii="Cambria" w:hAnsi="Cambria"/>
          <w:b/>
          <w:i/>
          <w:sz w:val="20"/>
          <w:szCs w:val="20"/>
        </w:rPr>
        <w:t>À faire :</w:t>
      </w:r>
      <w:r w:rsidRPr="00786E2A">
        <w:rPr>
          <w:rFonts w:ascii="Cambria" w:hAnsi="Cambria"/>
          <w:i/>
          <w:sz w:val="20"/>
          <w:szCs w:val="20"/>
        </w:rPr>
        <w:t xml:space="preserve"> </w:t>
      </w:r>
    </w:p>
    <w:p w14:paraId="3C86226F" w14:textId="77777777" w:rsidR="009E4D27" w:rsidRPr="00786E2A" w:rsidRDefault="009E4D27" w:rsidP="00F8008C">
      <w:pPr>
        <w:jc w:val="both"/>
        <w:rPr>
          <w:rFonts w:ascii="Cambria" w:eastAsia="Calibri" w:hAnsi="Cambria" w:cs="Arial"/>
          <w:i/>
          <w:iCs/>
          <w:kern w:val="2"/>
          <w:sz w:val="20"/>
          <w:szCs w:val="20"/>
          <w:lang w:val="en-GB"/>
          <w14:ligatures w14:val="standardContextual"/>
        </w:rPr>
      </w:pPr>
    </w:p>
    <w:p w14:paraId="00E3DF29" w14:textId="77777777" w:rsidR="009E4D27" w:rsidRPr="00786E2A" w:rsidRDefault="009E4D27" w:rsidP="00F8008C">
      <w:pPr>
        <w:pStyle w:val="ListParagraph"/>
        <w:numPr>
          <w:ilvl w:val="0"/>
          <w:numId w:val="8"/>
        </w:numPr>
        <w:tabs>
          <w:tab w:val="num" w:pos="360"/>
        </w:tabs>
        <w:ind w:left="851" w:hanging="425"/>
        <w:contextualSpacing/>
        <w:jc w:val="both"/>
        <w:rPr>
          <w:rFonts w:ascii="Cambria" w:eastAsia="Calibri" w:hAnsi="Cambria" w:cs="Arial"/>
          <w:kern w:val="2"/>
          <w:sz w:val="20"/>
          <w:szCs w:val="20"/>
          <w14:ligatures w14:val="standardContextual"/>
        </w:rPr>
      </w:pPr>
      <w:r w:rsidRPr="00786E2A">
        <w:rPr>
          <w:rFonts w:ascii="Cambria" w:hAnsi="Cambria"/>
          <w:sz w:val="20"/>
          <w:szCs w:val="20"/>
        </w:rPr>
        <w:t xml:space="preserve">Relâcher dans la mesure du possible les raies pendant qu'elles nagent encore librement (p. ex. procédure de descente, immersion des bouchons, coupe du filet). </w:t>
      </w:r>
    </w:p>
    <w:p w14:paraId="40F4CB69" w14:textId="77777777" w:rsidR="009E4D27" w:rsidRPr="00786E2A" w:rsidRDefault="009E4D27" w:rsidP="00F8008C">
      <w:pPr>
        <w:pStyle w:val="ListParagraph"/>
        <w:tabs>
          <w:tab w:val="num" w:pos="360"/>
        </w:tabs>
        <w:ind w:left="851"/>
        <w:contextualSpacing/>
        <w:jc w:val="both"/>
        <w:rPr>
          <w:rFonts w:ascii="Cambria" w:eastAsia="Calibri" w:hAnsi="Cambria" w:cs="Arial"/>
          <w:kern w:val="2"/>
          <w:sz w:val="20"/>
          <w:szCs w:val="20"/>
          <w14:ligatures w14:val="standardContextual"/>
        </w:rPr>
      </w:pPr>
    </w:p>
    <w:p w14:paraId="0A2C58BC" w14:textId="77777777" w:rsidR="009E4D27" w:rsidRPr="00786E2A" w:rsidRDefault="009E4D27" w:rsidP="00F8008C">
      <w:pPr>
        <w:pStyle w:val="ListParagraph"/>
        <w:numPr>
          <w:ilvl w:val="0"/>
          <w:numId w:val="8"/>
        </w:numPr>
        <w:tabs>
          <w:tab w:val="num" w:pos="360"/>
        </w:tabs>
        <w:ind w:left="851" w:hanging="425"/>
        <w:contextualSpacing/>
        <w:jc w:val="both"/>
        <w:rPr>
          <w:rFonts w:ascii="Cambria" w:eastAsia="Calibri" w:hAnsi="Cambria" w:cs="Arial"/>
          <w:kern w:val="2"/>
          <w:sz w:val="20"/>
          <w:szCs w:val="20"/>
          <w14:ligatures w14:val="standardContextual"/>
        </w:rPr>
      </w:pPr>
      <w:r w:rsidRPr="00786E2A">
        <w:rPr>
          <w:rFonts w:ascii="Cambria" w:hAnsi="Cambria"/>
          <w:sz w:val="20"/>
          <w:szCs w:val="20"/>
        </w:rPr>
        <w:t xml:space="preserve">Il est préférable que les grandes raies (&gt;60 kg), qui sont trop grandes pour être soulevées manuellement en toute sécurité, soient sorties de la salabarde et relâchées à l'aide d'un filet de transport à grandes mailles, d'une élingue en toile ou d'un dispositif similaire, spécialement conçus à cet effet, comme le recommande le document SC08-EB-IP-12 (Poisson </w:t>
      </w:r>
      <w:r w:rsidRPr="00786E2A">
        <w:rPr>
          <w:rFonts w:ascii="Cambria" w:hAnsi="Cambria"/>
          <w:i/>
          <w:sz w:val="20"/>
          <w:szCs w:val="20"/>
        </w:rPr>
        <w:t>et al.</w:t>
      </w:r>
      <w:r w:rsidRPr="00786E2A">
        <w:rPr>
          <w:rFonts w:ascii="Cambria" w:hAnsi="Cambria"/>
          <w:sz w:val="20"/>
          <w:szCs w:val="20"/>
        </w:rPr>
        <w:t xml:space="preserve">, 2012, Bonnes pratiques pour réduire la mortalité des requins et des raies capturés accidentellement par les senneurs thoniers tropicaux). Il est préférable de préparer les filets ou les dispositifs de remise à l'eau avant chaque opération. </w:t>
      </w:r>
    </w:p>
    <w:p w14:paraId="6254DE37" w14:textId="77777777" w:rsidR="009E4D27" w:rsidRPr="00786E2A" w:rsidRDefault="009E4D27" w:rsidP="00F8008C">
      <w:pPr>
        <w:pStyle w:val="ListParagraph"/>
        <w:jc w:val="both"/>
        <w:rPr>
          <w:rFonts w:ascii="Cambria" w:eastAsia="Calibri" w:hAnsi="Cambria" w:cs="Arial"/>
          <w:kern w:val="2"/>
          <w:sz w:val="20"/>
          <w:szCs w:val="20"/>
          <w14:ligatures w14:val="standardContextual"/>
        </w:rPr>
      </w:pPr>
    </w:p>
    <w:p w14:paraId="6CDDCD7A" w14:textId="77777777" w:rsidR="009E4D27" w:rsidRPr="00786E2A" w:rsidRDefault="009E4D27" w:rsidP="00F8008C">
      <w:pPr>
        <w:pStyle w:val="ListParagraph"/>
        <w:numPr>
          <w:ilvl w:val="0"/>
          <w:numId w:val="8"/>
        </w:numPr>
        <w:tabs>
          <w:tab w:val="num" w:pos="360"/>
        </w:tabs>
        <w:ind w:left="851" w:hanging="425"/>
        <w:contextualSpacing/>
        <w:jc w:val="both"/>
        <w:rPr>
          <w:rFonts w:ascii="Cambria" w:eastAsia="Calibri" w:hAnsi="Cambria" w:cs="Arial"/>
          <w:kern w:val="2"/>
          <w:sz w:val="20"/>
          <w:szCs w:val="20"/>
          <w14:ligatures w14:val="standardContextual"/>
        </w:rPr>
      </w:pPr>
      <w:r w:rsidRPr="00786E2A">
        <w:rPr>
          <w:rFonts w:ascii="Cambria" w:hAnsi="Cambria"/>
          <w:sz w:val="20"/>
          <w:szCs w:val="20"/>
        </w:rPr>
        <w:t xml:space="preserve">Il est préférable que les raies de tailles petites (&lt;30 kg) et moyennes (30-60 kg) soient manipulées par deux ou trois personnes et transportées par les flancs de leurs ailes ou, de préférence, à l'aide d'un(e) berceau/civière spécialement conçu(e) à cet effet, tout en garantissant la sécurité de l'équipage. </w:t>
      </w:r>
    </w:p>
    <w:p w14:paraId="1420B7EF" w14:textId="77777777" w:rsidR="009E4D27" w:rsidRPr="00786E2A" w:rsidRDefault="009E4D27" w:rsidP="00F8008C">
      <w:pPr>
        <w:pStyle w:val="ListParagraph"/>
        <w:jc w:val="both"/>
        <w:rPr>
          <w:rFonts w:ascii="Cambria" w:eastAsia="Calibri" w:hAnsi="Cambria" w:cs="Arial"/>
          <w:kern w:val="2"/>
          <w:sz w:val="20"/>
          <w:szCs w:val="20"/>
          <w14:ligatures w14:val="standardContextual"/>
        </w:rPr>
      </w:pPr>
    </w:p>
    <w:p w14:paraId="463D13FB" w14:textId="77777777" w:rsidR="009E4D27" w:rsidRPr="00786E2A" w:rsidRDefault="009E4D27" w:rsidP="00F8008C">
      <w:pPr>
        <w:pStyle w:val="ListParagraph"/>
        <w:numPr>
          <w:ilvl w:val="0"/>
          <w:numId w:val="8"/>
        </w:numPr>
        <w:tabs>
          <w:tab w:val="num" w:pos="360"/>
        </w:tabs>
        <w:ind w:left="851" w:hanging="425"/>
        <w:contextualSpacing/>
        <w:jc w:val="both"/>
        <w:rPr>
          <w:rFonts w:ascii="Cambria" w:eastAsia="Calibri" w:hAnsi="Cambria" w:cs="Arial"/>
          <w:kern w:val="2"/>
          <w:sz w:val="20"/>
          <w:szCs w:val="20"/>
          <w14:ligatures w14:val="standardContextual"/>
        </w:rPr>
      </w:pPr>
      <w:r w:rsidRPr="00786E2A">
        <w:rPr>
          <w:rFonts w:ascii="Cambria" w:hAnsi="Cambria"/>
          <w:sz w:val="20"/>
          <w:szCs w:val="20"/>
        </w:rPr>
        <w:t>Lorsqu'il est pris dans un filet, couper soigneusement le filet en l’éloignant de l'animal, et le relâcher à la mer le plus rapidement possible tout en garantissant la sécurité de l’équipage.</w:t>
      </w:r>
    </w:p>
    <w:p w14:paraId="30345AF4" w14:textId="77777777" w:rsidR="009E4D27" w:rsidRPr="00786E2A" w:rsidRDefault="009E4D27" w:rsidP="00F8008C">
      <w:pPr>
        <w:tabs>
          <w:tab w:val="num" w:pos="360"/>
        </w:tabs>
        <w:ind w:left="360" w:hanging="360"/>
        <w:contextualSpacing/>
        <w:jc w:val="both"/>
        <w:rPr>
          <w:rFonts w:ascii="Cambria" w:eastAsia="Calibri" w:hAnsi="Cambria" w:cs="Arial"/>
          <w:kern w:val="2"/>
          <w:sz w:val="20"/>
          <w:szCs w:val="20"/>
          <w14:ligatures w14:val="standardContextual"/>
        </w:rPr>
      </w:pPr>
    </w:p>
    <w:p w14:paraId="63920327" w14:textId="77777777" w:rsidR="009E4D27" w:rsidRPr="00786E2A" w:rsidRDefault="009E4D27" w:rsidP="00F8008C">
      <w:pPr>
        <w:jc w:val="both"/>
        <w:rPr>
          <w:rFonts w:ascii="Cambria" w:eastAsia="Calibri" w:hAnsi="Cambria" w:cs="Arial"/>
          <w:i/>
          <w:iCs/>
          <w:kern w:val="2"/>
          <w:sz w:val="20"/>
          <w:szCs w:val="20"/>
          <w14:ligatures w14:val="standardContextual"/>
        </w:rPr>
      </w:pPr>
      <w:r w:rsidRPr="00786E2A">
        <w:rPr>
          <w:rFonts w:ascii="Cambria" w:hAnsi="Cambria"/>
          <w:b/>
          <w:i/>
          <w:sz w:val="20"/>
          <w:szCs w:val="20"/>
        </w:rPr>
        <w:t>À ne pas faire :</w:t>
      </w:r>
      <w:r w:rsidRPr="00786E2A">
        <w:rPr>
          <w:rFonts w:ascii="Cambria" w:hAnsi="Cambria"/>
          <w:i/>
          <w:sz w:val="20"/>
          <w:szCs w:val="20"/>
        </w:rPr>
        <w:t xml:space="preserve"> </w:t>
      </w:r>
    </w:p>
    <w:p w14:paraId="738FD811" w14:textId="77777777" w:rsidR="009E4D27" w:rsidRPr="00786E2A" w:rsidRDefault="009E4D27" w:rsidP="00F8008C">
      <w:pPr>
        <w:jc w:val="both"/>
        <w:rPr>
          <w:rFonts w:ascii="Cambria" w:eastAsia="Calibri" w:hAnsi="Cambria" w:cs="Arial"/>
          <w:i/>
          <w:iCs/>
          <w:kern w:val="2"/>
          <w:sz w:val="20"/>
          <w:szCs w:val="20"/>
          <w:lang w:val="en-GB"/>
          <w14:ligatures w14:val="standardContextual"/>
        </w:rPr>
      </w:pPr>
    </w:p>
    <w:p w14:paraId="7060E967" w14:textId="77777777" w:rsidR="009E4D27" w:rsidRPr="00786E2A" w:rsidRDefault="009E4D27" w:rsidP="00F8008C">
      <w:pPr>
        <w:pStyle w:val="ListParagraph"/>
        <w:numPr>
          <w:ilvl w:val="0"/>
          <w:numId w:val="8"/>
        </w:numPr>
        <w:tabs>
          <w:tab w:val="num" w:pos="360"/>
        </w:tabs>
        <w:ind w:left="851" w:hanging="425"/>
        <w:contextualSpacing/>
        <w:jc w:val="both"/>
        <w:rPr>
          <w:rFonts w:ascii="Cambria" w:eastAsia="Calibri" w:hAnsi="Cambria" w:cs="Arial"/>
          <w:kern w:val="2"/>
          <w:sz w:val="20"/>
          <w:szCs w:val="20"/>
          <w14:ligatures w14:val="standardContextual"/>
        </w:rPr>
      </w:pPr>
      <w:r w:rsidRPr="00786E2A">
        <w:rPr>
          <w:rFonts w:ascii="Cambria" w:hAnsi="Cambria"/>
          <w:sz w:val="20"/>
          <w:szCs w:val="20"/>
        </w:rPr>
        <w:t xml:space="preserve">Laisser une raie sur le pont en attendant que le halage soit terminé, avant de la remettre à la mer. </w:t>
      </w:r>
    </w:p>
    <w:p w14:paraId="50E6FD8B" w14:textId="77777777" w:rsidR="009E4D27" w:rsidRPr="00786E2A" w:rsidRDefault="009E4D27" w:rsidP="00F8008C">
      <w:pPr>
        <w:pStyle w:val="ListParagraph"/>
        <w:ind w:left="851"/>
        <w:contextualSpacing/>
        <w:jc w:val="both"/>
        <w:rPr>
          <w:rFonts w:ascii="Cambria" w:eastAsia="Calibri" w:hAnsi="Cambria" w:cs="Arial"/>
          <w:kern w:val="2"/>
          <w:sz w:val="20"/>
          <w:szCs w:val="20"/>
          <w14:ligatures w14:val="standardContextual"/>
        </w:rPr>
      </w:pPr>
    </w:p>
    <w:p w14:paraId="48999157" w14:textId="77777777" w:rsidR="009E4D27" w:rsidRPr="00786E2A" w:rsidRDefault="009E4D27" w:rsidP="00F8008C">
      <w:pPr>
        <w:pStyle w:val="ListParagraph"/>
        <w:numPr>
          <w:ilvl w:val="0"/>
          <w:numId w:val="8"/>
        </w:numPr>
        <w:tabs>
          <w:tab w:val="num" w:pos="360"/>
        </w:tabs>
        <w:ind w:left="851" w:hanging="425"/>
        <w:contextualSpacing/>
        <w:jc w:val="both"/>
        <w:rPr>
          <w:rFonts w:ascii="Cambria" w:eastAsia="Calibri" w:hAnsi="Cambria" w:cs="Arial"/>
          <w:kern w:val="2"/>
          <w:sz w:val="20"/>
          <w:szCs w:val="20"/>
          <w14:ligatures w14:val="standardContextual"/>
        </w:rPr>
      </w:pPr>
      <w:r w:rsidRPr="00786E2A">
        <w:rPr>
          <w:rFonts w:ascii="Cambria" w:hAnsi="Cambria"/>
          <w:sz w:val="20"/>
          <w:szCs w:val="20"/>
        </w:rPr>
        <w:t>Percer des trous dans le corps des raies (par exemple, pour faire passer un câble ou une ligne afin de soulever la raie).</w:t>
      </w:r>
    </w:p>
    <w:p w14:paraId="46699A43" w14:textId="77777777" w:rsidR="009E4D27" w:rsidRPr="00786E2A" w:rsidRDefault="009E4D27" w:rsidP="00F8008C">
      <w:pPr>
        <w:pStyle w:val="ListParagraph"/>
        <w:jc w:val="both"/>
        <w:rPr>
          <w:rFonts w:ascii="Cambria" w:eastAsia="Calibri" w:hAnsi="Cambria" w:cs="Arial"/>
          <w:kern w:val="2"/>
          <w:sz w:val="20"/>
          <w:szCs w:val="20"/>
          <w14:ligatures w14:val="standardContextual"/>
        </w:rPr>
      </w:pPr>
    </w:p>
    <w:p w14:paraId="5C4FC625" w14:textId="77777777" w:rsidR="009E4D27" w:rsidRPr="00786E2A" w:rsidRDefault="009E4D27" w:rsidP="00F8008C">
      <w:pPr>
        <w:pStyle w:val="ListParagraph"/>
        <w:numPr>
          <w:ilvl w:val="0"/>
          <w:numId w:val="8"/>
        </w:numPr>
        <w:tabs>
          <w:tab w:val="num" w:pos="360"/>
        </w:tabs>
        <w:ind w:left="851" w:hanging="425"/>
        <w:contextualSpacing/>
        <w:jc w:val="both"/>
        <w:rPr>
          <w:rFonts w:ascii="Cambria" w:eastAsia="Calibri" w:hAnsi="Cambria" w:cs="Arial"/>
          <w:kern w:val="2"/>
          <w:sz w:val="20"/>
          <w:szCs w:val="20"/>
          <w14:ligatures w14:val="standardContextual"/>
        </w:rPr>
      </w:pPr>
      <w:r w:rsidRPr="00786E2A">
        <w:rPr>
          <w:rFonts w:ascii="Cambria" w:hAnsi="Cambria"/>
          <w:sz w:val="20"/>
          <w:szCs w:val="20"/>
        </w:rPr>
        <w:t>Gaffer, traîner, porter, soulever ou tirer une raie par ses « lobes céphaliques » ou sa queue, ou introduire des hameçons ou les mains dans les fentes branchiales ou les spiracles.</w:t>
      </w:r>
    </w:p>
    <w:p w14:paraId="7B71500E" w14:textId="77777777" w:rsidR="009E4D27" w:rsidRPr="00786E2A" w:rsidRDefault="009E4D27" w:rsidP="00F8008C">
      <w:pPr>
        <w:tabs>
          <w:tab w:val="num" w:pos="360"/>
        </w:tabs>
        <w:ind w:left="360" w:hanging="360"/>
        <w:contextualSpacing/>
        <w:jc w:val="both"/>
        <w:rPr>
          <w:rFonts w:ascii="Cambria" w:eastAsia="Calibri" w:hAnsi="Cambria" w:cs="Arial"/>
          <w:kern w:val="2"/>
          <w:sz w:val="20"/>
          <w:szCs w:val="20"/>
          <w14:ligatures w14:val="standardContextual"/>
        </w:rPr>
      </w:pPr>
    </w:p>
    <w:p w14:paraId="45192864" w14:textId="77777777" w:rsidR="009E4D27" w:rsidRPr="00786E2A" w:rsidRDefault="009E4D27" w:rsidP="00F8008C">
      <w:pPr>
        <w:jc w:val="both"/>
        <w:rPr>
          <w:rFonts w:ascii="Cambria" w:eastAsia="Calibri" w:hAnsi="Cambria" w:cs="Arial"/>
          <w:b/>
          <w:bCs/>
          <w:iCs/>
          <w:kern w:val="2"/>
          <w:sz w:val="20"/>
          <w:szCs w:val="20"/>
          <w14:ligatures w14:val="standardContextual"/>
        </w:rPr>
      </w:pPr>
      <w:r w:rsidRPr="00786E2A">
        <w:rPr>
          <w:rFonts w:ascii="Cambria" w:hAnsi="Cambria"/>
          <w:b/>
          <w:sz w:val="20"/>
          <w:szCs w:val="20"/>
        </w:rPr>
        <w:t>Palangre</w:t>
      </w:r>
    </w:p>
    <w:p w14:paraId="712F4F2E" w14:textId="77777777" w:rsidR="009E4D27" w:rsidRPr="00786E2A" w:rsidRDefault="009E4D27" w:rsidP="00F8008C">
      <w:pPr>
        <w:jc w:val="both"/>
        <w:rPr>
          <w:rFonts w:ascii="Cambria" w:eastAsia="Calibri" w:hAnsi="Cambria" w:cs="Arial"/>
          <w:b/>
          <w:bCs/>
          <w:i/>
          <w:kern w:val="2"/>
          <w:sz w:val="20"/>
          <w:szCs w:val="20"/>
          <w:lang w:val="en-GB"/>
          <w14:ligatures w14:val="standardContextual"/>
        </w:rPr>
      </w:pPr>
    </w:p>
    <w:p w14:paraId="3EFD8329" w14:textId="77777777" w:rsidR="009E4D27" w:rsidRPr="00786E2A" w:rsidRDefault="009E4D27" w:rsidP="00F8008C">
      <w:pPr>
        <w:jc w:val="both"/>
        <w:rPr>
          <w:rFonts w:ascii="Cambria" w:eastAsia="Calibri" w:hAnsi="Cambria" w:cs="Arial"/>
          <w:b/>
          <w:i/>
          <w:iCs/>
          <w:kern w:val="2"/>
          <w:sz w:val="20"/>
          <w:szCs w:val="20"/>
          <w14:ligatures w14:val="standardContextual"/>
        </w:rPr>
      </w:pPr>
      <w:r w:rsidRPr="00786E2A">
        <w:rPr>
          <w:rFonts w:ascii="Cambria" w:hAnsi="Cambria"/>
          <w:b/>
          <w:i/>
          <w:sz w:val="20"/>
          <w:szCs w:val="20"/>
        </w:rPr>
        <w:t xml:space="preserve">À faire : </w:t>
      </w:r>
    </w:p>
    <w:p w14:paraId="1E9D81A8" w14:textId="77777777" w:rsidR="009E4D27" w:rsidRPr="00786E2A" w:rsidRDefault="009E4D27" w:rsidP="00F8008C">
      <w:pPr>
        <w:jc w:val="both"/>
        <w:rPr>
          <w:rFonts w:ascii="Cambria" w:eastAsia="Calibri" w:hAnsi="Cambria" w:cs="Arial"/>
          <w:kern w:val="2"/>
          <w:sz w:val="20"/>
          <w:szCs w:val="20"/>
          <w:lang w:val="en-GB"/>
          <w14:ligatures w14:val="standardContextual"/>
        </w:rPr>
      </w:pPr>
    </w:p>
    <w:p w14:paraId="1B83C1A1" w14:textId="77777777" w:rsidR="009E4D27" w:rsidRPr="00786E2A" w:rsidRDefault="009E4D27" w:rsidP="00F8008C">
      <w:pPr>
        <w:pStyle w:val="ListParagraph"/>
        <w:numPr>
          <w:ilvl w:val="0"/>
          <w:numId w:val="8"/>
        </w:numPr>
        <w:tabs>
          <w:tab w:val="num" w:pos="360"/>
        </w:tabs>
        <w:ind w:left="851" w:hanging="425"/>
        <w:contextualSpacing/>
        <w:jc w:val="both"/>
        <w:rPr>
          <w:rFonts w:ascii="Cambria" w:eastAsia="Calibri" w:hAnsi="Cambria" w:cs="Arial"/>
          <w:kern w:val="2"/>
          <w:sz w:val="20"/>
          <w:szCs w:val="20"/>
          <w14:ligatures w14:val="standardContextual"/>
        </w:rPr>
      </w:pPr>
      <w:r w:rsidRPr="00786E2A">
        <w:rPr>
          <w:rFonts w:ascii="Cambria" w:hAnsi="Cambria"/>
          <w:sz w:val="20"/>
          <w:szCs w:val="20"/>
        </w:rPr>
        <w:t xml:space="preserve">Pour les petites raies, ramener la raie doucement à bord et retirer autant d'engins que possible en délogeant l'hameçon. Si des hameçons sont enfoncés, les couper avec un coupe-boulons ou couper la ligne au niveau de l'hameçon et remettre doucement l'animal à la mer. </w:t>
      </w:r>
    </w:p>
    <w:p w14:paraId="28A80ECA" w14:textId="77777777" w:rsidR="009E4D27" w:rsidRPr="00786E2A" w:rsidRDefault="009E4D27" w:rsidP="00F8008C">
      <w:pPr>
        <w:pStyle w:val="ListParagraph"/>
        <w:ind w:left="851"/>
        <w:contextualSpacing/>
        <w:jc w:val="both"/>
        <w:rPr>
          <w:rFonts w:ascii="Cambria" w:eastAsia="Calibri" w:hAnsi="Cambria" w:cs="Arial"/>
          <w:kern w:val="2"/>
          <w:sz w:val="20"/>
          <w:szCs w:val="20"/>
          <w14:ligatures w14:val="standardContextual"/>
        </w:rPr>
      </w:pPr>
    </w:p>
    <w:p w14:paraId="524C11EE" w14:textId="77777777" w:rsidR="009E4D27" w:rsidRPr="00786E2A" w:rsidRDefault="009E4D27" w:rsidP="00F8008C">
      <w:pPr>
        <w:pStyle w:val="ListParagraph"/>
        <w:numPr>
          <w:ilvl w:val="0"/>
          <w:numId w:val="8"/>
        </w:numPr>
        <w:tabs>
          <w:tab w:val="num" w:pos="360"/>
        </w:tabs>
        <w:ind w:left="851" w:hanging="425"/>
        <w:contextualSpacing/>
        <w:jc w:val="both"/>
        <w:rPr>
          <w:rFonts w:ascii="Cambria" w:eastAsia="Calibri" w:hAnsi="Cambria" w:cs="Arial"/>
          <w:kern w:val="2"/>
          <w:sz w:val="20"/>
          <w:szCs w:val="20"/>
          <w14:ligatures w14:val="standardContextual"/>
        </w:rPr>
      </w:pPr>
      <w:r w:rsidRPr="00786E2A">
        <w:rPr>
          <w:rFonts w:ascii="Cambria" w:hAnsi="Cambria"/>
          <w:sz w:val="20"/>
          <w:szCs w:val="20"/>
        </w:rPr>
        <w:t>Pour les raies de taille moyenne à grande (&gt;30 kg), laisser l'animal dans l'eau et utiliser un dégorgeoir ou un coupe-ligne à long manche pour couper l'engin aussi près que possible de l'hameçon (en laissant idéalement moins de 0,5 mètre de ligne attachée à l'animal).</w:t>
      </w:r>
    </w:p>
    <w:p w14:paraId="4B58BA4A" w14:textId="77777777" w:rsidR="009E4D27" w:rsidRPr="00786E2A" w:rsidRDefault="009E4D27" w:rsidP="00F8008C">
      <w:pPr>
        <w:tabs>
          <w:tab w:val="num" w:pos="360"/>
        </w:tabs>
        <w:ind w:left="360" w:hanging="360"/>
        <w:contextualSpacing/>
        <w:jc w:val="both"/>
        <w:rPr>
          <w:rFonts w:ascii="Cambria" w:eastAsia="Calibri" w:hAnsi="Cambria" w:cs="Arial"/>
          <w:kern w:val="2"/>
          <w:sz w:val="20"/>
          <w:szCs w:val="20"/>
          <w14:ligatures w14:val="standardContextual"/>
        </w:rPr>
      </w:pPr>
    </w:p>
    <w:p w14:paraId="25EF9921" w14:textId="77777777" w:rsidR="009E4D27" w:rsidRPr="00786E2A" w:rsidRDefault="009E4D27" w:rsidP="00F8008C">
      <w:pPr>
        <w:rPr>
          <w:rFonts w:ascii="Cambria" w:hAnsi="Cambria"/>
          <w:b/>
          <w:i/>
          <w:sz w:val="20"/>
          <w:szCs w:val="20"/>
        </w:rPr>
      </w:pPr>
      <w:r w:rsidRPr="00786E2A">
        <w:rPr>
          <w:rFonts w:ascii="Cambria" w:hAnsi="Cambria"/>
          <w:b/>
          <w:i/>
          <w:sz w:val="20"/>
          <w:szCs w:val="20"/>
        </w:rPr>
        <w:br w:type="page"/>
      </w:r>
    </w:p>
    <w:p w14:paraId="73D23E35" w14:textId="77777777" w:rsidR="009E4D27" w:rsidRPr="00786E2A" w:rsidRDefault="009E4D27" w:rsidP="00F8008C">
      <w:pPr>
        <w:jc w:val="both"/>
        <w:rPr>
          <w:rFonts w:ascii="Cambria" w:eastAsia="Calibri" w:hAnsi="Cambria" w:cs="Arial"/>
          <w:b/>
          <w:i/>
          <w:iCs/>
          <w:kern w:val="2"/>
          <w:sz w:val="20"/>
          <w:szCs w:val="20"/>
          <w14:ligatures w14:val="standardContextual"/>
        </w:rPr>
      </w:pPr>
      <w:r w:rsidRPr="00786E2A">
        <w:rPr>
          <w:rFonts w:ascii="Cambria" w:hAnsi="Cambria"/>
          <w:b/>
          <w:i/>
          <w:sz w:val="20"/>
          <w:szCs w:val="20"/>
        </w:rPr>
        <w:lastRenderedPageBreak/>
        <w:t xml:space="preserve">À ne pas faire : </w:t>
      </w:r>
    </w:p>
    <w:p w14:paraId="63A9726F" w14:textId="77777777" w:rsidR="009E4D27" w:rsidRPr="00786E2A" w:rsidRDefault="009E4D27" w:rsidP="00F8008C">
      <w:pPr>
        <w:jc w:val="both"/>
        <w:rPr>
          <w:rFonts w:ascii="Cambria" w:eastAsia="Calibri" w:hAnsi="Cambria" w:cs="Arial"/>
          <w:kern w:val="2"/>
          <w:sz w:val="20"/>
          <w:szCs w:val="20"/>
          <w:lang w:val="en-GB"/>
          <w14:ligatures w14:val="standardContextual"/>
        </w:rPr>
      </w:pPr>
    </w:p>
    <w:p w14:paraId="7697FDD6" w14:textId="77777777" w:rsidR="009E4D27" w:rsidRPr="00786E2A" w:rsidRDefault="009E4D27" w:rsidP="00F8008C">
      <w:pPr>
        <w:pStyle w:val="ListParagraph"/>
        <w:numPr>
          <w:ilvl w:val="0"/>
          <w:numId w:val="8"/>
        </w:numPr>
        <w:tabs>
          <w:tab w:val="num" w:pos="360"/>
        </w:tabs>
        <w:ind w:left="851" w:hanging="425"/>
        <w:contextualSpacing/>
        <w:jc w:val="both"/>
        <w:rPr>
          <w:rFonts w:ascii="Cambria" w:eastAsia="Calibri" w:hAnsi="Cambria" w:cs="Arial"/>
          <w:kern w:val="2"/>
          <w:sz w:val="20"/>
          <w:szCs w:val="20"/>
          <w14:ligatures w14:val="standardContextual"/>
        </w:rPr>
      </w:pPr>
      <w:r w:rsidRPr="00786E2A">
        <w:rPr>
          <w:rFonts w:ascii="Cambria" w:hAnsi="Cambria"/>
          <w:sz w:val="20"/>
          <w:szCs w:val="20"/>
        </w:rPr>
        <w:t xml:space="preserve">Frapper ou heurter une raie contre n'importe quelle surface pour retirer l'animal de la ligne. </w:t>
      </w:r>
    </w:p>
    <w:p w14:paraId="3FF20210" w14:textId="77777777" w:rsidR="009E4D27" w:rsidRPr="00786E2A" w:rsidRDefault="009E4D27" w:rsidP="00F8008C">
      <w:pPr>
        <w:pStyle w:val="ListParagraph"/>
        <w:ind w:left="851"/>
        <w:contextualSpacing/>
        <w:jc w:val="both"/>
        <w:rPr>
          <w:rFonts w:ascii="Cambria" w:eastAsia="Calibri" w:hAnsi="Cambria" w:cs="Arial"/>
          <w:kern w:val="2"/>
          <w:sz w:val="20"/>
          <w:szCs w:val="20"/>
          <w14:ligatures w14:val="standardContextual"/>
        </w:rPr>
      </w:pPr>
    </w:p>
    <w:p w14:paraId="4245FB73" w14:textId="77777777" w:rsidR="009E4D27" w:rsidRPr="00786E2A" w:rsidRDefault="009E4D27" w:rsidP="00F8008C">
      <w:pPr>
        <w:pStyle w:val="ListParagraph"/>
        <w:numPr>
          <w:ilvl w:val="0"/>
          <w:numId w:val="8"/>
        </w:numPr>
        <w:tabs>
          <w:tab w:val="num" w:pos="360"/>
        </w:tabs>
        <w:ind w:left="851" w:hanging="425"/>
        <w:contextualSpacing/>
        <w:jc w:val="both"/>
        <w:rPr>
          <w:rFonts w:ascii="Cambria" w:eastAsia="Calibri" w:hAnsi="Cambria" w:cs="Arial"/>
          <w:kern w:val="2"/>
          <w:sz w:val="20"/>
          <w:szCs w:val="20"/>
          <w14:ligatures w14:val="standardContextual"/>
        </w:rPr>
      </w:pPr>
      <w:r w:rsidRPr="00786E2A">
        <w:rPr>
          <w:rFonts w:ascii="Cambria" w:hAnsi="Cambria"/>
          <w:sz w:val="20"/>
          <w:szCs w:val="20"/>
        </w:rPr>
        <w:t>Essayer de déloger un hameçon profondément accroché ou ingéré en tirant sur l’avançon ou en utilisant un dégorgeoir.</w:t>
      </w:r>
    </w:p>
    <w:p w14:paraId="11CC4A3D" w14:textId="77777777" w:rsidR="009E4D27" w:rsidRPr="00786E2A" w:rsidRDefault="009E4D27" w:rsidP="00F8008C">
      <w:pPr>
        <w:pStyle w:val="ListParagraph"/>
        <w:jc w:val="both"/>
        <w:rPr>
          <w:rFonts w:ascii="Cambria" w:eastAsia="Calibri" w:hAnsi="Cambria" w:cs="Arial"/>
          <w:kern w:val="2"/>
          <w:sz w:val="20"/>
          <w:szCs w:val="20"/>
          <w14:ligatures w14:val="standardContextual"/>
        </w:rPr>
      </w:pPr>
    </w:p>
    <w:p w14:paraId="6548C95E" w14:textId="77777777" w:rsidR="009E4D27" w:rsidRPr="00786E2A" w:rsidRDefault="009E4D27" w:rsidP="00F8008C">
      <w:pPr>
        <w:pStyle w:val="ListParagraph"/>
        <w:numPr>
          <w:ilvl w:val="0"/>
          <w:numId w:val="8"/>
        </w:numPr>
        <w:tabs>
          <w:tab w:val="num" w:pos="360"/>
        </w:tabs>
        <w:ind w:left="851" w:hanging="425"/>
        <w:contextualSpacing/>
        <w:jc w:val="both"/>
        <w:rPr>
          <w:rFonts w:ascii="Cambria" w:eastAsia="Calibri" w:hAnsi="Cambria" w:cs="Arial"/>
          <w:kern w:val="2"/>
          <w:sz w:val="20"/>
          <w:szCs w:val="20"/>
          <w14:ligatures w14:val="standardContextual"/>
        </w:rPr>
      </w:pPr>
      <w:r w:rsidRPr="00786E2A">
        <w:rPr>
          <w:rFonts w:ascii="Cambria" w:hAnsi="Cambria"/>
          <w:sz w:val="20"/>
          <w:szCs w:val="20"/>
        </w:rPr>
        <w:t xml:space="preserve">Essayer de soulever des raies de taille moyenne à grande (&gt;30 kg) à bord du navire. </w:t>
      </w:r>
    </w:p>
    <w:p w14:paraId="346218BB" w14:textId="77777777" w:rsidR="009E4D27" w:rsidRPr="00786E2A" w:rsidRDefault="009E4D27" w:rsidP="00F8008C">
      <w:pPr>
        <w:pStyle w:val="ListParagraph"/>
        <w:ind w:left="851"/>
        <w:contextualSpacing/>
        <w:jc w:val="both"/>
        <w:rPr>
          <w:rFonts w:ascii="Cambria" w:eastAsia="Calibri" w:hAnsi="Cambria" w:cs="Arial"/>
          <w:kern w:val="2"/>
          <w:sz w:val="20"/>
          <w:szCs w:val="20"/>
          <w14:ligatures w14:val="standardContextual"/>
        </w:rPr>
      </w:pPr>
    </w:p>
    <w:p w14:paraId="325B81E5" w14:textId="77777777" w:rsidR="009E4D27" w:rsidRPr="00786E2A" w:rsidRDefault="009E4D27" w:rsidP="00F8008C">
      <w:pPr>
        <w:pStyle w:val="ListParagraph"/>
        <w:numPr>
          <w:ilvl w:val="0"/>
          <w:numId w:val="8"/>
        </w:numPr>
        <w:tabs>
          <w:tab w:val="num" w:pos="360"/>
        </w:tabs>
        <w:ind w:left="851" w:hanging="425"/>
        <w:contextualSpacing/>
        <w:jc w:val="both"/>
        <w:rPr>
          <w:rFonts w:ascii="Cambria" w:eastAsia="Calibri" w:hAnsi="Cambria" w:cs="Arial"/>
          <w:kern w:val="2"/>
          <w:sz w:val="20"/>
          <w:szCs w:val="20"/>
          <w14:ligatures w14:val="standardContextual"/>
        </w:rPr>
      </w:pPr>
      <w:r w:rsidRPr="00786E2A">
        <w:rPr>
          <w:rFonts w:ascii="Cambria" w:hAnsi="Cambria"/>
          <w:sz w:val="20"/>
          <w:szCs w:val="20"/>
        </w:rPr>
        <w:t>Couper la queue.</w:t>
      </w:r>
    </w:p>
    <w:p w14:paraId="7B92FE5D" w14:textId="77777777" w:rsidR="009E4D27" w:rsidRPr="00786E2A" w:rsidRDefault="009E4D27" w:rsidP="00F8008C">
      <w:pPr>
        <w:pStyle w:val="ListParagraph"/>
        <w:ind w:left="851"/>
        <w:contextualSpacing/>
        <w:jc w:val="both"/>
        <w:rPr>
          <w:rFonts w:ascii="Cambria" w:eastAsia="Calibri" w:hAnsi="Cambria" w:cs="Arial"/>
          <w:kern w:val="2"/>
          <w:sz w:val="20"/>
          <w:szCs w:val="20"/>
          <w14:ligatures w14:val="standardContextual"/>
        </w:rPr>
      </w:pPr>
    </w:p>
    <w:p w14:paraId="51351D43" w14:textId="77777777" w:rsidR="009E4D27" w:rsidRPr="00786E2A" w:rsidRDefault="009E4D27" w:rsidP="00F8008C">
      <w:pPr>
        <w:pStyle w:val="ListParagraph"/>
        <w:numPr>
          <w:ilvl w:val="0"/>
          <w:numId w:val="8"/>
        </w:numPr>
        <w:tabs>
          <w:tab w:val="num" w:pos="360"/>
        </w:tabs>
        <w:ind w:left="851" w:hanging="425"/>
        <w:contextualSpacing/>
        <w:jc w:val="both"/>
        <w:rPr>
          <w:rFonts w:ascii="Cambria" w:eastAsia="Calibri" w:hAnsi="Cambria" w:cs="Arial"/>
          <w:kern w:val="2"/>
          <w:sz w:val="20"/>
          <w:szCs w:val="20"/>
          <w14:ligatures w14:val="standardContextual"/>
        </w:rPr>
      </w:pPr>
      <w:r w:rsidRPr="00786E2A">
        <w:rPr>
          <w:rFonts w:ascii="Cambria" w:hAnsi="Cambria"/>
          <w:sz w:val="20"/>
          <w:szCs w:val="20"/>
        </w:rPr>
        <w:t>Gaffer, traîner, porter, soulever ou tirer une raie par ses « lobes céphaliques » ou sa queue, ou introduire des hameçons ou les mains dans les fentes branchiales ou les spiracles.</w:t>
      </w:r>
    </w:p>
    <w:p w14:paraId="7DB06755" w14:textId="77777777" w:rsidR="009E4D27" w:rsidRPr="00786E2A" w:rsidRDefault="009E4D27" w:rsidP="00F8008C">
      <w:pPr>
        <w:tabs>
          <w:tab w:val="num" w:pos="360"/>
        </w:tabs>
        <w:ind w:left="360" w:hanging="360"/>
        <w:contextualSpacing/>
        <w:jc w:val="both"/>
        <w:rPr>
          <w:rFonts w:ascii="Cambria" w:eastAsia="Calibri" w:hAnsi="Cambria" w:cs="Arial"/>
          <w:kern w:val="2"/>
          <w:sz w:val="20"/>
          <w:szCs w:val="20"/>
          <w14:ligatures w14:val="standardContextual"/>
        </w:rPr>
      </w:pPr>
    </w:p>
    <w:p w14:paraId="73791978" w14:textId="77777777" w:rsidR="009E4D27" w:rsidRPr="00786E2A" w:rsidRDefault="009E4D27" w:rsidP="00F8008C">
      <w:pPr>
        <w:jc w:val="both"/>
        <w:rPr>
          <w:rFonts w:ascii="Cambria" w:eastAsia="Calibri" w:hAnsi="Cambria" w:cs="Arial"/>
          <w:b/>
          <w:bCs/>
          <w:iCs/>
          <w:kern w:val="2"/>
          <w:sz w:val="20"/>
          <w:szCs w:val="20"/>
          <w14:ligatures w14:val="standardContextual"/>
        </w:rPr>
      </w:pPr>
      <w:r w:rsidRPr="00786E2A">
        <w:rPr>
          <w:rFonts w:ascii="Cambria" w:hAnsi="Cambria"/>
          <w:b/>
          <w:sz w:val="20"/>
          <w:szCs w:val="20"/>
        </w:rPr>
        <w:t>Recommandation additionnelle</w:t>
      </w:r>
    </w:p>
    <w:p w14:paraId="07D2F886" w14:textId="77777777" w:rsidR="009E4D27" w:rsidRPr="00786E2A" w:rsidRDefault="009E4D27" w:rsidP="00F8008C">
      <w:pPr>
        <w:jc w:val="both"/>
        <w:rPr>
          <w:rFonts w:ascii="Cambria" w:eastAsia="Calibri" w:hAnsi="Cambria" w:cs="Arial"/>
          <w:b/>
          <w:bCs/>
          <w:iCs/>
          <w:kern w:val="2"/>
          <w:sz w:val="20"/>
          <w:szCs w:val="20"/>
          <w14:ligatures w14:val="standardContextual"/>
        </w:rPr>
      </w:pPr>
    </w:p>
    <w:p w14:paraId="4394DDC2" w14:textId="77777777" w:rsidR="009E4D27" w:rsidRPr="00786E2A" w:rsidRDefault="009E4D27" w:rsidP="00F8008C">
      <w:pPr>
        <w:jc w:val="both"/>
        <w:rPr>
          <w:rFonts w:ascii="Cambria" w:eastAsia="Calibri" w:hAnsi="Cambria" w:cs="Arial"/>
          <w:kern w:val="2"/>
          <w:sz w:val="20"/>
          <w:szCs w:val="20"/>
          <w14:ligatures w14:val="standardContextual"/>
        </w:rPr>
      </w:pPr>
      <w:r w:rsidRPr="00786E2A">
        <w:rPr>
          <w:rFonts w:ascii="Cambria" w:hAnsi="Cambria"/>
          <w:sz w:val="20"/>
          <w:szCs w:val="20"/>
        </w:rPr>
        <w:t>Sachant que toute opération de pêche pourrait entraîner la capture de raies, plusieurs outils peuvent être préparés à l'avance (p. ex. élingues ou civières en toile ou en filet pour le transport ou le levage, filet ou grille à mailles larges pour couvrir les écoutilles/trémies dans les pêcheries de senneurs, coupe-lignes à long manche et dégorgeoirs dans les pêcheries palangrières).</w:t>
      </w:r>
    </w:p>
    <w:p w14:paraId="410C3457" w14:textId="77777777" w:rsidR="009E4D27" w:rsidRPr="00786E2A" w:rsidRDefault="009E4D27" w:rsidP="00F8008C">
      <w:pPr>
        <w:widowControl w:val="0"/>
        <w:ind w:left="426" w:hanging="426"/>
        <w:jc w:val="center"/>
        <w:rPr>
          <w:rFonts w:ascii="Cambria" w:eastAsia="Calibri" w:hAnsi="Cambria" w:cs="Calibri"/>
          <w:b/>
          <w:bCs/>
          <w:sz w:val="20"/>
          <w:szCs w:val="20"/>
        </w:rPr>
      </w:pPr>
    </w:p>
    <w:p w14:paraId="5A34F8E6" w14:textId="77777777" w:rsidR="009E4D27" w:rsidRPr="00786E2A" w:rsidRDefault="009E4D27" w:rsidP="00F8008C">
      <w:pPr>
        <w:tabs>
          <w:tab w:val="left" w:pos="300"/>
        </w:tabs>
        <w:jc w:val="both"/>
        <w:rPr>
          <w:rFonts w:ascii="Cambria" w:hAnsi="Cambria"/>
          <w:b/>
          <w:bCs/>
          <w:sz w:val="20"/>
          <w:szCs w:val="20"/>
        </w:rPr>
      </w:pPr>
    </w:p>
    <w:sectPr w:rsidR="009E4D27" w:rsidRPr="00786E2A" w:rsidSect="00E87D18">
      <w:footerReference w:type="default" r:id="rId7"/>
      <w:pgSz w:w="11906" w:h="16838" w:code="9"/>
      <w:pgMar w:top="1418" w:right="1418" w:bottom="1418" w:left="1418"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10AD6" w14:textId="77777777" w:rsidR="009830DA" w:rsidRDefault="009830DA" w:rsidP="00DD4C39">
      <w:r>
        <w:separator/>
      </w:r>
    </w:p>
  </w:endnote>
  <w:endnote w:type="continuationSeparator" w:id="0">
    <w:p w14:paraId="285720AB" w14:textId="77777777" w:rsidR="009830DA" w:rsidRDefault="009830DA"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85FD" w14:textId="454398FE" w:rsidR="00E87D18" w:rsidRPr="00E87D18" w:rsidRDefault="00A45C69" w:rsidP="00E87D18">
    <w:pPr>
      <w:tabs>
        <w:tab w:val="center" w:pos="4535"/>
        <w:tab w:val="center" w:pos="4680"/>
        <w:tab w:val="left" w:pos="6150"/>
        <w:tab w:val="right" w:pos="9360"/>
      </w:tabs>
      <w:jc w:val="center"/>
      <w:rPr>
        <w:rFonts w:ascii="Cambria" w:eastAsia="Calibri" w:hAnsi="Cambria" w:cs="Calibri"/>
        <w:sz w:val="20"/>
        <w:szCs w:val="22"/>
        <w:lang w:val="en-US"/>
      </w:rPr>
    </w:pPr>
    <w:sdt>
      <w:sdtPr>
        <w:rPr>
          <w:rFonts w:ascii="Calibri" w:eastAsia="Calibri" w:hAnsi="Calibri" w:cs="Calibri"/>
          <w:sz w:val="20"/>
          <w:szCs w:val="20"/>
          <w:lang w:val="en-US"/>
        </w:rPr>
        <w:id w:val="810910487"/>
        <w:docPartObj>
          <w:docPartGallery w:val="Page Numbers (Top of Page)"/>
          <w:docPartUnique/>
        </w:docPartObj>
      </w:sdtPr>
      <w:sdtEndPr/>
      <w:sdtContent>
        <w:r w:rsidR="00E87D18" w:rsidRPr="00713AD4">
          <w:rPr>
            <w:rFonts w:ascii="Cambria" w:eastAsia="Calibri" w:hAnsi="Cambria" w:cs="Calibri"/>
            <w:sz w:val="20"/>
            <w:szCs w:val="20"/>
            <w:lang w:val="en-US"/>
          </w:rPr>
          <w:fldChar w:fldCharType="begin"/>
        </w:r>
        <w:r w:rsidR="00E87D18" w:rsidRPr="00713AD4">
          <w:rPr>
            <w:rFonts w:ascii="Cambria" w:eastAsia="Calibri" w:hAnsi="Cambria" w:cs="Calibri"/>
            <w:sz w:val="20"/>
            <w:szCs w:val="20"/>
            <w:lang w:val="en-US"/>
          </w:rPr>
          <w:instrText xml:space="preserve"> PAGE </w:instrText>
        </w:r>
        <w:r w:rsidR="00E87D18" w:rsidRPr="00713AD4">
          <w:rPr>
            <w:rFonts w:ascii="Cambria" w:eastAsia="Calibri" w:hAnsi="Cambria" w:cs="Calibri"/>
            <w:sz w:val="20"/>
            <w:szCs w:val="20"/>
            <w:lang w:val="en-US"/>
          </w:rPr>
          <w:fldChar w:fldCharType="separate"/>
        </w:r>
        <w:r w:rsidR="00E87D18">
          <w:rPr>
            <w:rFonts w:ascii="Cambria" w:eastAsia="Calibri" w:hAnsi="Cambria" w:cs="Calibri"/>
            <w:sz w:val="20"/>
            <w:szCs w:val="20"/>
            <w:lang w:val="en-US"/>
          </w:rPr>
          <w:t>1</w:t>
        </w:r>
        <w:r w:rsidR="00E87D18" w:rsidRPr="00713AD4">
          <w:rPr>
            <w:rFonts w:ascii="Cambria" w:eastAsia="Calibri" w:hAnsi="Cambria" w:cs="Calibri"/>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CAFC" w14:textId="77777777" w:rsidR="009830DA" w:rsidRDefault="009830DA" w:rsidP="00DD4C39">
      <w:r>
        <w:separator/>
      </w:r>
    </w:p>
  </w:footnote>
  <w:footnote w:type="continuationSeparator" w:id="0">
    <w:p w14:paraId="5D34B879" w14:textId="77777777" w:rsidR="009830DA" w:rsidRDefault="009830DA" w:rsidP="00DD4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78E3"/>
    <w:multiLevelType w:val="hybridMultilevel"/>
    <w:tmpl w:val="0BB69D2A"/>
    <w:lvl w:ilvl="0" w:tplc="560A1B2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1" w15:restartNumberingAfterBreak="0">
    <w:nsid w:val="193B2056"/>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2" w15:restartNumberingAfterBreak="0">
    <w:nsid w:val="20202CC1"/>
    <w:multiLevelType w:val="hybridMultilevel"/>
    <w:tmpl w:val="DDB4D152"/>
    <w:lvl w:ilvl="0" w:tplc="505C6584">
      <w:start w:val="1"/>
      <w:numFmt w:val="decimal"/>
      <w:lvlText w:val="%1."/>
      <w:lvlJc w:val="left"/>
      <w:pPr>
        <w:ind w:left="790" w:hanging="43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6F103F9"/>
    <w:multiLevelType w:val="hybridMultilevel"/>
    <w:tmpl w:val="8DC897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9A1050"/>
    <w:multiLevelType w:val="hybridMultilevel"/>
    <w:tmpl w:val="2BC0EEA0"/>
    <w:lvl w:ilvl="0" w:tplc="2586E85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995643"/>
    <w:multiLevelType w:val="hybridMultilevel"/>
    <w:tmpl w:val="A18E6F28"/>
    <w:lvl w:ilvl="0" w:tplc="CA221E6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6" w15:restartNumberingAfterBreak="0">
    <w:nsid w:val="63341C23"/>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num w:numId="1" w16cid:durableId="1123421499">
    <w:abstractNumId w:val="2"/>
  </w:num>
  <w:num w:numId="2" w16cid:durableId="1449546622">
    <w:abstractNumId w:val="0"/>
  </w:num>
  <w:num w:numId="3" w16cid:durableId="1669477334">
    <w:abstractNumId w:val="5"/>
  </w:num>
  <w:num w:numId="4" w16cid:durableId="2062551615">
    <w:abstractNumId w:val="6"/>
  </w:num>
  <w:num w:numId="5" w16cid:durableId="1334332422">
    <w:abstractNumId w:val="1"/>
  </w:num>
  <w:num w:numId="6" w16cid:durableId="142551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3663394">
    <w:abstractNumId w:val="3"/>
  </w:num>
  <w:num w:numId="8" w16cid:durableId="1788306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00A6B"/>
    <w:rsid w:val="00035DD0"/>
    <w:rsid w:val="00043A65"/>
    <w:rsid w:val="0004418A"/>
    <w:rsid w:val="0007315B"/>
    <w:rsid w:val="000A3573"/>
    <w:rsid w:val="000A6DB2"/>
    <w:rsid w:val="00143634"/>
    <w:rsid w:val="00166CF6"/>
    <w:rsid w:val="001827ED"/>
    <w:rsid w:val="00186092"/>
    <w:rsid w:val="001935DF"/>
    <w:rsid w:val="001C6AD0"/>
    <w:rsid w:val="001D1E59"/>
    <w:rsid w:val="001D383F"/>
    <w:rsid w:val="001E1C24"/>
    <w:rsid w:val="001E47A9"/>
    <w:rsid w:val="001F6925"/>
    <w:rsid w:val="001F6D6D"/>
    <w:rsid w:val="002155D3"/>
    <w:rsid w:val="002744D4"/>
    <w:rsid w:val="002844D3"/>
    <w:rsid w:val="0028560B"/>
    <w:rsid w:val="002B0A29"/>
    <w:rsid w:val="002C428B"/>
    <w:rsid w:val="002D161F"/>
    <w:rsid w:val="002E1E13"/>
    <w:rsid w:val="002E724A"/>
    <w:rsid w:val="00311F8C"/>
    <w:rsid w:val="00324FAD"/>
    <w:rsid w:val="00342618"/>
    <w:rsid w:val="00344DB0"/>
    <w:rsid w:val="00345C20"/>
    <w:rsid w:val="0038315F"/>
    <w:rsid w:val="0038521D"/>
    <w:rsid w:val="003A752C"/>
    <w:rsid w:val="003D22D2"/>
    <w:rsid w:val="003D51BC"/>
    <w:rsid w:val="00401B55"/>
    <w:rsid w:val="00406CCF"/>
    <w:rsid w:val="00412FA5"/>
    <w:rsid w:val="0041562C"/>
    <w:rsid w:val="00436588"/>
    <w:rsid w:val="00441DC8"/>
    <w:rsid w:val="004B2C4C"/>
    <w:rsid w:val="004B6F03"/>
    <w:rsid w:val="004E2035"/>
    <w:rsid w:val="00502206"/>
    <w:rsid w:val="00502568"/>
    <w:rsid w:val="00506617"/>
    <w:rsid w:val="00513361"/>
    <w:rsid w:val="00513F5C"/>
    <w:rsid w:val="005666E2"/>
    <w:rsid w:val="005733F0"/>
    <w:rsid w:val="00580AEC"/>
    <w:rsid w:val="00581049"/>
    <w:rsid w:val="00586D4A"/>
    <w:rsid w:val="005915D1"/>
    <w:rsid w:val="005A3911"/>
    <w:rsid w:val="005A5635"/>
    <w:rsid w:val="005B164B"/>
    <w:rsid w:val="005B255C"/>
    <w:rsid w:val="005B3AD5"/>
    <w:rsid w:val="005C35E0"/>
    <w:rsid w:val="00600FA9"/>
    <w:rsid w:val="00630BEA"/>
    <w:rsid w:val="00632873"/>
    <w:rsid w:val="00635265"/>
    <w:rsid w:val="00635D7D"/>
    <w:rsid w:val="0065668F"/>
    <w:rsid w:val="00657722"/>
    <w:rsid w:val="00657B11"/>
    <w:rsid w:val="00662FA6"/>
    <w:rsid w:val="00675158"/>
    <w:rsid w:val="00675FA6"/>
    <w:rsid w:val="006827AF"/>
    <w:rsid w:val="00691676"/>
    <w:rsid w:val="006A3BB4"/>
    <w:rsid w:val="006A5A3E"/>
    <w:rsid w:val="006A601F"/>
    <w:rsid w:val="006C5523"/>
    <w:rsid w:val="006E1D1D"/>
    <w:rsid w:val="006E6DA2"/>
    <w:rsid w:val="007170F9"/>
    <w:rsid w:val="00720C29"/>
    <w:rsid w:val="007355DF"/>
    <w:rsid w:val="0074337D"/>
    <w:rsid w:val="00746F53"/>
    <w:rsid w:val="00757DB8"/>
    <w:rsid w:val="0076284F"/>
    <w:rsid w:val="00765653"/>
    <w:rsid w:val="007678A5"/>
    <w:rsid w:val="0078457F"/>
    <w:rsid w:val="00786E2A"/>
    <w:rsid w:val="00791DDC"/>
    <w:rsid w:val="00794313"/>
    <w:rsid w:val="007945C9"/>
    <w:rsid w:val="007A55A6"/>
    <w:rsid w:val="007B2DE7"/>
    <w:rsid w:val="007C51FD"/>
    <w:rsid w:val="007E1E76"/>
    <w:rsid w:val="00805EFF"/>
    <w:rsid w:val="00822DF1"/>
    <w:rsid w:val="00823657"/>
    <w:rsid w:val="00824EAC"/>
    <w:rsid w:val="008523C2"/>
    <w:rsid w:val="0086798A"/>
    <w:rsid w:val="00880D26"/>
    <w:rsid w:val="00881307"/>
    <w:rsid w:val="00890C67"/>
    <w:rsid w:val="008C6751"/>
    <w:rsid w:val="008E079A"/>
    <w:rsid w:val="009009B8"/>
    <w:rsid w:val="0097573F"/>
    <w:rsid w:val="0097663E"/>
    <w:rsid w:val="009830DA"/>
    <w:rsid w:val="0099070C"/>
    <w:rsid w:val="009A16EF"/>
    <w:rsid w:val="009D591E"/>
    <w:rsid w:val="009D5A51"/>
    <w:rsid w:val="009D6DBE"/>
    <w:rsid w:val="009E4D27"/>
    <w:rsid w:val="009E79E9"/>
    <w:rsid w:val="00A307E0"/>
    <w:rsid w:val="00A370AA"/>
    <w:rsid w:val="00A45C69"/>
    <w:rsid w:val="00A734A9"/>
    <w:rsid w:val="00A813F7"/>
    <w:rsid w:val="00A85C55"/>
    <w:rsid w:val="00A86721"/>
    <w:rsid w:val="00A94E9D"/>
    <w:rsid w:val="00AC4A88"/>
    <w:rsid w:val="00AD3671"/>
    <w:rsid w:val="00AE24D6"/>
    <w:rsid w:val="00B0169E"/>
    <w:rsid w:val="00B01D65"/>
    <w:rsid w:val="00B13F63"/>
    <w:rsid w:val="00B14CFF"/>
    <w:rsid w:val="00B20A06"/>
    <w:rsid w:val="00B21DA7"/>
    <w:rsid w:val="00B25B1A"/>
    <w:rsid w:val="00B26DB6"/>
    <w:rsid w:val="00B52143"/>
    <w:rsid w:val="00B865A5"/>
    <w:rsid w:val="00BB0EEB"/>
    <w:rsid w:val="00BC1C65"/>
    <w:rsid w:val="00C052E4"/>
    <w:rsid w:val="00C328B0"/>
    <w:rsid w:val="00C66E76"/>
    <w:rsid w:val="00C87AF3"/>
    <w:rsid w:val="00CA2F1B"/>
    <w:rsid w:val="00CB127B"/>
    <w:rsid w:val="00CF220B"/>
    <w:rsid w:val="00D0610E"/>
    <w:rsid w:val="00D3176A"/>
    <w:rsid w:val="00D468EB"/>
    <w:rsid w:val="00D46DC3"/>
    <w:rsid w:val="00D554B0"/>
    <w:rsid w:val="00DA3B8E"/>
    <w:rsid w:val="00DB17BB"/>
    <w:rsid w:val="00DB65DF"/>
    <w:rsid w:val="00DD4C39"/>
    <w:rsid w:val="00DE4A35"/>
    <w:rsid w:val="00E02EE0"/>
    <w:rsid w:val="00E14206"/>
    <w:rsid w:val="00E259C9"/>
    <w:rsid w:val="00E259E8"/>
    <w:rsid w:val="00E305FB"/>
    <w:rsid w:val="00E50A17"/>
    <w:rsid w:val="00E6230A"/>
    <w:rsid w:val="00E65734"/>
    <w:rsid w:val="00E66132"/>
    <w:rsid w:val="00E773ED"/>
    <w:rsid w:val="00E82931"/>
    <w:rsid w:val="00E87D18"/>
    <w:rsid w:val="00EA709B"/>
    <w:rsid w:val="00EA74DD"/>
    <w:rsid w:val="00EF2EC2"/>
    <w:rsid w:val="00F02E39"/>
    <w:rsid w:val="00F52FA1"/>
    <w:rsid w:val="00F8008C"/>
    <w:rsid w:val="00F82C2F"/>
    <w:rsid w:val="00F90469"/>
    <w:rsid w:val="00FA670F"/>
    <w:rsid w:val="00FA6FC1"/>
    <w:rsid w:val="00FC1C55"/>
    <w:rsid w:val="00FD1972"/>
    <w:rsid w:val="00FD67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8DED"/>
  <w15:chartTrackingRefBased/>
  <w15:docId w15:val="{18C0DD84-C14F-4EDE-BE73-C1530CFE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A6"/>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632873"/>
    <w:pPr>
      <w:keepNext/>
      <w:keepLines/>
      <w:spacing w:before="220" w:after="40" w:line="259" w:lineRule="auto"/>
      <w:outlineLvl w:val="4"/>
    </w:pPr>
    <w:rPr>
      <w:rFonts w:ascii="Calibri" w:eastAsia="Calibri" w:hAnsi="Calibri" w:cs="Calibri"/>
      <w:b/>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fr-FR" w:eastAsia="es-ES"/>
    </w:rPr>
  </w:style>
  <w:style w:type="character" w:styleId="Hyperlink">
    <w:name w:val="Hyperlink"/>
    <w:basedOn w:val="DefaultParagraphFont"/>
    <w:uiPriority w:val="99"/>
    <w:unhideWhenUsed/>
    <w:rsid w:val="00DD4C39"/>
    <w:rPr>
      <w:color w:val="0563C1" w:themeColor="hyperlink"/>
      <w:u w:val="single"/>
    </w:rPr>
  </w:style>
  <w:style w:type="paragraph" w:styleId="FootnoteText">
    <w:name w:val="footnote text"/>
    <w:basedOn w:val="Normal"/>
    <w:link w:val="FootnoteTextChar"/>
    <w:semiHidden/>
    <w:unhideWhenUsed/>
    <w:rsid w:val="00DD4C39"/>
    <w:rPr>
      <w:sz w:val="20"/>
      <w:szCs w:val="20"/>
    </w:rPr>
  </w:style>
  <w:style w:type="character" w:customStyle="1" w:styleId="FootnoteTextChar">
    <w:name w:val="Footnote Text Char"/>
    <w:basedOn w:val="DefaultParagraphFont"/>
    <w:link w:val="FootnoteText"/>
    <w:semiHidden/>
    <w:rsid w:val="00DD4C39"/>
    <w:rPr>
      <w:rFonts w:ascii="Times New Roman" w:eastAsia="Times New Roman" w:hAnsi="Times New Roman" w:cs="Times New Roman"/>
      <w:sz w:val="20"/>
      <w:szCs w:val="20"/>
      <w:lang w:val="fr-FR"/>
    </w:rPr>
  </w:style>
  <w:style w:type="character" w:styleId="FootnoteReference">
    <w:name w:val="footnote reference"/>
    <w:basedOn w:val="DefaultParagraphFont"/>
    <w:semiHidden/>
    <w:unhideWhenUsed/>
    <w:rsid w:val="00DD4C39"/>
    <w:rPr>
      <w:vertAlign w:val="superscript"/>
    </w:rPr>
  </w:style>
  <w:style w:type="character" w:styleId="CommentReference">
    <w:name w:val="annotation reference"/>
    <w:basedOn w:val="DefaultParagraphFont"/>
    <w:uiPriority w:val="99"/>
    <w:semiHidden/>
    <w:unhideWhenUsed/>
    <w:rsid w:val="00FC1C55"/>
    <w:rPr>
      <w:sz w:val="16"/>
      <w:szCs w:val="16"/>
    </w:rPr>
  </w:style>
  <w:style w:type="paragraph" w:styleId="CommentText">
    <w:name w:val="annotation text"/>
    <w:basedOn w:val="Normal"/>
    <w:link w:val="CommentTextChar"/>
    <w:uiPriority w:val="99"/>
    <w:unhideWhenUsed/>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fr-FR"/>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AD3671"/>
    <w:rPr>
      <w:color w:val="605E5C"/>
      <w:shd w:val="clear" w:color="auto" w:fill="E1DFDD"/>
    </w:rPr>
  </w:style>
  <w:style w:type="character" w:styleId="FollowedHyperlink">
    <w:name w:val="FollowedHyperlink"/>
    <w:basedOn w:val="DefaultParagraphFont"/>
    <w:uiPriority w:val="99"/>
    <w:semiHidden/>
    <w:unhideWhenUsed/>
    <w:rsid w:val="00AD3671"/>
    <w:rPr>
      <w:color w:val="954F72" w:themeColor="followedHyperlink"/>
      <w:u w:val="single"/>
    </w:rPr>
  </w:style>
  <w:style w:type="paragraph" w:styleId="Header">
    <w:name w:val="header"/>
    <w:basedOn w:val="Normal"/>
    <w:link w:val="HeaderChar"/>
    <w:uiPriority w:val="99"/>
    <w:unhideWhenUsed/>
    <w:rsid w:val="00E87D18"/>
    <w:pPr>
      <w:tabs>
        <w:tab w:val="center" w:pos="4680"/>
        <w:tab w:val="right" w:pos="9360"/>
      </w:tabs>
    </w:pPr>
  </w:style>
  <w:style w:type="character" w:customStyle="1" w:styleId="HeaderChar">
    <w:name w:val="Header Char"/>
    <w:basedOn w:val="DefaultParagraphFont"/>
    <w:link w:val="Header"/>
    <w:uiPriority w:val="99"/>
    <w:rsid w:val="00E87D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7D18"/>
    <w:pPr>
      <w:tabs>
        <w:tab w:val="center" w:pos="4680"/>
        <w:tab w:val="right" w:pos="9360"/>
      </w:tabs>
    </w:pPr>
  </w:style>
  <w:style w:type="character" w:customStyle="1" w:styleId="FooterChar">
    <w:name w:val="Footer Char"/>
    <w:basedOn w:val="DefaultParagraphFont"/>
    <w:link w:val="Footer"/>
    <w:uiPriority w:val="99"/>
    <w:rsid w:val="00E87D1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632873"/>
    <w:rPr>
      <w:rFonts w:ascii="Calibri" w:eastAsia="Calibri" w:hAnsi="Calibri" w:cs="Calibri"/>
      <w:b/>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1055273775">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696614122">
      <w:bodyDiv w:val="1"/>
      <w:marLeft w:val="0"/>
      <w:marRight w:val="0"/>
      <w:marTop w:val="0"/>
      <w:marBottom w:val="0"/>
      <w:divBdr>
        <w:top w:val="none" w:sz="0" w:space="0" w:color="auto"/>
        <w:left w:val="none" w:sz="0" w:space="0" w:color="auto"/>
        <w:bottom w:val="none" w:sz="0" w:space="0" w:color="auto"/>
        <w:right w:val="none" w:sz="0" w:space="0" w:color="auto"/>
      </w:divBdr>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Dorothee Pinet</cp:lastModifiedBy>
  <cp:revision>43</cp:revision>
  <dcterms:created xsi:type="dcterms:W3CDTF">2024-11-18T14:42:00Z</dcterms:created>
  <dcterms:modified xsi:type="dcterms:W3CDTF">2025-06-18T09:36:00Z</dcterms:modified>
</cp:coreProperties>
</file>