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E59B4" w14:textId="3C0791F3" w:rsidR="0024026D" w:rsidRPr="00DF1DF2" w:rsidRDefault="0024026D" w:rsidP="0024026D">
      <w:pPr>
        <w:pStyle w:val="RECOMENDACIon"/>
        <w:rPr>
          <w:lang w:eastAsia="en-US"/>
        </w:rPr>
      </w:pPr>
      <w:r w:rsidRPr="00DF1DF2">
        <w:rPr>
          <w:lang w:eastAsia="en-US"/>
        </w:rPr>
        <w:t>24-11                                                                                                                                                                                       SWO</w:t>
      </w:r>
      <w:r w:rsidRPr="00DF1DF2">
        <w:rPr>
          <w:lang w:eastAsia="en-US"/>
        </w:rPr>
        <w:br/>
        <w:t xml:space="preserve">RECOMENDACIÓN DE ICCAT </w:t>
      </w:r>
      <w:r w:rsidRPr="00DF1DF2">
        <w:t xml:space="preserve">SOBRE LÍMITES DE CAPTURA </w:t>
      </w:r>
      <w:r w:rsidRPr="00DF1DF2">
        <w:br/>
        <w:t xml:space="preserve">PARA EL PEZ ESPADA DEL MEDITERRÁNEO </w:t>
      </w:r>
    </w:p>
    <w:p w14:paraId="5D2B4126" w14:textId="77777777" w:rsidR="002174D8" w:rsidRPr="00DF1DF2" w:rsidRDefault="002174D8" w:rsidP="00417977">
      <w:pPr>
        <w:spacing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287290D5" w14:textId="77777777" w:rsidR="00045C31" w:rsidRPr="00DF1DF2" w:rsidRDefault="00045C31" w:rsidP="00417977">
      <w:pPr>
        <w:spacing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7D6516D6" w14:textId="53266E12" w:rsidR="004E7E56" w:rsidRPr="00DF1DF2" w:rsidRDefault="00B41D1A" w:rsidP="004E7E56">
      <w:pPr>
        <w:widowControl w:val="0"/>
        <w:spacing w:line="240" w:lineRule="auto"/>
        <w:ind w:firstLine="426"/>
        <w:jc w:val="both"/>
        <w:rPr>
          <w:rFonts w:ascii="Cambria" w:eastAsia="MS Mincho" w:hAnsi="Cambria"/>
          <w:kern w:val="2"/>
          <w:sz w:val="20"/>
          <w:szCs w:val="20"/>
        </w:rPr>
      </w:pPr>
      <w:r w:rsidRPr="00DF1DF2">
        <w:rPr>
          <w:rFonts w:ascii="Cambria" w:hAnsi="Cambria"/>
          <w:i/>
          <w:iCs/>
          <w:sz w:val="20"/>
          <w:szCs w:val="20"/>
        </w:rPr>
        <w:t xml:space="preserve">RECORDANDO </w:t>
      </w:r>
      <w:r w:rsidRPr="00DF1DF2">
        <w:rPr>
          <w:rFonts w:ascii="Cambria" w:hAnsi="Cambria"/>
          <w:sz w:val="20"/>
          <w:szCs w:val="20"/>
        </w:rPr>
        <w:t xml:space="preserve">el establecimiento de un </w:t>
      </w:r>
      <w:r w:rsidR="002F4EBA" w:rsidRPr="00DF1DF2">
        <w:rPr>
          <w:rFonts w:ascii="Cambria" w:hAnsi="Cambria"/>
          <w:sz w:val="20"/>
          <w:szCs w:val="20"/>
        </w:rPr>
        <w:t>total admisible de capturas (</w:t>
      </w:r>
      <w:r w:rsidRPr="00DF1DF2">
        <w:rPr>
          <w:rFonts w:ascii="Cambria" w:hAnsi="Cambria"/>
          <w:sz w:val="20"/>
          <w:szCs w:val="20"/>
        </w:rPr>
        <w:t>TAC</w:t>
      </w:r>
      <w:r w:rsidR="002F4EBA" w:rsidRPr="00DF1DF2">
        <w:rPr>
          <w:rFonts w:ascii="Cambria" w:hAnsi="Cambria"/>
          <w:sz w:val="20"/>
          <w:szCs w:val="20"/>
        </w:rPr>
        <w:t>)</w:t>
      </w:r>
      <w:r w:rsidRPr="00DF1DF2">
        <w:rPr>
          <w:rFonts w:ascii="Cambria" w:hAnsi="Cambria"/>
          <w:sz w:val="20"/>
          <w:szCs w:val="20"/>
        </w:rPr>
        <w:t xml:space="preserve"> y </w:t>
      </w:r>
      <w:r w:rsidR="00950B11" w:rsidRPr="00DF1DF2">
        <w:rPr>
          <w:rFonts w:ascii="Cambria" w:hAnsi="Cambria"/>
          <w:sz w:val="20"/>
          <w:szCs w:val="20"/>
        </w:rPr>
        <w:t xml:space="preserve">las </w:t>
      </w:r>
      <w:r w:rsidRPr="00DF1DF2">
        <w:rPr>
          <w:rFonts w:ascii="Cambria" w:hAnsi="Cambria"/>
          <w:sz w:val="20"/>
          <w:szCs w:val="20"/>
        </w:rPr>
        <w:t xml:space="preserve">reducciones de captura acordadas en la </w:t>
      </w:r>
      <w:r w:rsidRPr="00DF1DF2">
        <w:rPr>
          <w:rFonts w:ascii="Cambria" w:hAnsi="Cambria"/>
          <w:i/>
          <w:iCs/>
          <w:sz w:val="20"/>
          <w:szCs w:val="20"/>
        </w:rPr>
        <w:t xml:space="preserve">Recomendación de ICCAT que sustituye a la Recomendación 13-04 y establece un plan de recuperación plurianual para el pez espada del Mediterráneo </w:t>
      </w:r>
      <w:r w:rsidRPr="00DF1DF2">
        <w:rPr>
          <w:rFonts w:ascii="Cambria" w:hAnsi="Cambria"/>
          <w:sz w:val="20"/>
          <w:szCs w:val="20"/>
        </w:rPr>
        <w:t>(Rec. 16-05);</w:t>
      </w:r>
    </w:p>
    <w:p w14:paraId="4A14F563" w14:textId="77777777" w:rsidR="00B41D1A" w:rsidRPr="00DF1DF2" w:rsidRDefault="00B41D1A" w:rsidP="00417977">
      <w:pPr>
        <w:spacing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076CBF03" w14:textId="0BB3E514" w:rsidR="00045C31" w:rsidRPr="00DF1DF2" w:rsidRDefault="00045C31" w:rsidP="0054072E">
      <w:pPr>
        <w:widowControl w:val="0"/>
        <w:spacing w:line="240" w:lineRule="auto"/>
        <w:ind w:firstLine="426"/>
        <w:jc w:val="both"/>
        <w:rPr>
          <w:rFonts w:ascii="Cambria" w:eastAsia="MS Mincho" w:hAnsi="Cambria"/>
          <w:kern w:val="2"/>
          <w:sz w:val="20"/>
          <w:szCs w:val="20"/>
        </w:rPr>
      </w:pPr>
      <w:r w:rsidRPr="00DF1DF2">
        <w:rPr>
          <w:rFonts w:ascii="Cambria" w:hAnsi="Cambria"/>
          <w:i/>
          <w:iCs/>
          <w:sz w:val="20"/>
          <w:szCs w:val="20"/>
        </w:rPr>
        <w:t>SEÑALANDO</w:t>
      </w:r>
      <w:r w:rsidRPr="00DF1DF2">
        <w:rPr>
          <w:rFonts w:ascii="Cambria" w:hAnsi="Cambria"/>
          <w:sz w:val="20"/>
          <w:szCs w:val="20"/>
        </w:rPr>
        <w:t xml:space="preserve"> los compromisos asumidos en la reunión intersesiones de la Subcomisión 4 de 2017 de respetar la asignación incluida en la tabla del Apéndice 7 del informe de la reunión y </w:t>
      </w:r>
      <w:r w:rsidR="00606C77" w:rsidRPr="00DF1DF2">
        <w:rPr>
          <w:rFonts w:ascii="Cambria" w:hAnsi="Cambria"/>
          <w:sz w:val="20"/>
          <w:szCs w:val="20"/>
        </w:rPr>
        <w:t xml:space="preserve">de </w:t>
      </w:r>
      <w:r w:rsidRPr="00DF1DF2">
        <w:rPr>
          <w:rFonts w:ascii="Cambria" w:hAnsi="Cambria"/>
          <w:sz w:val="20"/>
          <w:szCs w:val="20"/>
        </w:rPr>
        <w:t>mantener las capturas dentro del TAC;</w:t>
      </w:r>
    </w:p>
    <w:p w14:paraId="0250B474" w14:textId="77777777" w:rsidR="00045C31" w:rsidRPr="00DF1DF2" w:rsidRDefault="00045C31" w:rsidP="00045C31">
      <w:pPr>
        <w:widowControl w:val="0"/>
        <w:spacing w:line="240" w:lineRule="auto"/>
        <w:jc w:val="both"/>
        <w:rPr>
          <w:rFonts w:ascii="Cambria" w:eastAsia="MS Mincho" w:hAnsi="Cambria"/>
          <w:kern w:val="2"/>
          <w:sz w:val="20"/>
          <w:szCs w:val="20"/>
          <w:lang w:eastAsia="ja-JP"/>
        </w:rPr>
      </w:pPr>
    </w:p>
    <w:p w14:paraId="1E7733D1" w14:textId="77777777" w:rsidR="00045C31" w:rsidRPr="00DF1DF2" w:rsidRDefault="00045C31" w:rsidP="00045C31">
      <w:pPr>
        <w:widowControl w:val="0"/>
        <w:spacing w:line="240" w:lineRule="auto"/>
        <w:jc w:val="center"/>
        <w:rPr>
          <w:rFonts w:ascii="Cambria" w:eastAsia="MS Mincho" w:hAnsi="Cambria"/>
          <w:kern w:val="2"/>
          <w:sz w:val="20"/>
          <w:szCs w:val="20"/>
        </w:rPr>
      </w:pPr>
      <w:r w:rsidRPr="00DF1DF2">
        <w:rPr>
          <w:rFonts w:ascii="Cambria" w:hAnsi="Cambria"/>
          <w:sz w:val="20"/>
        </w:rPr>
        <w:t>LA COMISIÓN INTERNACIONAL PARA LA CONSERVACIÓN DEL</w:t>
      </w:r>
    </w:p>
    <w:p w14:paraId="5E0B9AC9" w14:textId="77777777" w:rsidR="00045C31" w:rsidRPr="00DF1DF2" w:rsidRDefault="00045C31" w:rsidP="00045C31">
      <w:pPr>
        <w:widowControl w:val="0"/>
        <w:spacing w:line="240" w:lineRule="auto"/>
        <w:jc w:val="center"/>
        <w:rPr>
          <w:rFonts w:ascii="Cambria" w:eastAsia="MS Mincho" w:hAnsi="Cambria"/>
          <w:kern w:val="2"/>
          <w:sz w:val="20"/>
          <w:szCs w:val="20"/>
        </w:rPr>
      </w:pPr>
      <w:r w:rsidRPr="00DF1DF2">
        <w:rPr>
          <w:rFonts w:ascii="Cambria" w:hAnsi="Cambria"/>
          <w:sz w:val="20"/>
        </w:rPr>
        <w:t>ATÚN ATLÁNTICO (ICCAT) RECOMIENDA LO SIGUIENTE:</w:t>
      </w:r>
    </w:p>
    <w:p w14:paraId="7E3E0441" w14:textId="77777777" w:rsidR="00045C31" w:rsidRPr="00DF1DF2" w:rsidRDefault="00045C31" w:rsidP="00045C31">
      <w:pPr>
        <w:widowControl w:val="0"/>
        <w:spacing w:line="240" w:lineRule="auto"/>
        <w:jc w:val="both"/>
        <w:rPr>
          <w:rFonts w:ascii="Cambria" w:eastAsia="MS Mincho" w:hAnsi="Cambria"/>
          <w:kern w:val="2"/>
          <w:sz w:val="20"/>
          <w:szCs w:val="20"/>
          <w:lang w:eastAsia="ja-JP"/>
        </w:rPr>
      </w:pPr>
    </w:p>
    <w:p w14:paraId="2C363FC1" w14:textId="431A9DC0" w:rsidR="00045C31" w:rsidRPr="00DF1DF2" w:rsidRDefault="00045C31" w:rsidP="00313551">
      <w:pPr>
        <w:pStyle w:val="ListParagraph"/>
        <w:widowControl w:val="0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eastAsia="MS Mincho" w:hAnsi="Cambria"/>
          <w:kern w:val="2"/>
          <w:sz w:val="20"/>
          <w:szCs w:val="20"/>
        </w:rPr>
      </w:pPr>
      <w:r w:rsidRPr="00DF1DF2">
        <w:rPr>
          <w:rFonts w:ascii="Cambria" w:hAnsi="Cambria"/>
          <w:sz w:val="20"/>
        </w:rPr>
        <w:t xml:space="preserve">Como complemento a la Recomendación 16-05, las CPC respetarán los siguientes límites de captura para el pez espada del Mediterráneo: </w:t>
      </w:r>
    </w:p>
    <w:p w14:paraId="540C5D11" w14:textId="77777777" w:rsidR="00860618" w:rsidRPr="00DF1DF2" w:rsidRDefault="00860618" w:rsidP="00860618">
      <w:pPr>
        <w:widowControl w:val="0"/>
        <w:spacing w:line="240" w:lineRule="auto"/>
        <w:jc w:val="both"/>
        <w:rPr>
          <w:rFonts w:ascii="Cambria" w:eastAsia="MS Mincho" w:hAnsi="Cambria"/>
          <w:kern w:val="2"/>
          <w:sz w:val="20"/>
          <w:szCs w:val="20"/>
          <w:lang w:eastAsia="ja-JP"/>
        </w:rPr>
      </w:pPr>
    </w:p>
    <w:tbl>
      <w:tblPr>
        <w:tblStyle w:val="TableGrid"/>
        <w:tblW w:w="9061" w:type="dxa"/>
        <w:jc w:val="center"/>
        <w:tblLook w:val="04A0" w:firstRow="1" w:lastRow="0" w:firstColumn="1" w:lastColumn="0" w:noHBand="0" w:noVBand="1"/>
      </w:tblPr>
      <w:tblGrid>
        <w:gridCol w:w="1693"/>
        <w:gridCol w:w="2052"/>
        <w:gridCol w:w="2052"/>
        <w:gridCol w:w="3264"/>
      </w:tblGrid>
      <w:tr w:rsidR="00A313B8" w:rsidRPr="00DF1DF2" w14:paraId="6E71154D" w14:textId="77777777" w:rsidTr="00A313B8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570B1CFC" w14:textId="77777777" w:rsidR="00A313B8" w:rsidRPr="00DF1DF2" w:rsidRDefault="00A313B8" w:rsidP="00A313B8">
            <w:pPr>
              <w:jc w:val="center"/>
              <w:rPr>
                <w:rFonts w:ascii="Cambria" w:eastAsia="MS Mincho" w:hAnsi="Cambria"/>
                <w:bCs/>
                <w:i/>
                <w:iCs/>
                <w:kern w:val="2"/>
                <w:sz w:val="20"/>
                <w:szCs w:val="20"/>
              </w:rPr>
            </w:pPr>
            <w:r w:rsidRPr="00DF1DF2">
              <w:rPr>
                <w:rFonts w:ascii="Cambria" w:hAnsi="Cambria"/>
                <w:bCs/>
                <w:i/>
                <w:iCs/>
                <w:sz w:val="20"/>
              </w:rPr>
              <w:t>CPC</w:t>
            </w:r>
          </w:p>
        </w:tc>
        <w:tc>
          <w:tcPr>
            <w:tcW w:w="2052" w:type="dxa"/>
          </w:tcPr>
          <w:p w14:paraId="22A81FF1" w14:textId="5EE71D18" w:rsidR="00A313B8" w:rsidRPr="00DF1DF2" w:rsidRDefault="00A313B8" w:rsidP="00A313B8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DF1DF2">
              <w:rPr>
                <w:rFonts w:ascii="Cambria" w:hAnsi="Cambria"/>
                <w:i/>
                <w:kern w:val="2"/>
                <w:sz w:val="20"/>
              </w:rPr>
              <w:t xml:space="preserve">Asignación del TAC </w:t>
            </w:r>
            <w:r w:rsidR="008A5534" w:rsidRPr="00DF1DF2">
              <w:rPr>
                <w:rFonts w:ascii="Cambria" w:hAnsi="Cambria"/>
                <w:i/>
                <w:kern w:val="2"/>
                <w:sz w:val="20"/>
              </w:rPr>
              <w:t>a</w:t>
            </w:r>
            <w:r w:rsidRPr="00DF1DF2">
              <w:rPr>
                <w:rFonts w:ascii="Cambria" w:hAnsi="Cambria"/>
                <w:i/>
                <w:kern w:val="2"/>
                <w:sz w:val="20"/>
              </w:rPr>
              <w:t xml:space="preserve"> la CPC (%)</w:t>
            </w:r>
          </w:p>
        </w:tc>
        <w:tc>
          <w:tcPr>
            <w:tcW w:w="2052" w:type="dxa"/>
          </w:tcPr>
          <w:p w14:paraId="3937963B" w14:textId="77777777" w:rsidR="00A313B8" w:rsidRPr="00DF1DF2" w:rsidRDefault="00A313B8" w:rsidP="00A313B8">
            <w:pPr>
              <w:jc w:val="center"/>
              <w:rPr>
                <w:rFonts w:ascii="Cambria" w:hAnsi="Cambria"/>
                <w:i/>
                <w:kern w:val="2"/>
                <w:sz w:val="20"/>
              </w:rPr>
            </w:pPr>
            <w:r w:rsidRPr="00DF1DF2">
              <w:rPr>
                <w:rFonts w:ascii="Cambria" w:hAnsi="Cambria"/>
                <w:i/>
                <w:kern w:val="2"/>
                <w:sz w:val="20"/>
              </w:rPr>
              <w:t xml:space="preserve">Cuota de 2017 </w:t>
            </w:r>
          </w:p>
          <w:p w14:paraId="406949C0" w14:textId="7A7A19AA" w:rsidR="00A313B8" w:rsidRPr="00DF1DF2" w:rsidRDefault="00A313B8" w:rsidP="00A313B8">
            <w:pPr>
              <w:jc w:val="center"/>
              <w:rPr>
                <w:rFonts w:ascii="Cambria" w:hAnsi="Cambria"/>
                <w:bCs/>
                <w:i/>
                <w:iCs/>
                <w:sz w:val="20"/>
              </w:rPr>
            </w:pPr>
            <w:r w:rsidRPr="00DF1DF2">
              <w:rPr>
                <w:rFonts w:ascii="Cambria" w:hAnsi="Cambria"/>
                <w:i/>
                <w:kern w:val="2"/>
                <w:sz w:val="20"/>
              </w:rPr>
              <w:t>por CPC (t)</w:t>
            </w:r>
          </w:p>
        </w:tc>
        <w:tc>
          <w:tcPr>
            <w:tcW w:w="3264" w:type="dxa"/>
            <w:noWrap/>
            <w:hideMark/>
          </w:tcPr>
          <w:p w14:paraId="6063C45D" w14:textId="019B5DC7" w:rsidR="00A313B8" w:rsidRPr="00DF1DF2" w:rsidRDefault="00A313B8" w:rsidP="00A313B8">
            <w:pPr>
              <w:jc w:val="center"/>
              <w:rPr>
                <w:rFonts w:ascii="Cambria" w:eastAsia="MS Mincho" w:hAnsi="Cambria"/>
                <w:bCs/>
                <w:i/>
                <w:iCs/>
                <w:kern w:val="2"/>
                <w:sz w:val="20"/>
                <w:szCs w:val="20"/>
              </w:rPr>
            </w:pPr>
            <w:r w:rsidRPr="00DF1DF2">
              <w:rPr>
                <w:rFonts w:ascii="Cambria" w:hAnsi="Cambria"/>
                <w:bCs/>
                <w:i/>
                <w:iCs/>
                <w:sz w:val="20"/>
              </w:rPr>
              <w:t xml:space="preserve">Límites de captura (t) </w:t>
            </w:r>
          </w:p>
        </w:tc>
      </w:tr>
      <w:tr w:rsidR="00A313B8" w:rsidRPr="00DF1DF2" w14:paraId="619FEF8B" w14:textId="77777777" w:rsidTr="00A313B8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034B0BEF" w14:textId="77777777" w:rsidR="00A313B8" w:rsidRPr="00DF1DF2" w:rsidRDefault="00A313B8" w:rsidP="00A313B8">
            <w:pPr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hAnsi="Cambria"/>
                <w:sz w:val="20"/>
              </w:rPr>
              <w:t>Argelia</w:t>
            </w:r>
          </w:p>
        </w:tc>
        <w:tc>
          <w:tcPr>
            <w:tcW w:w="2052" w:type="dxa"/>
          </w:tcPr>
          <w:p w14:paraId="04D9107F" w14:textId="7C77EC0A" w:rsidR="00A313B8" w:rsidRPr="00DF1DF2" w:rsidRDefault="00A313B8" w:rsidP="00A313B8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5</w:t>
            </w:r>
            <w:r w:rsidR="00950B11"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,</w:t>
            </w: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238</w:t>
            </w:r>
          </w:p>
        </w:tc>
        <w:tc>
          <w:tcPr>
            <w:tcW w:w="2052" w:type="dxa"/>
          </w:tcPr>
          <w:p w14:paraId="741BCC13" w14:textId="210D61A9" w:rsidR="00A313B8" w:rsidRPr="00DF1DF2" w:rsidRDefault="00A313B8" w:rsidP="00A313B8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550</w:t>
            </w:r>
            <w:r w:rsidR="00400BC6"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,</w:t>
            </w: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 xml:space="preserve">000 </w:t>
            </w:r>
          </w:p>
        </w:tc>
        <w:tc>
          <w:tcPr>
            <w:tcW w:w="3264" w:type="dxa"/>
            <w:noWrap/>
            <w:hideMark/>
          </w:tcPr>
          <w:p w14:paraId="71158518" w14:textId="5AED65BD" w:rsidR="00A313B8" w:rsidRPr="00DF1DF2" w:rsidRDefault="00A313B8" w:rsidP="00A313B8">
            <w:pPr>
              <w:jc w:val="center"/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472</w:t>
            </w:r>
            <w:r w:rsidR="00400BC6"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,</w:t>
            </w: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330</w:t>
            </w:r>
          </w:p>
        </w:tc>
      </w:tr>
      <w:tr w:rsidR="00400BC6" w:rsidRPr="00DF1DF2" w14:paraId="65F2A73F" w14:textId="77777777" w:rsidTr="00A313B8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676FD37F" w14:textId="77777777" w:rsidR="00400BC6" w:rsidRPr="00DF1DF2" w:rsidRDefault="00400BC6" w:rsidP="00400BC6">
            <w:pPr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hAnsi="Cambria"/>
                <w:sz w:val="20"/>
              </w:rPr>
              <w:t>UE</w:t>
            </w:r>
          </w:p>
        </w:tc>
        <w:tc>
          <w:tcPr>
            <w:tcW w:w="2052" w:type="dxa"/>
          </w:tcPr>
          <w:p w14:paraId="2A4D3377" w14:textId="6DEE8FA4" w:rsidR="00400BC6" w:rsidRPr="00DF1DF2" w:rsidRDefault="00400BC6" w:rsidP="00400BC6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70</w:t>
            </w:r>
            <w:r w:rsidR="00950B11"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,</w:t>
            </w: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756</w:t>
            </w:r>
          </w:p>
        </w:tc>
        <w:tc>
          <w:tcPr>
            <w:tcW w:w="2052" w:type="dxa"/>
          </w:tcPr>
          <w:p w14:paraId="1F16B1CE" w14:textId="075B9865" w:rsidR="00400BC6" w:rsidRPr="00DF1DF2" w:rsidRDefault="00400BC6" w:rsidP="00400BC6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7.410,480</w:t>
            </w:r>
          </w:p>
        </w:tc>
        <w:tc>
          <w:tcPr>
            <w:tcW w:w="3264" w:type="dxa"/>
            <w:noWrap/>
            <w:hideMark/>
          </w:tcPr>
          <w:p w14:paraId="481197A0" w14:textId="4F757C62" w:rsidR="00400BC6" w:rsidRPr="00DF1DF2" w:rsidRDefault="00400BC6" w:rsidP="00400BC6">
            <w:pPr>
              <w:jc w:val="center"/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6.363,630</w:t>
            </w:r>
          </w:p>
        </w:tc>
      </w:tr>
      <w:tr w:rsidR="00400BC6" w:rsidRPr="00DF1DF2" w14:paraId="03A87E76" w14:textId="77777777" w:rsidTr="00A313B8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5783E058" w14:textId="77777777" w:rsidR="00400BC6" w:rsidRPr="00DF1DF2" w:rsidRDefault="00400BC6" w:rsidP="00400BC6">
            <w:pPr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hAnsi="Cambria"/>
                <w:sz w:val="20"/>
              </w:rPr>
              <w:t>Marruecos</w:t>
            </w:r>
          </w:p>
        </w:tc>
        <w:tc>
          <w:tcPr>
            <w:tcW w:w="2052" w:type="dxa"/>
          </w:tcPr>
          <w:p w14:paraId="476F5604" w14:textId="2B67E522" w:rsidR="00400BC6" w:rsidRPr="00DF1DF2" w:rsidRDefault="00400BC6" w:rsidP="00400BC6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9</w:t>
            </w:r>
            <w:r w:rsidR="00950B11"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,</w:t>
            </w: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952</w:t>
            </w:r>
          </w:p>
        </w:tc>
        <w:tc>
          <w:tcPr>
            <w:tcW w:w="2052" w:type="dxa"/>
          </w:tcPr>
          <w:p w14:paraId="094C6034" w14:textId="3512F8C8" w:rsidR="00400BC6" w:rsidRPr="00DF1DF2" w:rsidRDefault="00400BC6" w:rsidP="00400BC6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1.045,000</w:t>
            </w:r>
          </w:p>
        </w:tc>
        <w:tc>
          <w:tcPr>
            <w:tcW w:w="3264" w:type="dxa"/>
            <w:noWrap/>
            <w:hideMark/>
          </w:tcPr>
          <w:p w14:paraId="7942684E" w14:textId="41A6D8E4" w:rsidR="00400BC6" w:rsidRPr="00DF1DF2" w:rsidRDefault="00400BC6" w:rsidP="00400BC6">
            <w:pPr>
              <w:jc w:val="center"/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896,470</w:t>
            </w:r>
          </w:p>
        </w:tc>
      </w:tr>
      <w:tr w:rsidR="00400BC6" w:rsidRPr="00DF1DF2" w14:paraId="397AFA3F" w14:textId="77777777" w:rsidTr="00A313B8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72082DBC" w14:textId="77777777" w:rsidR="00400BC6" w:rsidRPr="00DF1DF2" w:rsidRDefault="00400BC6" w:rsidP="00400BC6">
            <w:pPr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hAnsi="Cambria"/>
                <w:sz w:val="20"/>
              </w:rPr>
              <w:t>Túnez</w:t>
            </w:r>
          </w:p>
        </w:tc>
        <w:tc>
          <w:tcPr>
            <w:tcW w:w="2052" w:type="dxa"/>
          </w:tcPr>
          <w:p w14:paraId="723E5D74" w14:textId="7CA65754" w:rsidR="00400BC6" w:rsidRPr="00DF1DF2" w:rsidRDefault="00400BC6" w:rsidP="00400BC6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9</w:t>
            </w:r>
            <w:r w:rsidR="00950B11"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,</w:t>
            </w: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597</w:t>
            </w:r>
          </w:p>
        </w:tc>
        <w:tc>
          <w:tcPr>
            <w:tcW w:w="2052" w:type="dxa"/>
          </w:tcPr>
          <w:p w14:paraId="544AF4D6" w14:textId="70B6773D" w:rsidR="00400BC6" w:rsidRPr="00DF1DF2" w:rsidRDefault="00400BC6" w:rsidP="00400BC6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1.007,694</w:t>
            </w:r>
          </w:p>
        </w:tc>
        <w:tc>
          <w:tcPr>
            <w:tcW w:w="3264" w:type="dxa"/>
            <w:noWrap/>
            <w:hideMark/>
          </w:tcPr>
          <w:p w14:paraId="3ECF8054" w14:textId="543F80D7" w:rsidR="00400BC6" w:rsidRPr="00DF1DF2" w:rsidRDefault="00400BC6" w:rsidP="00400BC6">
            <w:pPr>
              <w:jc w:val="center"/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865,330</w:t>
            </w:r>
          </w:p>
        </w:tc>
      </w:tr>
      <w:tr w:rsidR="00400BC6" w:rsidRPr="00DF1DF2" w14:paraId="13B56025" w14:textId="77777777" w:rsidTr="00A313B8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3DDF13A9" w14:textId="77777777" w:rsidR="00400BC6" w:rsidRPr="00DF1DF2" w:rsidRDefault="00400BC6" w:rsidP="00400BC6">
            <w:pPr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hAnsi="Cambria"/>
                <w:sz w:val="20"/>
              </w:rPr>
              <w:t>Türkiye</w:t>
            </w:r>
          </w:p>
        </w:tc>
        <w:tc>
          <w:tcPr>
            <w:tcW w:w="2052" w:type="dxa"/>
          </w:tcPr>
          <w:p w14:paraId="1181AC5F" w14:textId="3C00F94E" w:rsidR="00400BC6" w:rsidRPr="00DF1DF2" w:rsidRDefault="00400BC6" w:rsidP="00400BC6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4</w:t>
            </w:r>
            <w:r w:rsidR="00950B11"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,</w:t>
            </w: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200</w:t>
            </w:r>
          </w:p>
        </w:tc>
        <w:tc>
          <w:tcPr>
            <w:tcW w:w="2052" w:type="dxa"/>
          </w:tcPr>
          <w:p w14:paraId="303D4AA8" w14:textId="408738EF" w:rsidR="00400BC6" w:rsidRPr="00DF1DF2" w:rsidRDefault="00400BC6" w:rsidP="00400BC6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441,000</w:t>
            </w:r>
          </w:p>
        </w:tc>
        <w:tc>
          <w:tcPr>
            <w:tcW w:w="3264" w:type="dxa"/>
            <w:noWrap/>
            <w:hideMark/>
          </w:tcPr>
          <w:p w14:paraId="32020CE4" w14:textId="33045BFE" w:rsidR="00400BC6" w:rsidRPr="00DF1DF2" w:rsidRDefault="00400BC6" w:rsidP="00400BC6">
            <w:pPr>
              <w:jc w:val="center"/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378,700</w:t>
            </w:r>
          </w:p>
        </w:tc>
      </w:tr>
      <w:tr w:rsidR="00400BC6" w:rsidRPr="00DF1DF2" w14:paraId="06188586" w14:textId="77777777" w:rsidTr="00A313B8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303632B3" w14:textId="2DD7309B" w:rsidR="00400BC6" w:rsidRPr="00DF1DF2" w:rsidRDefault="00400BC6" w:rsidP="00400BC6">
            <w:pPr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hAnsi="Cambria"/>
                <w:sz w:val="20"/>
              </w:rPr>
              <w:t>Otras</w:t>
            </w:r>
          </w:p>
        </w:tc>
        <w:tc>
          <w:tcPr>
            <w:tcW w:w="2052" w:type="dxa"/>
          </w:tcPr>
          <w:p w14:paraId="3229328C" w14:textId="30D90CA1" w:rsidR="00400BC6" w:rsidRPr="00DF1DF2" w:rsidRDefault="00400BC6" w:rsidP="00400BC6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0</w:t>
            </w:r>
            <w:r w:rsidR="00950B11"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,</w:t>
            </w: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436</w:t>
            </w:r>
          </w:p>
        </w:tc>
        <w:tc>
          <w:tcPr>
            <w:tcW w:w="2052" w:type="dxa"/>
          </w:tcPr>
          <w:p w14:paraId="096DB22C" w14:textId="788DC837" w:rsidR="00400BC6" w:rsidRPr="00DF1DF2" w:rsidRDefault="00400BC6" w:rsidP="00400BC6">
            <w:pPr>
              <w:jc w:val="center"/>
              <w:rPr>
                <w:rFonts w:ascii="Cambria" w:hAnsi="Cambria"/>
                <w:sz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45,826</w:t>
            </w:r>
          </w:p>
        </w:tc>
        <w:tc>
          <w:tcPr>
            <w:tcW w:w="3264" w:type="dxa"/>
            <w:noWrap/>
            <w:hideMark/>
          </w:tcPr>
          <w:p w14:paraId="2A43CCE7" w14:textId="33151FAB" w:rsidR="00400BC6" w:rsidRPr="00DF1DF2" w:rsidRDefault="00400BC6" w:rsidP="00400BC6">
            <w:pPr>
              <w:jc w:val="center"/>
              <w:rPr>
                <w:rFonts w:ascii="Cambria" w:eastAsia="MS Mincho" w:hAnsi="Cambria"/>
                <w:kern w:val="2"/>
                <w:sz w:val="20"/>
                <w:szCs w:val="20"/>
              </w:rPr>
            </w:pPr>
            <w:r w:rsidRPr="00DF1DF2">
              <w:rPr>
                <w:rFonts w:ascii="Cambria" w:eastAsia="MS Mincho" w:hAnsi="Cambria"/>
                <w:kern w:val="2"/>
                <w:sz w:val="20"/>
                <w:szCs w:val="20"/>
                <w:lang w:eastAsia="ja-JP"/>
              </w:rPr>
              <w:t>39,350</w:t>
            </w:r>
          </w:p>
        </w:tc>
      </w:tr>
      <w:tr w:rsidR="00400BC6" w:rsidRPr="00DF1DF2" w14:paraId="165A27F1" w14:textId="77777777" w:rsidTr="00A313B8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75C723B8" w14:textId="77777777" w:rsidR="00400BC6" w:rsidRPr="00DF1DF2" w:rsidRDefault="00400BC6" w:rsidP="00400BC6">
            <w:pPr>
              <w:rPr>
                <w:rFonts w:ascii="Cambria" w:eastAsia="MS Mincho" w:hAnsi="Cambria"/>
                <w:b/>
                <w:bCs/>
                <w:kern w:val="2"/>
                <w:sz w:val="20"/>
                <w:szCs w:val="20"/>
              </w:rPr>
            </w:pPr>
            <w:r w:rsidRPr="00DF1DF2">
              <w:rPr>
                <w:rFonts w:ascii="Cambria" w:hAnsi="Cambria"/>
                <w:b/>
                <w:sz w:val="20"/>
              </w:rPr>
              <w:t>TAC</w:t>
            </w:r>
          </w:p>
        </w:tc>
        <w:tc>
          <w:tcPr>
            <w:tcW w:w="2052" w:type="dxa"/>
          </w:tcPr>
          <w:p w14:paraId="30A36407" w14:textId="161A099F" w:rsidR="00400BC6" w:rsidRPr="00DF1DF2" w:rsidRDefault="00400BC6" w:rsidP="00400BC6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052" w:type="dxa"/>
          </w:tcPr>
          <w:p w14:paraId="2CC68D99" w14:textId="1F8DD66E" w:rsidR="00400BC6" w:rsidRPr="00DF1DF2" w:rsidRDefault="00400BC6" w:rsidP="00400BC6">
            <w:pPr>
              <w:jc w:val="center"/>
              <w:rPr>
                <w:rFonts w:ascii="Cambria" w:hAnsi="Cambria"/>
                <w:b/>
                <w:sz w:val="20"/>
              </w:rPr>
            </w:pPr>
            <w:r w:rsidRPr="00DF1DF2">
              <w:rPr>
                <w:rFonts w:ascii="Cambria" w:eastAsia="MS Mincho" w:hAnsi="Cambria"/>
                <w:b/>
                <w:bCs/>
                <w:kern w:val="2"/>
                <w:sz w:val="20"/>
                <w:szCs w:val="20"/>
                <w:lang w:eastAsia="ja-JP"/>
              </w:rPr>
              <w:t>10.500,000</w:t>
            </w:r>
          </w:p>
        </w:tc>
        <w:tc>
          <w:tcPr>
            <w:tcW w:w="3264" w:type="dxa"/>
            <w:noWrap/>
            <w:hideMark/>
          </w:tcPr>
          <w:p w14:paraId="73B232F7" w14:textId="3C3B4757" w:rsidR="00400BC6" w:rsidRPr="00DF1DF2" w:rsidRDefault="00400BC6" w:rsidP="00400BC6">
            <w:pPr>
              <w:jc w:val="center"/>
              <w:rPr>
                <w:rFonts w:ascii="Cambria" w:eastAsia="MS Mincho" w:hAnsi="Cambria"/>
                <w:b/>
                <w:bCs/>
                <w:kern w:val="2"/>
                <w:sz w:val="20"/>
                <w:szCs w:val="20"/>
              </w:rPr>
            </w:pPr>
            <w:r w:rsidRPr="00DF1DF2">
              <w:rPr>
                <w:rFonts w:ascii="Cambria" w:eastAsia="MS Mincho" w:hAnsi="Cambria"/>
                <w:b/>
                <w:bCs/>
                <w:kern w:val="2"/>
                <w:sz w:val="20"/>
                <w:szCs w:val="20"/>
                <w:lang w:eastAsia="ja-JP"/>
              </w:rPr>
              <w:t>9.015,810*</w:t>
            </w:r>
          </w:p>
        </w:tc>
      </w:tr>
    </w:tbl>
    <w:p w14:paraId="59F7D715" w14:textId="77777777" w:rsidR="00860618" w:rsidRPr="00DF1DF2" w:rsidRDefault="00860618" w:rsidP="00860618">
      <w:pPr>
        <w:widowControl w:val="0"/>
        <w:spacing w:line="240" w:lineRule="auto"/>
        <w:jc w:val="both"/>
        <w:rPr>
          <w:rFonts w:ascii="Cambria" w:eastAsia="MS Mincho" w:hAnsi="Cambria"/>
          <w:kern w:val="2"/>
          <w:sz w:val="20"/>
          <w:szCs w:val="20"/>
          <w:lang w:eastAsia="ja-JP"/>
        </w:rPr>
      </w:pPr>
    </w:p>
    <w:p w14:paraId="34E70388" w14:textId="3D8C26F9" w:rsidR="00673E2C" w:rsidRPr="00DF1DF2" w:rsidRDefault="00AA7A64" w:rsidP="00950B11">
      <w:pPr>
        <w:widowControl w:val="0"/>
        <w:spacing w:line="240" w:lineRule="auto"/>
        <w:jc w:val="both"/>
        <w:rPr>
          <w:rFonts w:ascii="Cambria" w:eastAsia="MS Mincho" w:hAnsi="Cambria"/>
          <w:kern w:val="2"/>
          <w:sz w:val="16"/>
          <w:szCs w:val="16"/>
          <w:lang w:eastAsia="ja-JP"/>
        </w:rPr>
      </w:pPr>
      <w:r w:rsidRPr="00DF1DF2">
        <w:rPr>
          <w:rFonts w:ascii="Cambria" w:eastAsia="MS Mincho" w:hAnsi="Cambria"/>
          <w:kern w:val="2"/>
          <w:sz w:val="16"/>
          <w:szCs w:val="16"/>
          <w:lang w:eastAsia="ja-JP"/>
        </w:rPr>
        <w:t xml:space="preserve">* </w:t>
      </w:r>
      <w:r w:rsidR="00673E2C" w:rsidRPr="00DF1DF2">
        <w:rPr>
          <w:rFonts w:ascii="Cambria" w:eastAsia="MS Mincho" w:hAnsi="Cambria"/>
          <w:kern w:val="2"/>
          <w:sz w:val="16"/>
          <w:szCs w:val="16"/>
          <w:lang w:eastAsia="ja-JP"/>
        </w:rPr>
        <w:t xml:space="preserve">Además, </w:t>
      </w:r>
      <w:r w:rsidRPr="00DF1DF2">
        <w:rPr>
          <w:rFonts w:ascii="Cambria" w:eastAsia="MS Mincho" w:hAnsi="Cambria"/>
          <w:kern w:val="2"/>
          <w:sz w:val="16"/>
          <w:szCs w:val="16"/>
          <w:lang w:eastAsia="ja-JP"/>
        </w:rPr>
        <w:t xml:space="preserve">Egipto y Libia </w:t>
      </w:r>
      <w:r w:rsidR="00673E2C" w:rsidRPr="00DF1DF2">
        <w:rPr>
          <w:rFonts w:ascii="Cambria" w:eastAsia="MS Mincho" w:hAnsi="Cambria"/>
          <w:kern w:val="2"/>
          <w:sz w:val="16"/>
          <w:szCs w:val="16"/>
          <w:lang w:eastAsia="ja-JP"/>
        </w:rPr>
        <w:t xml:space="preserve">tendrán límites de captura de 125 t cada una. Esto </w:t>
      </w:r>
      <w:r w:rsidRPr="00DF1DF2">
        <w:rPr>
          <w:rFonts w:ascii="Cambria" w:eastAsia="MS Mincho" w:hAnsi="Cambria"/>
          <w:kern w:val="2"/>
          <w:sz w:val="16"/>
          <w:szCs w:val="16"/>
          <w:lang w:eastAsia="ja-JP"/>
        </w:rPr>
        <w:t xml:space="preserve">se entenderá sin perjuicio de la clave de asignación </w:t>
      </w:r>
      <w:r w:rsidR="00673E2C" w:rsidRPr="00DF1DF2">
        <w:rPr>
          <w:rFonts w:ascii="Cambria" w:eastAsia="MS Mincho" w:hAnsi="Cambria"/>
          <w:kern w:val="2"/>
          <w:sz w:val="16"/>
          <w:szCs w:val="16"/>
          <w:lang w:eastAsia="ja-JP"/>
        </w:rPr>
        <w:t xml:space="preserve">reflejada </w:t>
      </w:r>
      <w:r w:rsidR="008A5534" w:rsidRPr="00DF1DF2">
        <w:rPr>
          <w:rFonts w:ascii="Cambria" w:eastAsia="MS Mincho" w:hAnsi="Cambria"/>
          <w:kern w:val="2"/>
          <w:sz w:val="16"/>
          <w:szCs w:val="16"/>
          <w:lang w:eastAsia="ja-JP"/>
        </w:rPr>
        <w:t xml:space="preserve">en </w:t>
      </w:r>
      <w:r w:rsidR="00673E2C" w:rsidRPr="00DF1DF2">
        <w:rPr>
          <w:rFonts w:ascii="Cambria" w:eastAsia="MS Mincho" w:hAnsi="Cambria"/>
          <w:kern w:val="2"/>
          <w:sz w:val="16"/>
          <w:szCs w:val="16"/>
          <w:lang w:eastAsia="ja-JP"/>
        </w:rPr>
        <w:t>esta tabla</w:t>
      </w:r>
      <w:r w:rsidRPr="00DF1DF2">
        <w:rPr>
          <w:rFonts w:ascii="Cambria" w:eastAsia="MS Mincho" w:hAnsi="Cambria"/>
          <w:kern w:val="2"/>
          <w:sz w:val="16"/>
          <w:szCs w:val="16"/>
          <w:lang w:eastAsia="ja-JP"/>
        </w:rPr>
        <w:t>.</w:t>
      </w:r>
    </w:p>
    <w:p w14:paraId="1477F188" w14:textId="77777777" w:rsidR="00673E2C" w:rsidRPr="00DF1DF2" w:rsidRDefault="00673E2C" w:rsidP="00673E2C">
      <w:pPr>
        <w:widowControl w:val="0"/>
        <w:spacing w:line="240" w:lineRule="auto"/>
        <w:jc w:val="both"/>
        <w:rPr>
          <w:rFonts w:ascii="Cambria" w:eastAsia="MS Mincho" w:hAnsi="Cambria"/>
          <w:kern w:val="2"/>
          <w:sz w:val="20"/>
          <w:szCs w:val="20"/>
          <w:lang w:eastAsia="ja-JP"/>
        </w:rPr>
      </w:pPr>
    </w:p>
    <w:p w14:paraId="4C2A7972" w14:textId="671EB3D6" w:rsidR="00673E2C" w:rsidRPr="00DF1DF2" w:rsidRDefault="00673E2C" w:rsidP="00673E2C">
      <w:pPr>
        <w:pStyle w:val="ListParagraph"/>
        <w:widowControl w:val="0"/>
        <w:numPr>
          <w:ilvl w:val="0"/>
          <w:numId w:val="4"/>
        </w:numPr>
        <w:spacing w:line="240" w:lineRule="auto"/>
        <w:ind w:left="426" w:hanging="426"/>
        <w:jc w:val="both"/>
        <w:rPr>
          <w:rFonts w:ascii="Cambria" w:eastAsia="MS Mincho" w:hAnsi="Cambria"/>
          <w:kern w:val="2"/>
          <w:sz w:val="20"/>
          <w:szCs w:val="20"/>
          <w:lang w:eastAsia="ja-JP"/>
        </w:rPr>
      </w:pPr>
      <w:r w:rsidRPr="00DF1DF2">
        <w:rPr>
          <w:rFonts w:ascii="Cambria" w:eastAsia="MS Mincho" w:hAnsi="Cambria"/>
          <w:kern w:val="2"/>
          <w:sz w:val="20"/>
          <w:szCs w:val="20"/>
          <w:lang w:eastAsia="ja-JP"/>
        </w:rPr>
        <w:t>El SCRS debería evaluar el impacto de las reducciones realizadas sobre la recuperación del stock, lo antes posible.</w:t>
      </w:r>
    </w:p>
    <w:sectPr w:rsidR="00673E2C" w:rsidRPr="00DF1DF2" w:rsidSect="0024026D">
      <w:footerReference w:type="default" r:id="rId7"/>
      <w:pgSz w:w="11907" w:h="16840" w:code="9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C456C" w14:textId="77777777" w:rsidR="00D26F70" w:rsidRDefault="00D26F70" w:rsidP="009E2D82">
      <w:pPr>
        <w:spacing w:line="240" w:lineRule="auto"/>
      </w:pPr>
      <w:r>
        <w:separator/>
      </w:r>
    </w:p>
  </w:endnote>
  <w:endnote w:type="continuationSeparator" w:id="0">
    <w:p w14:paraId="20AEDA4E" w14:textId="77777777" w:rsidR="00D26F70" w:rsidRDefault="00D26F70" w:rsidP="009E2D82">
      <w:pPr>
        <w:spacing w:line="240" w:lineRule="auto"/>
      </w:pPr>
      <w:r>
        <w:continuationSeparator/>
      </w:r>
    </w:p>
  </w:endnote>
  <w:endnote w:type="continuationNotice" w:id="1">
    <w:p w14:paraId="7AF49BB3" w14:textId="77777777" w:rsidR="00D26F70" w:rsidRDefault="00D26F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2287C" w14:textId="6D79346F" w:rsidR="004117A7" w:rsidRPr="004117A7" w:rsidRDefault="00DF1DF2" w:rsidP="004117A7">
    <w:pPr>
      <w:tabs>
        <w:tab w:val="center" w:pos="4535"/>
        <w:tab w:val="center" w:pos="4680"/>
        <w:tab w:val="left" w:pos="6150"/>
        <w:tab w:val="right" w:pos="9360"/>
      </w:tabs>
      <w:spacing w:line="240" w:lineRule="auto"/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57621591"/>
        <w:docPartObj>
          <w:docPartGallery w:val="Page Numbers (Top of Page)"/>
          <w:docPartUnique/>
        </w:docPartObj>
      </w:sdtPr>
      <w:sdtEndPr/>
      <w:sdtContent>
        <w:r w:rsidR="004117A7" w:rsidRPr="004117A7">
          <w:rPr>
            <w:rFonts w:ascii="Cambria" w:eastAsia="Calibri" w:hAnsi="Cambria" w:cs="Calibri"/>
            <w:sz w:val="20"/>
          </w:rPr>
          <w:fldChar w:fldCharType="begin"/>
        </w:r>
        <w:r w:rsidR="004117A7" w:rsidRPr="004117A7">
          <w:rPr>
            <w:rFonts w:ascii="Cambria" w:eastAsia="Calibri" w:hAnsi="Cambria" w:cs="Calibri"/>
            <w:sz w:val="20"/>
          </w:rPr>
          <w:instrText xml:space="preserve"> PAGE </w:instrText>
        </w:r>
        <w:r w:rsidR="004117A7" w:rsidRPr="004117A7">
          <w:rPr>
            <w:rFonts w:ascii="Cambria" w:eastAsia="Calibri" w:hAnsi="Cambria" w:cs="Calibri"/>
            <w:sz w:val="20"/>
          </w:rPr>
          <w:fldChar w:fldCharType="separate"/>
        </w:r>
        <w:r w:rsidR="004117A7" w:rsidRPr="004117A7">
          <w:rPr>
            <w:rFonts w:ascii="Cambria" w:eastAsia="Calibri" w:hAnsi="Cambria" w:cs="Calibri"/>
            <w:sz w:val="20"/>
          </w:rPr>
          <w:t>1</w:t>
        </w:r>
        <w:r w:rsidR="004117A7" w:rsidRPr="004117A7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37340" w14:textId="77777777" w:rsidR="00D26F70" w:rsidRDefault="00D26F70" w:rsidP="009E2D82">
      <w:pPr>
        <w:spacing w:line="240" w:lineRule="auto"/>
      </w:pPr>
      <w:r>
        <w:separator/>
      </w:r>
    </w:p>
  </w:footnote>
  <w:footnote w:type="continuationSeparator" w:id="0">
    <w:p w14:paraId="5C05ACC5" w14:textId="77777777" w:rsidR="00D26F70" w:rsidRDefault="00D26F70" w:rsidP="009E2D82">
      <w:pPr>
        <w:spacing w:line="240" w:lineRule="auto"/>
      </w:pPr>
      <w:r>
        <w:continuationSeparator/>
      </w:r>
    </w:p>
  </w:footnote>
  <w:footnote w:type="continuationNotice" w:id="1">
    <w:p w14:paraId="07336028" w14:textId="77777777" w:rsidR="00D26F70" w:rsidRDefault="00D26F7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4841"/>
    <w:multiLevelType w:val="hybridMultilevel"/>
    <w:tmpl w:val="B4E2D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0E46"/>
    <w:multiLevelType w:val="hybridMultilevel"/>
    <w:tmpl w:val="C4BA9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51A90"/>
    <w:multiLevelType w:val="hybridMultilevel"/>
    <w:tmpl w:val="180AA598"/>
    <w:lvl w:ilvl="0" w:tplc="1ED07AEC">
      <w:start w:val="20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A90A24"/>
    <w:multiLevelType w:val="hybridMultilevel"/>
    <w:tmpl w:val="B4E2D168"/>
    <w:lvl w:ilvl="0" w:tplc="FBD47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54034">
    <w:abstractNumId w:val="2"/>
  </w:num>
  <w:num w:numId="2" w16cid:durableId="2106463189">
    <w:abstractNumId w:val="3"/>
  </w:num>
  <w:num w:numId="3" w16cid:durableId="375590220">
    <w:abstractNumId w:val="0"/>
  </w:num>
  <w:num w:numId="4" w16cid:durableId="30435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2D"/>
    <w:rsid w:val="00020011"/>
    <w:rsid w:val="00045C31"/>
    <w:rsid w:val="00065F69"/>
    <w:rsid w:val="000B360D"/>
    <w:rsid w:val="000B7DAA"/>
    <w:rsid w:val="000D0736"/>
    <w:rsid w:val="000D3CE5"/>
    <w:rsid w:val="000D4C88"/>
    <w:rsid w:val="00137675"/>
    <w:rsid w:val="001936D5"/>
    <w:rsid w:val="001B3548"/>
    <w:rsid w:val="001C388A"/>
    <w:rsid w:val="0020392D"/>
    <w:rsid w:val="00211828"/>
    <w:rsid w:val="002174D8"/>
    <w:rsid w:val="002325BA"/>
    <w:rsid w:val="0024026D"/>
    <w:rsid w:val="002C7EBF"/>
    <w:rsid w:val="002E24B1"/>
    <w:rsid w:val="002F4EBA"/>
    <w:rsid w:val="003034D2"/>
    <w:rsid w:val="00313551"/>
    <w:rsid w:val="0032776A"/>
    <w:rsid w:val="0033028B"/>
    <w:rsid w:val="00365E41"/>
    <w:rsid w:val="0037276E"/>
    <w:rsid w:val="00372AB5"/>
    <w:rsid w:val="003826BD"/>
    <w:rsid w:val="00392903"/>
    <w:rsid w:val="00396C41"/>
    <w:rsid w:val="003C5B45"/>
    <w:rsid w:val="00400BC6"/>
    <w:rsid w:val="004117A7"/>
    <w:rsid w:val="004150DD"/>
    <w:rsid w:val="004159AE"/>
    <w:rsid w:val="00417977"/>
    <w:rsid w:val="00422E15"/>
    <w:rsid w:val="00430597"/>
    <w:rsid w:val="004331A5"/>
    <w:rsid w:val="00447020"/>
    <w:rsid w:val="00491CF9"/>
    <w:rsid w:val="00493DF3"/>
    <w:rsid w:val="004C0632"/>
    <w:rsid w:val="004D36F3"/>
    <w:rsid w:val="004E7E56"/>
    <w:rsid w:val="0050168B"/>
    <w:rsid w:val="00522244"/>
    <w:rsid w:val="00537FCA"/>
    <w:rsid w:val="0054072E"/>
    <w:rsid w:val="0055088F"/>
    <w:rsid w:val="00550AD3"/>
    <w:rsid w:val="00575798"/>
    <w:rsid w:val="00582712"/>
    <w:rsid w:val="00585880"/>
    <w:rsid w:val="005C6FFE"/>
    <w:rsid w:val="005F586B"/>
    <w:rsid w:val="005F7600"/>
    <w:rsid w:val="00606C77"/>
    <w:rsid w:val="006276EF"/>
    <w:rsid w:val="00673E2C"/>
    <w:rsid w:val="006A2938"/>
    <w:rsid w:val="006A6691"/>
    <w:rsid w:val="006B404B"/>
    <w:rsid w:val="00721102"/>
    <w:rsid w:val="00745EC4"/>
    <w:rsid w:val="00765350"/>
    <w:rsid w:val="00781B1A"/>
    <w:rsid w:val="007D66A7"/>
    <w:rsid w:val="00815FC6"/>
    <w:rsid w:val="00822B77"/>
    <w:rsid w:val="00825D5D"/>
    <w:rsid w:val="00860618"/>
    <w:rsid w:val="008770CF"/>
    <w:rsid w:val="008A5534"/>
    <w:rsid w:val="008E7145"/>
    <w:rsid w:val="0090398B"/>
    <w:rsid w:val="009101E8"/>
    <w:rsid w:val="009146A2"/>
    <w:rsid w:val="00917B2B"/>
    <w:rsid w:val="0092069D"/>
    <w:rsid w:val="00942219"/>
    <w:rsid w:val="00950B11"/>
    <w:rsid w:val="009542FD"/>
    <w:rsid w:val="00963770"/>
    <w:rsid w:val="00972D23"/>
    <w:rsid w:val="009B00BF"/>
    <w:rsid w:val="009C35E3"/>
    <w:rsid w:val="009E2D82"/>
    <w:rsid w:val="009E3E93"/>
    <w:rsid w:val="009E4F21"/>
    <w:rsid w:val="00A313B8"/>
    <w:rsid w:val="00A3291A"/>
    <w:rsid w:val="00A35B40"/>
    <w:rsid w:val="00A67C42"/>
    <w:rsid w:val="00A84090"/>
    <w:rsid w:val="00A90C7B"/>
    <w:rsid w:val="00A93665"/>
    <w:rsid w:val="00AA7A64"/>
    <w:rsid w:val="00AB57B9"/>
    <w:rsid w:val="00AC35C8"/>
    <w:rsid w:val="00AC35C9"/>
    <w:rsid w:val="00AE174F"/>
    <w:rsid w:val="00B27F23"/>
    <w:rsid w:val="00B41D1A"/>
    <w:rsid w:val="00B4534B"/>
    <w:rsid w:val="00B85C15"/>
    <w:rsid w:val="00BB418E"/>
    <w:rsid w:val="00BF4412"/>
    <w:rsid w:val="00C23C02"/>
    <w:rsid w:val="00C93BC2"/>
    <w:rsid w:val="00CB182D"/>
    <w:rsid w:val="00CF112D"/>
    <w:rsid w:val="00CF6767"/>
    <w:rsid w:val="00D26F70"/>
    <w:rsid w:val="00D279E2"/>
    <w:rsid w:val="00D441BA"/>
    <w:rsid w:val="00DC2B7E"/>
    <w:rsid w:val="00DF1DF2"/>
    <w:rsid w:val="00E17DA7"/>
    <w:rsid w:val="00E20930"/>
    <w:rsid w:val="00E43159"/>
    <w:rsid w:val="00E5318A"/>
    <w:rsid w:val="00E6775A"/>
    <w:rsid w:val="00E94E1A"/>
    <w:rsid w:val="00EE446D"/>
    <w:rsid w:val="00EF72AD"/>
    <w:rsid w:val="00F45458"/>
    <w:rsid w:val="00F61557"/>
    <w:rsid w:val="00F846C4"/>
    <w:rsid w:val="00FA7445"/>
    <w:rsid w:val="00FB270E"/>
    <w:rsid w:val="00FD11EE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8FEE"/>
  <w15:docId w15:val="{2F5BCCE7-874C-4940-8049-72DE6990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E2D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rsid w:val="009E2D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rsid w:val="009E2D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rsid w:val="009E2D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rsid w:val="009E2D8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rsid w:val="009E2D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E2D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82"/>
  </w:style>
  <w:style w:type="paragraph" w:styleId="Footer">
    <w:name w:val="footer"/>
    <w:basedOn w:val="Normal"/>
    <w:link w:val="FooterChar"/>
    <w:uiPriority w:val="99"/>
    <w:unhideWhenUsed/>
    <w:rsid w:val="009E2D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82"/>
  </w:style>
  <w:style w:type="paragraph" w:styleId="Revision">
    <w:name w:val="Revision"/>
    <w:hidden/>
    <w:uiPriority w:val="99"/>
    <w:semiHidden/>
    <w:rsid w:val="009E2D82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D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270E"/>
    <w:pPr>
      <w:ind w:left="720"/>
      <w:contextualSpacing/>
    </w:pPr>
  </w:style>
  <w:style w:type="table" w:styleId="TableGrid">
    <w:name w:val="Table Grid"/>
    <w:basedOn w:val="TableNormal"/>
    <w:uiPriority w:val="39"/>
    <w:rsid w:val="008606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ENDACIon">
    <w:name w:val="RECOMENDACIon"/>
    <w:basedOn w:val="Normal"/>
    <w:link w:val="RECOMENDACIonChar"/>
    <w:qFormat/>
    <w:rsid w:val="0024026D"/>
    <w:pPr>
      <w:pBdr>
        <w:top w:val="double" w:sz="4" w:space="4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8505"/>
      </w:tabs>
      <w:autoSpaceDE w:val="0"/>
      <w:autoSpaceDN w:val="0"/>
      <w:adjustRightInd w:val="0"/>
      <w:spacing w:line="240" w:lineRule="auto"/>
      <w:jc w:val="center"/>
    </w:pPr>
    <w:rPr>
      <w:rFonts w:ascii="Cambria" w:eastAsia="Times New Roman" w:hAnsi="Cambria" w:cs="Times New Roman"/>
      <w:b/>
      <w:sz w:val="20"/>
      <w:szCs w:val="20"/>
      <w:lang w:eastAsia="es-ES"/>
    </w:rPr>
  </w:style>
  <w:style w:type="character" w:customStyle="1" w:styleId="RECOMENDACIonChar">
    <w:name w:val="RECOMENDACIon Char"/>
    <w:link w:val="RECOMENDACIon"/>
    <w:rsid w:val="0024026D"/>
    <w:rPr>
      <w:rFonts w:ascii="Cambria" w:eastAsia="Times New Roman" w:hAnsi="Cambria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Bryan.Keller</dc:creator>
  <cp:lastModifiedBy>autor</cp:lastModifiedBy>
  <cp:revision>18</cp:revision>
  <dcterms:created xsi:type="dcterms:W3CDTF">2024-11-15T08:37:00Z</dcterms:created>
  <dcterms:modified xsi:type="dcterms:W3CDTF">2024-12-04T09:16:00Z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2024-11-15T08:01:33Z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0ea9a2b3-324c-4642-8ada-64ed893c72cb</vt:lpwstr>
  </property>
  <property fmtid="{D5CDD505-2E9C-101B-9397-08002B2CF9AE}" pid="8" name="MSIP_Label_6bd9ddd1-4d20-43f6-abfa-fc3c07406f94_ContentBits">
    <vt:lpwstr>0</vt:lpwstr>
  </property>
</Properties>
</file>