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A6E4" w14:textId="5E8AD687" w:rsidR="003847B0" w:rsidRPr="00C458A7" w:rsidRDefault="00D87F13" w:rsidP="005332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ind w:left="8222" w:hanging="8222"/>
        <w:jc w:val="both"/>
        <w:rPr>
          <w:rFonts w:asciiTheme="minorHAnsi" w:hAnsiTheme="minorHAnsi"/>
          <w:b/>
          <w:sz w:val="20"/>
          <w:szCs w:val="20"/>
        </w:rPr>
      </w:pPr>
      <w:bookmarkStart w:id="0" w:name="_Hlk182562527"/>
      <w:r w:rsidRPr="00C458A7">
        <w:rPr>
          <w:rFonts w:asciiTheme="minorHAnsi" w:hAnsiTheme="minorHAnsi"/>
          <w:b/>
          <w:sz w:val="20"/>
          <w:szCs w:val="20"/>
        </w:rPr>
        <w:t>24-1</w:t>
      </w:r>
      <w:r w:rsidR="00D46B6B" w:rsidRPr="00C458A7">
        <w:rPr>
          <w:rFonts w:asciiTheme="minorHAnsi" w:hAnsiTheme="minorHAnsi"/>
          <w:b/>
          <w:sz w:val="20"/>
          <w:szCs w:val="20"/>
        </w:rPr>
        <w:t>1</w:t>
      </w:r>
      <w:r w:rsidR="005332CC" w:rsidRPr="00C458A7">
        <w:rPr>
          <w:rFonts w:asciiTheme="minorHAnsi" w:hAnsiTheme="minorHAnsi"/>
          <w:b/>
          <w:sz w:val="20"/>
          <w:szCs w:val="20"/>
        </w:rPr>
        <w:tab/>
      </w:r>
      <w:r w:rsidR="00115428" w:rsidRPr="00C458A7">
        <w:rPr>
          <w:rFonts w:asciiTheme="minorHAnsi" w:hAnsiTheme="minorHAnsi"/>
          <w:b/>
          <w:sz w:val="20"/>
          <w:szCs w:val="20"/>
        </w:rPr>
        <w:t>SWO</w:t>
      </w:r>
    </w:p>
    <w:p w14:paraId="0DFB290F" w14:textId="77777777" w:rsidR="003847B0" w:rsidRPr="00C458A7" w:rsidRDefault="003847B0" w:rsidP="003847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1E0F26B8" w14:textId="5ACD3871" w:rsidR="00E20930" w:rsidRPr="00C458A7" w:rsidRDefault="003847B0" w:rsidP="003847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Theme="minorHAnsi" w:eastAsia="Calibri" w:hAnsiTheme="minorHAnsi" w:cs="Times New Roman"/>
          <w:b/>
          <w:bCs/>
          <w:sz w:val="20"/>
          <w:szCs w:val="20"/>
        </w:rPr>
      </w:pPr>
      <w:r w:rsidRPr="00C458A7">
        <w:rPr>
          <w:rFonts w:asciiTheme="minorHAnsi" w:hAnsiTheme="minorHAnsi"/>
          <w:b/>
          <w:sz w:val="20"/>
          <w:szCs w:val="20"/>
        </w:rPr>
        <w:t xml:space="preserve">RECOMMANDATION DE L’ICCAT SUR LES LIMITES DE CAPTURE POUR L'ESPADON DE LA MEDITERRANEE </w:t>
      </w:r>
    </w:p>
    <w:p w14:paraId="5D2B4126" w14:textId="77777777" w:rsidR="002174D8" w:rsidRPr="00C458A7" w:rsidRDefault="002174D8" w:rsidP="003847B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rFonts w:asciiTheme="minorHAnsi" w:eastAsia="Calibri" w:hAnsiTheme="minorHAnsi" w:cs="Times New Roman"/>
          <w:b/>
          <w:bCs/>
          <w:sz w:val="20"/>
          <w:szCs w:val="20"/>
        </w:rPr>
      </w:pPr>
    </w:p>
    <w:bookmarkEnd w:id="0"/>
    <w:p w14:paraId="287290D5" w14:textId="77777777" w:rsidR="00045C31" w:rsidRPr="00C458A7" w:rsidRDefault="00045C31" w:rsidP="00417977">
      <w:pPr>
        <w:spacing w:line="240" w:lineRule="auto"/>
        <w:jc w:val="both"/>
        <w:rPr>
          <w:rFonts w:asciiTheme="minorHAnsi" w:eastAsia="Calibri" w:hAnsiTheme="minorHAnsi" w:cs="Times New Roman"/>
          <w:b/>
          <w:bCs/>
          <w:sz w:val="20"/>
          <w:szCs w:val="20"/>
        </w:rPr>
      </w:pPr>
    </w:p>
    <w:p w14:paraId="7D6516D6" w14:textId="0591530B" w:rsidR="004E7E56" w:rsidRPr="00C458A7" w:rsidRDefault="00B41D1A" w:rsidP="004E7E56">
      <w:pPr>
        <w:widowControl w:val="0"/>
        <w:spacing w:line="240" w:lineRule="auto"/>
        <w:ind w:firstLine="426"/>
        <w:jc w:val="both"/>
        <w:rPr>
          <w:rFonts w:asciiTheme="minorHAnsi" w:eastAsia="MS Mincho" w:hAnsiTheme="minorHAnsi"/>
          <w:kern w:val="2"/>
          <w:sz w:val="20"/>
          <w:szCs w:val="20"/>
        </w:rPr>
      </w:pPr>
      <w:r w:rsidRPr="00C458A7">
        <w:rPr>
          <w:rFonts w:asciiTheme="minorHAnsi" w:hAnsiTheme="minorHAnsi"/>
          <w:i/>
          <w:iCs/>
          <w:sz w:val="20"/>
          <w:szCs w:val="20"/>
        </w:rPr>
        <w:t>RAPPELANT</w:t>
      </w:r>
      <w:r w:rsidRPr="00C458A7">
        <w:rPr>
          <w:rFonts w:asciiTheme="minorHAnsi" w:hAnsiTheme="minorHAnsi"/>
          <w:sz w:val="20"/>
          <w:szCs w:val="20"/>
        </w:rPr>
        <w:t xml:space="preserve"> l'établissement d'un total admissible de captures (TAC) et des réductions de capture convenus dans la </w:t>
      </w:r>
      <w:r w:rsidRPr="00C458A7">
        <w:rPr>
          <w:rFonts w:asciiTheme="minorHAnsi" w:hAnsiTheme="minorHAnsi"/>
          <w:i/>
          <w:iCs/>
          <w:sz w:val="20"/>
          <w:szCs w:val="20"/>
        </w:rPr>
        <w:t>Recommandation de l’ICCAT pour remplacer la Recommandation 13-04 et établir un programme pluriannuel de rétablissement pour l'espadon de la Méditerranée</w:t>
      </w:r>
      <w:r w:rsidRPr="00C458A7">
        <w:rPr>
          <w:rFonts w:asciiTheme="minorHAnsi" w:hAnsiTheme="minorHAnsi"/>
          <w:sz w:val="20"/>
          <w:szCs w:val="20"/>
        </w:rPr>
        <w:t xml:space="preserve"> (Rec. 16-05) ;</w:t>
      </w:r>
    </w:p>
    <w:p w14:paraId="4A14F563" w14:textId="77777777" w:rsidR="00B41D1A" w:rsidRPr="00C458A7" w:rsidRDefault="00B41D1A" w:rsidP="00417977">
      <w:pPr>
        <w:spacing w:line="240" w:lineRule="auto"/>
        <w:jc w:val="both"/>
        <w:rPr>
          <w:rFonts w:asciiTheme="minorHAnsi" w:eastAsia="Calibri" w:hAnsiTheme="minorHAnsi" w:cs="Times New Roman"/>
          <w:b/>
          <w:bCs/>
          <w:sz w:val="20"/>
          <w:szCs w:val="20"/>
        </w:rPr>
      </w:pPr>
    </w:p>
    <w:p w14:paraId="076CBF03" w14:textId="6A708089" w:rsidR="00045C31" w:rsidRPr="00C458A7" w:rsidRDefault="00045C31" w:rsidP="0054072E">
      <w:pPr>
        <w:widowControl w:val="0"/>
        <w:spacing w:line="240" w:lineRule="auto"/>
        <w:ind w:firstLine="426"/>
        <w:jc w:val="both"/>
        <w:rPr>
          <w:rFonts w:asciiTheme="minorHAnsi" w:eastAsia="MS Mincho" w:hAnsiTheme="minorHAnsi"/>
          <w:kern w:val="2"/>
          <w:sz w:val="20"/>
          <w:szCs w:val="20"/>
        </w:rPr>
      </w:pPr>
      <w:r w:rsidRPr="00C458A7">
        <w:rPr>
          <w:rFonts w:asciiTheme="minorHAnsi" w:hAnsiTheme="minorHAnsi"/>
          <w:i/>
          <w:iCs/>
          <w:sz w:val="20"/>
          <w:szCs w:val="20"/>
        </w:rPr>
        <w:t>NOTANT</w:t>
      </w:r>
      <w:r w:rsidRPr="00C458A7">
        <w:rPr>
          <w:rFonts w:asciiTheme="minorHAnsi" w:hAnsiTheme="minorHAnsi"/>
          <w:sz w:val="20"/>
          <w:szCs w:val="20"/>
        </w:rPr>
        <w:t xml:space="preserve"> les engagements pris lors de la réunion intersessions de la Sous-commission 4 de 2017 visant à respecter l'allocation incluse dans le tableau de l'appendice 7 du rapport de la réunion, et à maintenir les captures dans les limites du TAC ;</w:t>
      </w:r>
    </w:p>
    <w:p w14:paraId="0250B474" w14:textId="77777777" w:rsidR="00045C31" w:rsidRPr="00C458A7" w:rsidRDefault="00045C31" w:rsidP="00045C31">
      <w:pPr>
        <w:widowControl w:val="0"/>
        <w:spacing w:line="240" w:lineRule="auto"/>
        <w:jc w:val="both"/>
        <w:rPr>
          <w:rFonts w:asciiTheme="minorHAnsi" w:eastAsia="MS Mincho" w:hAnsiTheme="minorHAnsi"/>
          <w:kern w:val="2"/>
          <w:sz w:val="20"/>
          <w:szCs w:val="20"/>
          <w:lang w:eastAsia="ja-JP"/>
        </w:rPr>
      </w:pPr>
    </w:p>
    <w:p w14:paraId="6D2779C4" w14:textId="77777777" w:rsidR="00045C31" w:rsidRPr="00C458A7" w:rsidRDefault="00045C31" w:rsidP="00045C31">
      <w:pPr>
        <w:widowControl w:val="0"/>
        <w:spacing w:line="240" w:lineRule="auto"/>
        <w:jc w:val="both"/>
        <w:rPr>
          <w:rFonts w:asciiTheme="minorHAnsi" w:eastAsia="MS Mincho" w:hAnsiTheme="minorHAnsi"/>
          <w:kern w:val="2"/>
          <w:sz w:val="20"/>
          <w:szCs w:val="20"/>
          <w:lang w:eastAsia="ja-JP"/>
        </w:rPr>
      </w:pPr>
    </w:p>
    <w:p w14:paraId="1E7733D1" w14:textId="77777777" w:rsidR="00045C31" w:rsidRPr="00C458A7" w:rsidRDefault="00045C31" w:rsidP="00045C31">
      <w:pPr>
        <w:widowControl w:val="0"/>
        <w:spacing w:line="240" w:lineRule="auto"/>
        <w:jc w:val="center"/>
        <w:rPr>
          <w:rFonts w:asciiTheme="minorHAnsi" w:eastAsia="MS Mincho" w:hAnsiTheme="minorHAnsi"/>
          <w:kern w:val="2"/>
          <w:sz w:val="20"/>
          <w:szCs w:val="20"/>
        </w:rPr>
      </w:pPr>
      <w:r w:rsidRPr="00C458A7">
        <w:rPr>
          <w:rFonts w:asciiTheme="minorHAnsi" w:hAnsiTheme="minorHAnsi"/>
          <w:sz w:val="20"/>
          <w:szCs w:val="20"/>
        </w:rPr>
        <w:t>LA COMMISSION INTERNATIONALE POUR LA CONSERVATION</w:t>
      </w:r>
    </w:p>
    <w:p w14:paraId="5E0B9AC9" w14:textId="77777777" w:rsidR="00045C31" w:rsidRPr="00C458A7" w:rsidRDefault="00045C31" w:rsidP="00045C31">
      <w:pPr>
        <w:widowControl w:val="0"/>
        <w:spacing w:line="240" w:lineRule="auto"/>
        <w:jc w:val="center"/>
        <w:rPr>
          <w:rFonts w:asciiTheme="minorHAnsi" w:eastAsia="MS Mincho" w:hAnsiTheme="minorHAnsi"/>
          <w:kern w:val="2"/>
          <w:sz w:val="20"/>
          <w:szCs w:val="20"/>
        </w:rPr>
      </w:pPr>
      <w:r w:rsidRPr="00C458A7">
        <w:rPr>
          <w:rFonts w:asciiTheme="minorHAnsi" w:hAnsiTheme="minorHAnsi"/>
          <w:sz w:val="20"/>
          <w:szCs w:val="20"/>
        </w:rPr>
        <w:t>DES THONIDÉS DE L’ATLANTIQUE (ICCAT) RECOMMANDE CE QUI SUIT :</w:t>
      </w:r>
    </w:p>
    <w:p w14:paraId="7E3E0441" w14:textId="77777777" w:rsidR="00045C31" w:rsidRPr="00C458A7" w:rsidRDefault="00045C31" w:rsidP="00045C31">
      <w:pPr>
        <w:widowControl w:val="0"/>
        <w:spacing w:line="240" w:lineRule="auto"/>
        <w:jc w:val="both"/>
        <w:rPr>
          <w:rFonts w:asciiTheme="minorHAnsi" w:eastAsia="MS Mincho" w:hAnsiTheme="minorHAnsi"/>
          <w:kern w:val="2"/>
          <w:sz w:val="20"/>
          <w:szCs w:val="20"/>
          <w:lang w:eastAsia="ja-JP"/>
        </w:rPr>
      </w:pPr>
    </w:p>
    <w:p w14:paraId="2C363FC1" w14:textId="5338441F" w:rsidR="00045C31" w:rsidRPr="00C458A7" w:rsidRDefault="00860618" w:rsidP="00313551">
      <w:pPr>
        <w:pStyle w:val="ListParagraph"/>
        <w:widowControl w:val="0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inorHAnsi" w:eastAsia="MS Mincho" w:hAnsiTheme="minorHAnsi"/>
          <w:kern w:val="2"/>
          <w:sz w:val="20"/>
          <w:szCs w:val="20"/>
        </w:rPr>
      </w:pPr>
      <w:r w:rsidRPr="00C458A7">
        <w:rPr>
          <w:rFonts w:asciiTheme="minorHAnsi" w:hAnsiTheme="minorHAnsi"/>
          <w:sz w:val="20"/>
          <w:szCs w:val="20"/>
        </w:rPr>
        <w:t xml:space="preserve">En complément de la Recommandation 16-05, les CPC devront respecter les limites de capture suivantes pour l'espadon de la Méditerranée :  </w:t>
      </w:r>
    </w:p>
    <w:p w14:paraId="540C5D11" w14:textId="77777777" w:rsidR="00860618" w:rsidRPr="00C458A7" w:rsidRDefault="00860618" w:rsidP="00860618">
      <w:pPr>
        <w:widowControl w:val="0"/>
        <w:spacing w:line="240" w:lineRule="auto"/>
        <w:jc w:val="both"/>
        <w:rPr>
          <w:rFonts w:asciiTheme="minorHAnsi" w:eastAsia="MS Mincho" w:hAnsiTheme="minorHAnsi"/>
          <w:kern w:val="2"/>
          <w:sz w:val="20"/>
          <w:szCs w:val="20"/>
          <w:lang w:eastAsia="ja-JP"/>
        </w:rPr>
      </w:pPr>
    </w:p>
    <w:tbl>
      <w:tblPr>
        <w:tblStyle w:val="TableGrid"/>
        <w:tblW w:w="8932" w:type="dxa"/>
        <w:jc w:val="center"/>
        <w:tblLook w:val="04A0" w:firstRow="1" w:lastRow="0" w:firstColumn="1" w:lastColumn="0" w:noHBand="0" w:noVBand="1"/>
      </w:tblPr>
      <w:tblGrid>
        <w:gridCol w:w="1693"/>
        <w:gridCol w:w="2413"/>
        <w:gridCol w:w="2413"/>
        <w:gridCol w:w="2413"/>
      </w:tblGrid>
      <w:tr w:rsidR="00F83ABA" w:rsidRPr="00C458A7" w14:paraId="6E71154D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570B1CFC" w14:textId="309A288A" w:rsidR="00F83ABA" w:rsidRPr="00C458A7" w:rsidRDefault="00F83ABA" w:rsidP="00860618">
            <w:pPr>
              <w:jc w:val="center"/>
              <w:rPr>
                <w:rFonts w:asciiTheme="minorHAnsi" w:hAnsiTheme="minorHAnsi"/>
                <w:i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i/>
                <w:sz w:val="20"/>
                <w:szCs w:val="20"/>
              </w:rPr>
              <w:t>CPC</w:t>
            </w:r>
          </w:p>
        </w:tc>
        <w:tc>
          <w:tcPr>
            <w:tcW w:w="2413" w:type="dxa"/>
          </w:tcPr>
          <w:p w14:paraId="0D28C3B5" w14:textId="75C338FE" w:rsidR="00F83ABA" w:rsidRPr="00C458A7" w:rsidRDefault="00F83ABA" w:rsidP="00860618">
            <w:pPr>
              <w:jc w:val="center"/>
              <w:rPr>
                <w:rFonts w:asciiTheme="minorHAnsi" w:hAnsiTheme="minorHAnsi"/>
                <w:i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i/>
                <w:sz w:val="20"/>
                <w:szCs w:val="20"/>
              </w:rPr>
              <w:t>Allocation du TAC aux CPC (%)</w:t>
            </w:r>
          </w:p>
        </w:tc>
        <w:tc>
          <w:tcPr>
            <w:tcW w:w="2413" w:type="dxa"/>
          </w:tcPr>
          <w:p w14:paraId="0135564B" w14:textId="7B4FCC67" w:rsidR="00F83ABA" w:rsidRPr="00C458A7" w:rsidRDefault="00F83ABA" w:rsidP="00860618">
            <w:pPr>
              <w:jc w:val="center"/>
              <w:rPr>
                <w:rFonts w:asciiTheme="minorHAnsi" w:hAnsiTheme="minorHAnsi"/>
                <w:i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i/>
                <w:sz w:val="20"/>
                <w:szCs w:val="20"/>
              </w:rPr>
              <w:t>Quota 2017 par CPC (t)</w:t>
            </w:r>
          </w:p>
        </w:tc>
        <w:tc>
          <w:tcPr>
            <w:tcW w:w="2413" w:type="dxa"/>
            <w:noWrap/>
            <w:hideMark/>
          </w:tcPr>
          <w:p w14:paraId="6063C45D" w14:textId="4A4CD933" w:rsidR="00F83ABA" w:rsidRPr="00C458A7" w:rsidRDefault="00F83ABA" w:rsidP="00860618">
            <w:pPr>
              <w:jc w:val="center"/>
              <w:rPr>
                <w:rFonts w:asciiTheme="minorHAnsi" w:hAnsiTheme="minorHAnsi"/>
                <w:i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i/>
                <w:sz w:val="20"/>
                <w:szCs w:val="20"/>
              </w:rPr>
              <w:t xml:space="preserve">Limites de capture (t) </w:t>
            </w:r>
          </w:p>
        </w:tc>
      </w:tr>
      <w:tr w:rsidR="00F83ABA" w:rsidRPr="00C458A7" w14:paraId="619FEF8B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034B0BEF" w14:textId="77777777" w:rsidR="00F83ABA" w:rsidRPr="00C458A7" w:rsidRDefault="00F83ABA" w:rsidP="0094723F">
            <w:pPr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Algérie</w:t>
            </w:r>
          </w:p>
        </w:tc>
        <w:tc>
          <w:tcPr>
            <w:tcW w:w="2413" w:type="dxa"/>
          </w:tcPr>
          <w:p w14:paraId="4ECB6918" w14:textId="25C117B2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5,238</w:t>
            </w:r>
          </w:p>
        </w:tc>
        <w:tc>
          <w:tcPr>
            <w:tcW w:w="2413" w:type="dxa"/>
          </w:tcPr>
          <w:p w14:paraId="7D1B896A" w14:textId="61639532" w:rsidR="00F83ABA" w:rsidRPr="00C458A7" w:rsidRDefault="00F83ABA" w:rsidP="00F83ABA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 xml:space="preserve">550,000 </w:t>
            </w:r>
          </w:p>
        </w:tc>
        <w:tc>
          <w:tcPr>
            <w:tcW w:w="2413" w:type="dxa"/>
            <w:noWrap/>
            <w:hideMark/>
          </w:tcPr>
          <w:p w14:paraId="71158518" w14:textId="4A89C43A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472,330</w:t>
            </w:r>
          </w:p>
        </w:tc>
      </w:tr>
      <w:tr w:rsidR="00F83ABA" w:rsidRPr="00C458A7" w14:paraId="65F2A73F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676FD37F" w14:textId="77777777" w:rsidR="00F83ABA" w:rsidRPr="00C458A7" w:rsidRDefault="00F83ABA" w:rsidP="0094723F">
            <w:pPr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UE</w:t>
            </w:r>
          </w:p>
        </w:tc>
        <w:tc>
          <w:tcPr>
            <w:tcW w:w="2413" w:type="dxa"/>
          </w:tcPr>
          <w:p w14:paraId="40C0EBF3" w14:textId="4B4B17E5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70,756</w:t>
            </w:r>
          </w:p>
        </w:tc>
        <w:tc>
          <w:tcPr>
            <w:tcW w:w="2413" w:type="dxa"/>
          </w:tcPr>
          <w:p w14:paraId="0063ABFE" w14:textId="2782B69A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7.410,480</w:t>
            </w:r>
          </w:p>
        </w:tc>
        <w:tc>
          <w:tcPr>
            <w:tcW w:w="2413" w:type="dxa"/>
            <w:noWrap/>
            <w:hideMark/>
          </w:tcPr>
          <w:p w14:paraId="481197A0" w14:textId="7C083FAE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6.363,630</w:t>
            </w:r>
          </w:p>
        </w:tc>
      </w:tr>
      <w:tr w:rsidR="00F83ABA" w:rsidRPr="00C458A7" w14:paraId="03A87E76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5783E058" w14:textId="77777777" w:rsidR="00F83ABA" w:rsidRPr="00C458A7" w:rsidRDefault="00F83ABA" w:rsidP="0094723F">
            <w:pPr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Maroc</w:t>
            </w:r>
          </w:p>
        </w:tc>
        <w:tc>
          <w:tcPr>
            <w:tcW w:w="2413" w:type="dxa"/>
          </w:tcPr>
          <w:p w14:paraId="6839EE38" w14:textId="7BD31BA5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9,952</w:t>
            </w:r>
          </w:p>
        </w:tc>
        <w:tc>
          <w:tcPr>
            <w:tcW w:w="2413" w:type="dxa"/>
          </w:tcPr>
          <w:p w14:paraId="7FF27B90" w14:textId="46E790E6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1.045,000</w:t>
            </w:r>
          </w:p>
        </w:tc>
        <w:tc>
          <w:tcPr>
            <w:tcW w:w="2413" w:type="dxa"/>
            <w:noWrap/>
            <w:hideMark/>
          </w:tcPr>
          <w:p w14:paraId="7942684E" w14:textId="65319FD8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896,470</w:t>
            </w:r>
          </w:p>
        </w:tc>
      </w:tr>
      <w:tr w:rsidR="00F83ABA" w:rsidRPr="00C458A7" w14:paraId="397AFA3F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72082DBC" w14:textId="77777777" w:rsidR="00F83ABA" w:rsidRPr="00C458A7" w:rsidRDefault="00F83ABA" w:rsidP="0094723F">
            <w:pPr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Tunisie</w:t>
            </w:r>
          </w:p>
        </w:tc>
        <w:tc>
          <w:tcPr>
            <w:tcW w:w="2413" w:type="dxa"/>
          </w:tcPr>
          <w:p w14:paraId="4A8F42EE" w14:textId="2531053A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9,597</w:t>
            </w:r>
          </w:p>
        </w:tc>
        <w:tc>
          <w:tcPr>
            <w:tcW w:w="2413" w:type="dxa"/>
          </w:tcPr>
          <w:p w14:paraId="590D26EC" w14:textId="323D8E45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1.007,694</w:t>
            </w:r>
          </w:p>
        </w:tc>
        <w:tc>
          <w:tcPr>
            <w:tcW w:w="2413" w:type="dxa"/>
            <w:noWrap/>
            <w:hideMark/>
          </w:tcPr>
          <w:p w14:paraId="3ECF8054" w14:textId="4708D396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865,330</w:t>
            </w:r>
          </w:p>
        </w:tc>
      </w:tr>
      <w:tr w:rsidR="00F83ABA" w:rsidRPr="00C458A7" w14:paraId="13B56025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3DDF13A9" w14:textId="1ED710B0" w:rsidR="00F83ABA" w:rsidRPr="00C458A7" w:rsidRDefault="00F83ABA" w:rsidP="0094723F">
            <w:pPr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Türkiye</w:t>
            </w:r>
          </w:p>
        </w:tc>
        <w:tc>
          <w:tcPr>
            <w:tcW w:w="2413" w:type="dxa"/>
          </w:tcPr>
          <w:p w14:paraId="39743971" w14:textId="105F5A01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4,200</w:t>
            </w:r>
          </w:p>
        </w:tc>
        <w:tc>
          <w:tcPr>
            <w:tcW w:w="2413" w:type="dxa"/>
          </w:tcPr>
          <w:p w14:paraId="22CF14EC" w14:textId="0CB8F0C8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441,000</w:t>
            </w:r>
          </w:p>
        </w:tc>
        <w:tc>
          <w:tcPr>
            <w:tcW w:w="2413" w:type="dxa"/>
            <w:noWrap/>
            <w:hideMark/>
          </w:tcPr>
          <w:p w14:paraId="32020CE4" w14:textId="663204C5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378,700</w:t>
            </w:r>
          </w:p>
        </w:tc>
      </w:tr>
      <w:tr w:rsidR="00F83ABA" w:rsidRPr="00C458A7" w14:paraId="06188586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303632B3" w14:textId="77777777" w:rsidR="00F83ABA" w:rsidRPr="00C458A7" w:rsidRDefault="00F83ABA" w:rsidP="0094723F">
            <w:pPr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Autres</w:t>
            </w:r>
          </w:p>
        </w:tc>
        <w:tc>
          <w:tcPr>
            <w:tcW w:w="2413" w:type="dxa"/>
          </w:tcPr>
          <w:p w14:paraId="50A1F589" w14:textId="4EA7E4D8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0,436</w:t>
            </w:r>
          </w:p>
        </w:tc>
        <w:tc>
          <w:tcPr>
            <w:tcW w:w="2413" w:type="dxa"/>
          </w:tcPr>
          <w:p w14:paraId="453CF2CF" w14:textId="53ADA29A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45,826</w:t>
            </w:r>
          </w:p>
        </w:tc>
        <w:tc>
          <w:tcPr>
            <w:tcW w:w="2413" w:type="dxa"/>
            <w:noWrap/>
            <w:hideMark/>
          </w:tcPr>
          <w:p w14:paraId="2A43CCE7" w14:textId="6D151FA1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sz w:val="20"/>
                <w:szCs w:val="20"/>
              </w:rPr>
              <w:t>39,350</w:t>
            </w:r>
          </w:p>
        </w:tc>
      </w:tr>
      <w:tr w:rsidR="00F83ABA" w:rsidRPr="00C458A7" w14:paraId="165A27F1" w14:textId="77777777" w:rsidTr="00F20382">
        <w:trPr>
          <w:trHeight w:val="300"/>
          <w:jc w:val="center"/>
        </w:trPr>
        <w:tc>
          <w:tcPr>
            <w:tcW w:w="1693" w:type="dxa"/>
            <w:noWrap/>
            <w:hideMark/>
          </w:tcPr>
          <w:p w14:paraId="75C723B8" w14:textId="3C3E8BB4" w:rsidR="00F83ABA" w:rsidRPr="00C458A7" w:rsidRDefault="00F83ABA" w:rsidP="0094723F">
            <w:pPr>
              <w:rPr>
                <w:rFonts w:asciiTheme="minorHAnsi" w:eastAsia="MS Mincho" w:hAnsiTheme="minorHAnsi"/>
                <w:b/>
                <w:bCs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b/>
                <w:sz w:val="20"/>
                <w:szCs w:val="20"/>
              </w:rPr>
              <w:t>TAC</w:t>
            </w:r>
          </w:p>
        </w:tc>
        <w:tc>
          <w:tcPr>
            <w:tcW w:w="2413" w:type="dxa"/>
          </w:tcPr>
          <w:p w14:paraId="187AF7EA" w14:textId="77777777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b/>
                <w:bCs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2413" w:type="dxa"/>
          </w:tcPr>
          <w:p w14:paraId="66125C83" w14:textId="00CF4700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b/>
                <w:bCs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b/>
                <w:sz w:val="20"/>
                <w:szCs w:val="20"/>
              </w:rPr>
              <w:t>10.500,000</w:t>
            </w:r>
          </w:p>
        </w:tc>
        <w:tc>
          <w:tcPr>
            <w:tcW w:w="2413" w:type="dxa"/>
            <w:noWrap/>
            <w:hideMark/>
          </w:tcPr>
          <w:p w14:paraId="73B232F7" w14:textId="73C26FF2" w:rsidR="00F83ABA" w:rsidRPr="00C458A7" w:rsidRDefault="00F83ABA" w:rsidP="00860618">
            <w:pPr>
              <w:jc w:val="center"/>
              <w:rPr>
                <w:rFonts w:asciiTheme="minorHAnsi" w:eastAsia="MS Mincho" w:hAnsiTheme="minorHAnsi"/>
                <w:b/>
                <w:bCs/>
                <w:kern w:val="2"/>
                <w:sz w:val="20"/>
                <w:szCs w:val="20"/>
              </w:rPr>
            </w:pPr>
            <w:r w:rsidRPr="00C458A7">
              <w:rPr>
                <w:rFonts w:asciiTheme="minorHAnsi" w:hAnsiTheme="minorHAnsi"/>
                <w:b/>
                <w:sz w:val="20"/>
                <w:szCs w:val="20"/>
              </w:rPr>
              <w:t>9.015,810*</w:t>
            </w:r>
          </w:p>
        </w:tc>
      </w:tr>
    </w:tbl>
    <w:p w14:paraId="6D17EFB6" w14:textId="77777777" w:rsidR="00C92C9A" w:rsidRPr="00C458A7" w:rsidRDefault="00C92C9A" w:rsidP="00860618">
      <w:pPr>
        <w:widowControl w:val="0"/>
        <w:spacing w:line="240" w:lineRule="auto"/>
        <w:jc w:val="both"/>
        <w:rPr>
          <w:rFonts w:asciiTheme="minorHAnsi" w:eastAsia="Calibri" w:hAnsiTheme="minorHAnsi" w:cs="Times New Roman"/>
          <w:sz w:val="20"/>
          <w:szCs w:val="20"/>
        </w:rPr>
      </w:pPr>
    </w:p>
    <w:p w14:paraId="1E9DC12D" w14:textId="0797E0FA" w:rsidR="00C92C9A" w:rsidRPr="00C458A7" w:rsidRDefault="00FB007B" w:rsidP="004C6665">
      <w:pPr>
        <w:widowControl w:val="0"/>
        <w:spacing w:line="240" w:lineRule="auto"/>
        <w:jc w:val="both"/>
        <w:rPr>
          <w:rFonts w:asciiTheme="minorHAnsi" w:eastAsia="Calibri" w:hAnsiTheme="minorHAnsi" w:cs="Times New Roman"/>
          <w:sz w:val="20"/>
          <w:szCs w:val="20"/>
        </w:rPr>
      </w:pPr>
      <w:r w:rsidRPr="00C458A7">
        <w:rPr>
          <w:rFonts w:asciiTheme="minorHAnsi" w:hAnsiTheme="minorHAnsi"/>
          <w:sz w:val="20"/>
          <w:szCs w:val="20"/>
        </w:rPr>
        <w:t>* En outre, l'Égypte et la Libye devront avoir des limites de capture de 125 t chacune. Ceci ne devra pas porter préjudice à la clé d’allocation telle que reflétée dans ce tableau</w:t>
      </w:r>
      <w:r w:rsidR="00196680" w:rsidRPr="00C458A7">
        <w:rPr>
          <w:rFonts w:asciiTheme="minorHAnsi" w:hAnsiTheme="minorHAnsi"/>
          <w:sz w:val="20"/>
          <w:szCs w:val="20"/>
        </w:rPr>
        <w:t>.</w:t>
      </w:r>
    </w:p>
    <w:p w14:paraId="2124F9F9" w14:textId="77777777" w:rsidR="004C6665" w:rsidRPr="00C458A7" w:rsidRDefault="004C6665" w:rsidP="004C6665">
      <w:pPr>
        <w:widowControl w:val="0"/>
        <w:spacing w:line="240" w:lineRule="auto"/>
        <w:jc w:val="both"/>
        <w:rPr>
          <w:rFonts w:asciiTheme="minorHAnsi" w:eastAsia="Calibri" w:hAnsiTheme="minorHAnsi" w:cs="Times New Roman"/>
          <w:sz w:val="20"/>
          <w:szCs w:val="20"/>
        </w:rPr>
      </w:pPr>
    </w:p>
    <w:p w14:paraId="0F308A6A" w14:textId="77777777" w:rsidR="00302FAC" w:rsidRPr="00C458A7" w:rsidRDefault="00302FAC" w:rsidP="004C6665">
      <w:pPr>
        <w:widowControl w:val="0"/>
        <w:spacing w:line="240" w:lineRule="auto"/>
        <w:jc w:val="both"/>
        <w:rPr>
          <w:rFonts w:asciiTheme="minorHAnsi" w:eastAsia="Calibri" w:hAnsiTheme="minorHAnsi" w:cs="Times New Roman"/>
          <w:sz w:val="20"/>
          <w:szCs w:val="20"/>
        </w:rPr>
      </w:pPr>
    </w:p>
    <w:p w14:paraId="27B15D0D" w14:textId="434E6ED5" w:rsidR="004C6665" w:rsidRPr="00C458A7" w:rsidRDefault="004C6665" w:rsidP="00F20382">
      <w:pPr>
        <w:pStyle w:val="ListParagraph"/>
        <w:widowControl w:val="0"/>
        <w:numPr>
          <w:ilvl w:val="0"/>
          <w:numId w:val="4"/>
        </w:numPr>
        <w:spacing w:line="240" w:lineRule="auto"/>
        <w:ind w:left="426" w:hanging="426"/>
        <w:jc w:val="both"/>
        <w:rPr>
          <w:rFonts w:asciiTheme="minorHAnsi" w:eastAsia="Calibri" w:hAnsiTheme="minorHAnsi" w:cs="Times New Roman"/>
          <w:sz w:val="20"/>
          <w:szCs w:val="20"/>
        </w:rPr>
      </w:pPr>
      <w:r w:rsidRPr="00C458A7">
        <w:rPr>
          <w:rFonts w:asciiTheme="minorHAnsi" w:hAnsiTheme="minorHAnsi"/>
          <w:sz w:val="20"/>
          <w:szCs w:val="20"/>
        </w:rPr>
        <w:t xml:space="preserve">Le SCRS devrait évaluer l'impact des réductions effectuées sur le rétablissement du stock, le plus tôt possible. </w:t>
      </w:r>
    </w:p>
    <w:p w14:paraId="2A934568" w14:textId="281179F1" w:rsidR="00C92C9A" w:rsidRPr="00C458A7" w:rsidRDefault="00C92C9A" w:rsidP="004C6665">
      <w:pPr>
        <w:widowControl w:val="0"/>
        <w:spacing w:line="240" w:lineRule="auto"/>
        <w:jc w:val="both"/>
        <w:rPr>
          <w:rFonts w:asciiTheme="minorHAnsi" w:eastAsia="Calibri" w:hAnsiTheme="minorHAnsi" w:cs="Times New Roman"/>
          <w:sz w:val="20"/>
          <w:szCs w:val="20"/>
        </w:rPr>
      </w:pPr>
    </w:p>
    <w:p w14:paraId="022154BA" w14:textId="08678D38" w:rsidR="004C6665" w:rsidRPr="00C458A7" w:rsidRDefault="004C6665" w:rsidP="00F20382">
      <w:pPr>
        <w:widowControl w:val="0"/>
        <w:spacing w:line="240" w:lineRule="auto"/>
        <w:jc w:val="both"/>
        <w:rPr>
          <w:rFonts w:asciiTheme="minorHAnsi" w:hAnsiTheme="minorHAnsi"/>
          <w:sz w:val="20"/>
          <w:szCs w:val="20"/>
        </w:rPr>
      </w:pPr>
    </w:p>
    <w:sectPr w:rsidR="004C6665" w:rsidRPr="00C458A7" w:rsidSect="0033028B">
      <w:footerReference w:type="default" r:id="rId7"/>
      <w:pgSz w:w="11907" w:h="16840" w:code="9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CDA24" w14:textId="77777777" w:rsidR="00EC428F" w:rsidRDefault="00EC428F" w:rsidP="009E2D82">
      <w:pPr>
        <w:spacing w:line="240" w:lineRule="auto"/>
      </w:pPr>
      <w:r>
        <w:separator/>
      </w:r>
    </w:p>
  </w:endnote>
  <w:endnote w:type="continuationSeparator" w:id="0">
    <w:p w14:paraId="0D419DFA" w14:textId="77777777" w:rsidR="00EC428F" w:rsidRDefault="00EC428F" w:rsidP="009E2D82">
      <w:pPr>
        <w:spacing w:line="240" w:lineRule="auto"/>
      </w:pPr>
      <w:r>
        <w:continuationSeparator/>
      </w:r>
    </w:p>
  </w:endnote>
  <w:endnote w:type="continuationNotice" w:id="1">
    <w:p w14:paraId="6C620C1D" w14:textId="77777777" w:rsidR="00EC428F" w:rsidRDefault="00EC42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EF0A4" w14:textId="03032992" w:rsidR="00CA642C" w:rsidRPr="00C458A7" w:rsidRDefault="00000000" w:rsidP="00C458A7">
    <w:pPr>
      <w:tabs>
        <w:tab w:val="center" w:pos="4535"/>
        <w:tab w:val="center" w:pos="4680"/>
        <w:tab w:val="left" w:pos="6150"/>
        <w:tab w:val="right" w:pos="9360"/>
      </w:tabs>
      <w:spacing w:line="240" w:lineRule="auto"/>
      <w:jc w:val="center"/>
      <w:rPr>
        <w:rFonts w:ascii="Cambria" w:eastAsia="Calibri" w:hAnsi="Cambria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57621591"/>
        <w:docPartObj>
          <w:docPartGallery w:val="Page Numbers (Top of Page)"/>
          <w:docPartUnique/>
        </w:docPartObj>
      </w:sdtPr>
      <w:sdtContent>
        <w:r w:rsidR="004117A7" w:rsidRPr="004117A7">
          <w:rPr>
            <w:rFonts w:ascii="Cambria" w:eastAsia="Calibri" w:hAnsi="Cambria" w:cs="Calibri"/>
            <w:sz w:val="20"/>
          </w:rPr>
          <w:fldChar w:fldCharType="begin"/>
        </w:r>
        <w:r w:rsidR="004117A7" w:rsidRPr="004117A7">
          <w:rPr>
            <w:rFonts w:ascii="Cambria" w:eastAsia="Calibri" w:hAnsi="Cambria" w:cs="Calibri"/>
            <w:sz w:val="20"/>
          </w:rPr>
          <w:instrText xml:space="preserve"> NUMPAGES  </w:instrText>
        </w:r>
        <w:r w:rsidR="004117A7" w:rsidRPr="004117A7">
          <w:rPr>
            <w:rFonts w:ascii="Cambria" w:eastAsia="Calibri" w:hAnsi="Cambria" w:cs="Calibri"/>
            <w:sz w:val="20"/>
          </w:rPr>
          <w:fldChar w:fldCharType="separate"/>
        </w:r>
        <w:r w:rsidR="004117A7" w:rsidRPr="004117A7">
          <w:rPr>
            <w:rFonts w:ascii="Cambria" w:eastAsia="Calibri" w:hAnsi="Cambria" w:cs="Calibri"/>
            <w:sz w:val="20"/>
          </w:rPr>
          <w:t>5</w:t>
        </w:r>
        <w:r w:rsidR="004117A7" w:rsidRPr="004117A7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C1F35" w14:textId="77777777" w:rsidR="00EC428F" w:rsidRDefault="00EC428F" w:rsidP="009E2D82">
      <w:pPr>
        <w:spacing w:line="240" w:lineRule="auto"/>
      </w:pPr>
      <w:r>
        <w:separator/>
      </w:r>
    </w:p>
  </w:footnote>
  <w:footnote w:type="continuationSeparator" w:id="0">
    <w:p w14:paraId="52C43071" w14:textId="77777777" w:rsidR="00EC428F" w:rsidRDefault="00EC428F" w:rsidP="009E2D82">
      <w:pPr>
        <w:spacing w:line="240" w:lineRule="auto"/>
      </w:pPr>
      <w:r>
        <w:continuationSeparator/>
      </w:r>
    </w:p>
  </w:footnote>
  <w:footnote w:type="continuationNotice" w:id="1">
    <w:p w14:paraId="06F0548F" w14:textId="77777777" w:rsidR="00EC428F" w:rsidRDefault="00EC428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4841"/>
    <w:multiLevelType w:val="hybridMultilevel"/>
    <w:tmpl w:val="B4E2D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0E46"/>
    <w:multiLevelType w:val="hybridMultilevel"/>
    <w:tmpl w:val="C4BA9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51A90"/>
    <w:multiLevelType w:val="hybridMultilevel"/>
    <w:tmpl w:val="180AA598"/>
    <w:lvl w:ilvl="0" w:tplc="1ED07AEC">
      <w:start w:val="20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F37F10"/>
    <w:multiLevelType w:val="hybridMultilevel"/>
    <w:tmpl w:val="6C86BE08"/>
    <w:lvl w:ilvl="0" w:tplc="FC2A8B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90A24"/>
    <w:multiLevelType w:val="hybridMultilevel"/>
    <w:tmpl w:val="B4E2D168"/>
    <w:lvl w:ilvl="0" w:tplc="FBD47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54034">
    <w:abstractNumId w:val="2"/>
  </w:num>
  <w:num w:numId="2" w16cid:durableId="2106463189">
    <w:abstractNumId w:val="4"/>
  </w:num>
  <w:num w:numId="3" w16cid:durableId="375590220">
    <w:abstractNumId w:val="0"/>
  </w:num>
  <w:num w:numId="4" w16cid:durableId="304356806">
    <w:abstractNumId w:val="1"/>
  </w:num>
  <w:num w:numId="5" w16cid:durableId="2009019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2D"/>
    <w:rsid w:val="00020011"/>
    <w:rsid w:val="00030840"/>
    <w:rsid w:val="000357EE"/>
    <w:rsid w:val="00045C31"/>
    <w:rsid w:val="000568BE"/>
    <w:rsid w:val="00065F69"/>
    <w:rsid w:val="000B360D"/>
    <w:rsid w:val="000B58C0"/>
    <w:rsid w:val="000B7DAA"/>
    <w:rsid w:val="000C6E9F"/>
    <w:rsid w:val="000D0736"/>
    <w:rsid w:val="000D0EEF"/>
    <w:rsid w:val="00115428"/>
    <w:rsid w:val="00137675"/>
    <w:rsid w:val="001936D5"/>
    <w:rsid w:val="00196680"/>
    <w:rsid w:val="001974F2"/>
    <w:rsid w:val="001B3548"/>
    <w:rsid w:val="001C388A"/>
    <w:rsid w:val="001D6B6B"/>
    <w:rsid w:val="0020392D"/>
    <w:rsid w:val="00211828"/>
    <w:rsid w:val="002174D8"/>
    <w:rsid w:val="002325BA"/>
    <w:rsid w:val="002422DC"/>
    <w:rsid w:val="00250A17"/>
    <w:rsid w:val="002B4D20"/>
    <w:rsid w:val="002C428B"/>
    <w:rsid w:val="002C487A"/>
    <w:rsid w:val="002C7EBF"/>
    <w:rsid w:val="002E551F"/>
    <w:rsid w:val="00302FAC"/>
    <w:rsid w:val="003034D2"/>
    <w:rsid w:val="00313551"/>
    <w:rsid w:val="0032776A"/>
    <w:rsid w:val="0033028B"/>
    <w:rsid w:val="00365E41"/>
    <w:rsid w:val="0037276E"/>
    <w:rsid w:val="00372AB5"/>
    <w:rsid w:val="003826BD"/>
    <w:rsid w:val="003847B0"/>
    <w:rsid w:val="00392903"/>
    <w:rsid w:val="003C4D2B"/>
    <w:rsid w:val="003C5B45"/>
    <w:rsid w:val="003C5E6B"/>
    <w:rsid w:val="003D47E0"/>
    <w:rsid w:val="004117A7"/>
    <w:rsid w:val="004150DD"/>
    <w:rsid w:val="004159AE"/>
    <w:rsid w:val="00417977"/>
    <w:rsid w:val="00422054"/>
    <w:rsid w:val="00422E15"/>
    <w:rsid w:val="00426EF0"/>
    <w:rsid w:val="00447020"/>
    <w:rsid w:val="00491CF9"/>
    <w:rsid w:val="00493DF3"/>
    <w:rsid w:val="004A0545"/>
    <w:rsid w:val="004A1872"/>
    <w:rsid w:val="004C0632"/>
    <w:rsid w:val="004C6665"/>
    <w:rsid w:val="004D0BD8"/>
    <w:rsid w:val="004D36F3"/>
    <w:rsid w:val="004D6D0F"/>
    <w:rsid w:val="004E2E7A"/>
    <w:rsid w:val="004E7E56"/>
    <w:rsid w:val="0050168B"/>
    <w:rsid w:val="00522244"/>
    <w:rsid w:val="005332CC"/>
    <w:rsid w:val="0054072E"/>
    <w:rsid w:val="0055088F"/>
    <w:rsid w:val="00550AD3"/>
    <w:rsid w:val="00575798"/>
    <w:rsid w:val="00585880"/>
    <w:rsid w:val="005A0C87"/>
    <w:rsid w:val="005A4421"/>
    <w:rsid w:val="005A5F74"/>
    <w:rsid w:val="005A7A71"/>
    <w:rsid w:val="005C6FFE"/>
    <w:rsid w:val="005D0FA9"/>
    <w:rsid w:val="005F1B02"/>
    <w:rsid w:val="005F586B"/>
    <w:rsid w:val="005F7600"/>
    <w:rsid w:val="00600B8E"/>
    <w:rsid w:val="00605543"/>
    <w:rsid w:val="006276EF"/>
    <w:rsid w:val="00694ABA"/>
    <w:rsid w:val="006A2938"/>
    <w:rsid w:val="006A6691"/>
    <w:rsid w:val="006B404B"/>
    <w:rsid w:val="006F23B2"/>
    <w:rsid w:val="00707640"/>
    <w:rsid w:val="00736373"/>
    <w:rsid w:val="00765350"/>
    <w:rsid w:val="007658F8"/>
    <w:rsid w:val="00781B1A"/>
    <w:rsid w:val="007D66A7"/>
    <w:rsid w:val="007E7A12"/>
    <w:rsid w:val="00815FC6"/>
    <w:rsid w:val="00822B77"/>
    <w:rsid w:val="00825D5D"/>
    <w:rsid w:val="00860618"/>
    <w:rsid w:val="008770CF"/>
    <w:rsid w:val="0090398B"/>
    <w:rsid w:val="009101E8"/>
    <w:rsid w:val="009146A2"/>
    <w:rsid w:val="00917B2B"/>
    <w:rsid w:val="0092069D"/>
    <w:rsid w:val="00942219"/>
    <w:rsid w:val="0094723F"/>
    <w:rsid w:val="009542FD"/>
    <w:rsid w:val="00963770"/>
    <w:rsid w:val="00972D23"/>
    <w:rsid w:val="009B00BF"/>
    <w:rsid w:val="009C35E3"/>
    <w:rsid w:val="009D5A51"/>
    <w:rsid w:val="009E2D82"/>
    <w:rsid w:val="009E3E93"/>
    <w:rsid w:val="009E4F21"/>
    <w:rsid w:val="00A3291A"/>
    <w:rsid w:val="00A344E8"/>
    <w:rsid w:val="00A35B40"/>
    <w:rsid w:val="00A67C42"/>
    <w:rsid w:val="00A84090"/>
    <w:rsid w:val="00A90C7B"/>
    <w:rsid w:val="00A93665"/>
    <w:rsid w:val="00A9376B"/>
    <w:rsid w:val="00AA3059"/>
    <w:rsid w:val="00AA6952"/>
    <w:rsid w:val="00AB57B9"/>
    <w:rsid w:val="00AC35C8"/>
    <w:rsid w:val="00AC35C9"/>
    <w:rsid w:val="00AE174F"/>
    <w:rsid w:val="00B04BD3"/>
    <w:rsid w:val="00B27F23"/>
    <w:rsid w:val="00B34206"/>
    <w:rsid w:val="00B36E35"/>
    <w:rsid w:val="00B41D1A"/>
    <w:rsid w:val="00B4534B"/>
    <w:rsid w:val="00B8032B"/>
    <w:rsid w:val="00B85C15"/>
    <w:rsid w:val="00B9318F"/>
    <w:rsid w:val="00BB418E"/>
    <w:rsid w:val="00BE448C"/>
    <w:rsid w:val="00BF4412"/>
    <w:rsid w:val="00C23C02"/>
    <w:rsid w:val="00C328B0"/>
    <w:rsid w:val="00C458A7"/>
    <w:rsid w:val="00C83E62"/>
    <w:rsid w:val="00C92C9A"/>
    <w:rsid w:val="00C93BC2"/>
    <w:rsid w:val="00CA642C"/>
    <w:rsid w:val="00CB182D"/>
    <w:rsid w:val="00CD0714"/>
    <w:rsid w:val="00CF112D"/>
    <w:rsid w:val="00D15633"/>
    <w:rsid w:val="00D26F70"/>
    <w:rsid w:val="00D279E2"/>
    <w:rsid w:val="00D30935"/>
    <w:rsid w:val="00D441BA"/>
    <w:rsid w:val="00D46B6B"/>
    <w:rsid w:val="00D53A1E"/>
    <w:rsid w:val="00D7723B"/>
    <w:rsid w:val="00D865E3"/>
    <w:rsid w:val="00D87F13"/>
    <w:rsid w:val="00DC2B7E"/>
    <w:rsid w:val="00DD0F21"/>
    <w:rsid w:val="00DF5829"/>
    <w:rsid w:val="00E11F83"/>
    <w:rsid w:val="00E17A4F"/>
    <w:rsid w:val="00E17DA7"/>
    <w:rsid w:val="00E20930"/>
    <w:rsid w:val="00E43159"/>
    <w:rsid w:val="00E5318A"/>
    <w:rsid w:val="00E56848"/>
    <w:rsid w:val="00E96BF3"/>
    <w:rsid w:val="00EA4326"/>
    <w:rsid w:val="00EC428F"/>
    <w:rsid w:val="00EE446D"/>
    <w:rsid w:val="00F20382"/>
    <w:rsid w:val="00F20E0C"/>
    <w:rsid w:val="00F40980"/>
    <w:rsid w:val="00F45458"/>
    <w:rsid w:val="00F61557"/>
    <w:rsid w:val="00F707CB"/>
    <w:rsid w:val="00F83ABA"/>
    <w:rsid w:val="00F846C4"/>
    <w:rsid w:val="00FA043A"/>
    <w:rsid w:val="00FA7445"/>
    <w:rsid w:val="00FB007B"/>
    <w:rsid w:val="00FB270E"/>
    <w:rsid w:val="00FE476E"/>
    <w:rsid w:val="00FE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38FEE"/>
  <w15:docId w15:val="{35F42DFD-8E13-4BEF-8F87-635A8BEE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9E2D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qFormat/>
    <w:rsid w:val="009E2D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rsid w:val="009E2D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rsid w:val="009E2D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rsid w:val="009E2D8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rsid w:val="009E2D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D82"/>
  </w:style>
  <w:style w:type="paragraph" w:styleId="Footer">
    <w:name w:val="footer"/>
    <w:basedOn w:val="Normal"/>
    <w:link w:val="FooterChar"/>
    <w:uiPriority w:val="99"/>
    <w:unhideWhenUsed/>
    <w:rsid w:val="009E2D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D82"/>
  </w:style>
  <w:style w:type="paragraph" w:styleId="Revision">
    <w:name w:val="Revision"/>
    <w:hidden/>
    <w:uiPriority w:val="99"/>
    <w:semiHidden/>
    <w:rsid w:val="009E2D82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D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D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270E"/>
    <w:pPr>
      <w:ind w:left="720"/>
      <w:contextualSpacing/>
    </w:pPr>
  </w:style>
  <w:style w:type="table" w:styleId="TableGrid">
    <w:name w:val="Table Grid"/>
    <w:basedOn w:val="TableNormal"/>
    <w:uiPriority w:val="39"/>
    <w:rsid w:val="008606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B007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0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Dorothee Pinet</cp:lastModifiedBy>
  <cp:revision>7</cp:revision>
  <dcterms:created xsi:type="dcterms:W3CDTF">2024-11-17T18:31:00Z</dcterms:created>
  <dcterms:modified xsi:type="dcterms:W3CDTF">2024-12-09T14:01:00Z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2024-11-17T11:45:04Z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8dc7dfa3-27b6-4bef-8e1a-7033773ef08a</vt:lpwstr>
  </property>
  <property fmtid="{D5CDD505-2E9C-101B-9397-08002B2CF9AE}" pid="8" name="MSIP_Label_6bd9ddd1-4d20-43f6-abfa-fc3c07406f94_ContentBits">
    <vt:lpwstr>0</vt:lpwstr>
  </property>
</Properties>
</file>