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22023" w14:textId="4CE0E433" w:rsidR="00F456B3" w:rsidRPr="00775072" w:rsidRDefault="00F456B3" w:rsidP="00F456B3">
      <w:pPr>
        <w:pStyle w:val="RECOMENDACIon"/>
        <w:rPr>
          <w:lang w:eastAsia="en-US"/>
        </w:rPr>
      </w:pPr>
      <w:r w:rsidRPr="00775072">
        <w:rPr>
          <w:lang w:eastAsia="en-US"/>
        </w:rPr>
        <w:t>24-10                                                                                                                                                                                      SWO</w:t>
      </w:r>
      <w:r w:rsidRPr="00775072">
        <w:rPr>
          <w:lang w:eastAsia="en-US"/>
        </w:rPr>
        <w:br/>
        <w:t>RECOMENDACIÓN DE ICCAT SOBRE MEDIDAS DE CONSERVACIÓN Y ORDENACIÓN,</w:t>
      </w:r>
    </w:p>
    <w:p w14:paraId="0BD7A65A" w14:textId="6A9F5B95" w:rsidR="00F456B3" w:rsidRPr="00775072" w:rsidRDefault="00F456B3" w:rsidP="00F456B3">
      <w:pPr>
        <w:pStyle w:val="RECOMENDACIon"/>
        <w:rPr>
          <w:lang w:eastAsia="en-US"/>
        </w:rPr>
      </w:pPr>
      <w:r w:rsidRPr="00775072">
        <w:rPr>
          <w:lang w:eastAsia="en-US"/>
        </w:rPr>
        <w:t xml:space="preserve">INCLUIDO UN PROCEDIMIENTO DE ORDENACIÓN, </w:t>
      </w:r>
      <w:r w:rsidRPr="00775072">
        <w:rPr>
          <w:lang w:eastAsia="en-US"/>
        </w:rPr>
        <w:br/>
        <w:t>PARA EL PEZ ESPADA DEL ATLÁNTICO NORTE</w:t>
      </w:r>
    </w:p>
    <w:p w14:paraId="44C7D060" w14:textId="77777777" w:rsidR="00F456B3" w:rsidRPr="00775072" w:rsidRDefault="00F456B3" w:rsidP="00DB56BB">
      <w:pPr>
        <w:ind w:right="220" w:firstLine="420"/>
        <w:jc w:val="both"/>
        <w:rPr>
          <w:rFonts w:eastAsia="Times New Roman" w:cs="Times New Roman"/>
          <w:b/>
          <w:sz w:val="20"/>
          <w:szCs w:val="20"/>
        </w:rPr>
      </w:pPr>
    </w:p>
    <w:p w14:paraId="670E103B" w14:textId="72B27F3A" w:rsidR="002949E9" w:rsidRPr="00775072" w:rsidRDefault="002949E9" w:rsidP="00DB56BB">
      <w:pPr>
        <w:ind w:right="220" w:firstLine="420"/>
        <w:jc w:val="both"/>
        <w:rPr>
          <w:i/>
          <w:sz w:val="20"/>
          <w:szCs w:val="20"/>
        </w:rPr>
      </w:pPr>
      <w:r w:rsidRPr="00775072">
        <w:rPr>
          <w:i/>
          <w:iCs/>
          <w:sz w:val="20"/>
        </w:rPr>
        <w:t>RECORDANDO</w:t>
      </w:r>
      <w:r w:rsidRPr="00775072">
        <w:rPr>
          <w:sz w:val="20"/>
        </w:rPr>
        <w:t xml:space="preserve"> la </w:t>
      </w:r>
      <w:r w:rsidRPr="00775072">
        <w:rPr>
          <w:i/>
          <w:iCs/>
          <w:sz w:val="20"/>
        </w:rPr>
        <w:t>Recomendación suplementaria de ICCAT para enmendar el programa de recuperación del pez espada del Atlántico norte</w:t>
      </w:r>
      <w:r w:rsidRPr="00775072">
        <w:rPr>
          <w:sz w:val="20"/>
        </w:rPr>
        <w:t xml:space="preserve"> (Rec. 06-02), la </w:t>
      </w:r>
      <w:r w:rsidRPr="00775072">
        <w:rPr>
          <w:i/>
          <w:iCs/>
          <w:sz w:val="20"/>
        </w:rPr>
        <w:t>Recomendación de ICCAT para la conservación del pez espada del Atlántico norte</w:t>
      </w:r>
      <w:r w:rsidRPr="00775072">
        <w:rPr>
          <w:sz w:val="20"/>
        </w:rPr>
        <w:t xml:space="preserve"> (Rec. 10-02, Rec. 11-02, Rec. 16-03)</w:t>
      </w:r>
      <w:r w:rsidR="008E6868" w:rsidRPr="00775072">
        <w:rPr>
          <w:sz w:val="20"/>
        </w:rPr>
        <w:t xml:space="preserve"> y </w:t>
      </w:r>
      <w:r w:rsidRPr="00775072">
        <w:rPr>
          <w:sz w:val="20"/>
        </w:rPr>
        <w:t xml:space="preserve">la </w:t>
      </w:r>
      <w:r w:rsidRPr="00775072">
        <w:rPr>
          <w:i/>
          <w:iCs/>
          <w:sz w:val="20"/>
        </w:rPr>
        <w:t>Recomendación de ICCAT que enmienda la Recomendación 16-03 sobre la conservación del pez espada del Atlántico norte</w:t>
      </w:r>
      <w:r w:rsidRPr="00775072">
        <w:rPr>
          <w:sz w:val="20"/>
        </w:rPr>
        <w:t xml:space="preserve">  (Rec. 17-02), enmendada por la </w:t>
      </w:r>
      <w:r w:rsidRPr="00775072">
        <w:rPr>
          <w:i/>
          <w:iCs/>
          <w:sz w:val="20"/>
        </w:rPr>
        <w:t>Recomendación de ICCAT que reemplaza la Recomendación 2</w:t>
      </w:r>
      <w:r w:rsidR="00A23D22" w:rsidRPr="00775072">
        <w:rPr>
          <w:i/>
          <w:iCs/>
          <w:sz w:val="20"/>
        </w:rPr>
        <w:t>2</w:t>
      </w:r>
      <w:r w:rsidRPr="00775072">
        <w:rPr>
          <w:i/>
          <w:iCs/>
          <w:sz w:val="20"/>
        </w:rPr>
        <w:t>-0</w:t>
      </w:r>
      <w:r w:rsidR="00A23D22" w:rsidRPr="00775072">
        <w:rPr>
          <w:i/>
          <w:iCs/>
          <w:sz w:val="20"/>
        </w:rPr>
        <w:t>3</w:t>
      </w:r>
      <w:r w:rsidRPr="00775072">
        <w:rPr>
          <w:i/>
          <w:iCs/>
          <w:sz w:val="20"/>
        </w:rPr>
        <w:t xml:space="preserve"> que amplía y enmienda la Recomendación 17-02 para la conservación del pez espada del Atlántico norte </w:t>
      </w:r>
      <w:r w:rsidRPr="00775072">
        <w:rPr>
          <w:sz w:val="20"/>
        </w:rPr>
        <w:t>(Rec. 2</w:t>
      </w:r>
      <w:r w:rsidR="006450E6" w:rsidRPr="00775072">
        <w:rPr>
          <w:sz w:val="20"/>
        </w:rPr>
        <w:t>3</w:t>
      </w:r>
      <w:r w:rsidRPr="00775072">
        <w:rPr>
          <w:sz w:val="20"/>
        </w:rPr>
        <w:t>-0</w:t>
      </w:r>
      <w:r w:rsidR="00A23D22" w:rsidRPr="00775072">
        <w:rPr>
          <w:sz w:val="20"/>
        </w:rPr>
        <w:t>4</w:t>
      </w:r>
      <w:r w:rsidRPr="00775072">
        <w:rPr>
          <w:sz w:val="20"/>
        </w:rPr>
        <w:t>);</w:t>
      </w:r>
    </w:p>
    <w:p w14:paraId="21918386" w14:textId="77777777" w:rsidR="002949E9" w:rsidRPr="00775072" w:rsidRDefault="002949E9" w:rsidP="002949E9">
      <w:pPr>
        <w:ind w:left="120" w:right="220" w:firstLine="420"/>
        <w:jc w:val="both"/>
        <w:rPr>
          <w:i/>
          <w:sz w:val="12"/>
          <w:szCs w:val="12"/>
        </w:rPr>
      </w:pPr>
    </w:p>
    <w:p w14:paraId="666F6838" w14:textId="77777777" w:rsidR="002949E9" w:rsidRPr="00775072" w:rsidRDefault="002949E9" w:rsidP="00DB56BB">
      <w:pPr>
        <w:ind w:right="220" w:firstLine="420"/>
        <w:jc w:val="both"/>
        <w:rPr>
          <w:i/>
          <w:sz w:val="20"/>
          <w:szCs w:val="20"/>
        </w:rPr>
      </w:pPr>
      <w:r w:rsidRPr="00775072">
        <w:rPr>
          <w:i/>
          <w:iCs/>
          <w:sz w:val="20"/>
        </w:rPr>
        <w:t>RECORDANDO ADEMÁS</w:t>
      </w:r>
      <w:r w:rsidRPr="00775072">
        <w:rPr>
          <w:sz w:val="20"/>
        </w:rPr>
        <w:t xml:space="preserve"> la</w:t>
      </w:r>
      <w:r w:rsidRPr="00775072">
        <w:rPr>
          <w:i/>
          <w:sz w:val="20"/>
        </w:rPr>
        <w:t xml:space="preserve"> Recomendación de ICCAT sobre los principios de toma de decisiones para las medidas de conservación y ordenación de ICCAT</w:t>
      </w:r>
      <w:r w:rsidRPr="00775072">
        <w:rPr>
          <w:sz w:val="20"/>
        </w:rPr>
        <w:t xml:space="preserve"> (Rec. 11-13) y la </w:t>
      </w:r>
      <w:r w:rsidRPr="00775072">
        <w:rPr>
          <w:i/>
          <w:iCs/>
          <w:sz w:val="20"/>
        </w:rPr>
        <w:t>Recomendación de ICCAT sobre el desarrollo de normas de control de capturas y evaluación de estrategias de ordenación</w:t>
      </w:r>
      <w:r w:rsidRPr="00775072">
        <w:rPr>
          <w:sz w:val="20"/>
        </w:rPr>
        <w:t xml:space="preserve"> (Rec. 15-07);</w:t>
      </w:r>
    </w:p>
    <w:p w14:paraId="5AFE238E" w14:textId="77777777" w:rsidR="002949E9" w:rsidRPr="00775072" w:rsidRDefault="002949E9" w:rsidP="002949E9">
      <w:pPr>
        <w:ind w:left="120" w:right="220" w:firstLine="420"/>
        <w:jc w:val="both"/>
        <w:rPr>
          <w:i/>
          <w:sz w:val="20"/>
          <w:szCs w:val="20"/>
        </w:rPr>
      </w:pPr>
    </w:p>
    <w:p w14:paraId="62A6D80C" w14:textId="77777777" w:rsidR="002949E9" w:rsidRPr="00775072" w:rsidRDefault="002949E9" w:rsidP="00DB56BB">
      <w:pPr>
        <w:ind w:right="220" w:firstLine="420"/>
        <w:jc w:val="both"/>
        <w:rPr>
          <w:i/>
          <w:sz w:val="20"/>
          <w:szCs w:val="20"/>
        </w:rPr>
      </w:pPr>
      <w:r w:rsidRPr="00775072">
        <w:rPr>
          <w:i/>
          <w:sz w:val="20"/>
        </w:rPr>
        <w:t>CONSTATANDO</w:t>
      </w:r>
      <w:r w:rsidRPr="00775072">
        <w:rPr>
          <w:sz w:val="20"/>
        </w:rPr>
        <w:t xml:space="preserve"> que el objetivo del Convenio es mantener las poblaciones de túnidos y especies afines en niveles que permitan la captura máxima sostenible (generalmente denominada rendimiento máximo sostenible (RMS));</w:t>
      </w:r>
    </w:p>
    <w:p w14:paraId="35BB3FEB" w14:textId="77777777" w:rsidR="002949E9" w:rsidRPr="00775072" w:rsidRDefault="002949E9" w:rsidP="002949E9">
      <w:pPr>
        <w:ind w:left="120" w:right="220" w:firstLine="420"/>
        <w:jc w:val="both"/>
        <w:rPr>
          <w:i/>
          <w:sz w:val="20"/>
          <w:szCs w:val="20"/>
        </w:rPr>
      </w:pPr>
    </w:p>
    <w:p w14:paraId="6B8FE200" w14:textId="5EE3B06D" w:rsidR="002949E9" w:rsidRPr="00775072" w:rsidRDefault="002949E9" w:rsidP="00DB56BB">
      <w:pPr>
        <w:ind w:right="220" w:firstLine="420"/>
        <w:jc w:val="both"/>
        <w:rPr>
          <w:i/>
          <w:sz w:val="20"/>
          <w:szCs w:val="20"/>
        </w:rPr>
      </w:pPr>
      <w:r w:rsidRPr="00775072">
        <w:rPr>
          <w:i/>
          <w:iCs/>
          <w:sz w:val="20"/>
        </w:rPr>
        <w:t xml:space="preserve">RECORDANDO </w:t>
      </w:r>
      <w:r w:rsidRPr="00775072">
        <w:rPr>
          <w:sz w:val="20"/>
        </w:rPr>
        <w:t xml:space="preserve">el trabajo de la Comisión con miras al desarrollo de una </w:t>
      </w:r>
      <w:r w:rsidR="00090FDF" w:rsidRPr="00775072">
        <w:rPr>
          <w:sz w:val="20"/>
        </w:rPr>
        <w:t>evaluación de estrategias de ordenación (</w:t>
      </w:r>
      <w:r w:rsidRPr="00775072">
        <w:rPr>
          <w:sz w:val="20"/>
        </w:rPr>
        <w:t>MSE</w:t>
      </w:r>
      <w:r w:rsidR="00090FDF" w:rsidRPr="00775072">
        <w:rPr>
          <w:sz w:val="20"/>
        </w:rPr>
        <w:t xml:space="preserve">) </w:t>
      </w:r>
      <w:r w:rsidRPr="00775072">
        <w:rPr>
          <w:sz w:val="20"/>
        </w:rPr>
        <w:t xml:space="preserve">para el pez espada del Atlántico norte con el fin de gestionar las pesquerías de forma más eficaz ante las incertidumbres identificadas, incluyendo los esfuerzos para desarrollar objetivos de ordenación operativos, en particular, la </w:t>
      </w:r>
      <w:r w:rsidRPr="00775072">
        <w:rPr>
          <w:i/>
          <w:iCs/>
          <w:sz w:val="20"/>
        </w:rPr>
        <w:t>Resolución de ICCAT sobre el desarrollo de los objetivos de ordenación iniciales para el pez espada del Atlántico norte</w:t>
      </w:r>
      <w:r w:rsidRPr="00775072">
        <w:rPr>
          <w:sz w:val="20"/>
        </w:rPr>
        <w:t xml:space="preserve"> (Res. 19-14)</w:t>
      </w:r>
      <w:r w:rsidR="00AC77AB" w:rsidRPr="00775072">
        <w:rPr>
          <w:sz w:val="20"/>
        </w:rPr>
        <w:t>;</w:t>
      </w:r>
    </w:p>
    <w:p w14:paraId="09DE0CB8" w14:textId="77777777" w:rsidR="002949E9" w:rsidRPr="00775072" w:rsidRDefault="002949E9" w:rsidP="002949E9">
      <w:pPr>
        <w:ind w:left="120" w:right="220" w:firstLine="420"/>
        <w:jc w:val="both"/>
        <w:rPr>
          <w:i/>
          <w:sz w:val="20"/>
          <w:szCs w:val="20"/>
        </w:rPr>
      </w:pPr>
    </w:p>
    <w:p w14:paraId="269AA5EB" w14:textId="2DDE2901" w:rsidR="002949E9" w:rsidRPr="00775072" w:rsidRDefault="002949E9" w:rsidP="00DB56BB">
      <w:pPr>
        <w:ind w:right="220" w:firstLine="420"/>
        <w:jc w:val="both"/>
        <w:rPr>
          <w:sz w:val="20"/>
          <w:szCs w:val="20"/>
        </w:rPr>
      </w:pPr>
      <w:r w:rsidRPr="00775072">
        <w:rPr>
          <w:i/>
          <w:iCs/>
          <w:sz w:val="20"/>
        </w:rPr>
        <w:t>RECORDANDO ADEMÁS</w:t>
      </w:r>
      <w:r w:rsidRPr="00775072">
        <w:rPr>
          <w:sz w:val="20"/>
        </w:rPr>
        <w:t xml:space="preserve"> que el párrafo 1e) de la Rec. 23-04 pedía que la Comisión adoptara un </w:t>
      </w:r>
      <w:r w:rsidR="00090FDF" w:rsidRPr="00775072">
        <w:rPr>
          <w:sz w:val="20"/>
        </w:rPr>
        <w:t>procedimiento de ordenación (</w:t>
      </w:r>
      <w:r w:rsidRPr="00775072">
        <w:rPr>
          <w:sz w:val="20"/>
        </w:rPr>
        <w:t>MP</w:t>
      </w:r>
      <w:r w:rsidR="00090FDF" w:rsidRPr="00775072">
        <w:rPr>
          <w:sz w:val="20"/>
        </w:rPr>
        <w:t xml:space="preserve">) </w:t>
      </w:r>
      <w:r w:rsidRPr="00775072">
        <w:rPr>
          <w:sz w:val="20"/>
        </w:rPr>
        <w:t>para el pez espada del Atlántico norte en 2024 y aplicara el MP para establecer el total admisible de capturas (TAC) para 2025-2027 y años futuros;</w:t>
      </w:r>
    </w:p>
    <w:p w14:paraId="15DBEF42" w14:textId="77777777" w:rsidR="002949E9" w:rsidRPr="00775072" w:rsidRDefault="002949E9" w:rsidP="002949E9">
      <w:pPr>
        <w:ind w:left="120" w:right="220" w:firstLine="420"/>
        <w:jc w:val="both"/>
        <w:rPr>
          <w:i/>
          <w:sz w:val="20"/>
          <w:szCs w:val="20"/>
        </w:rPr>
      </w:pPr>
    </w:p>
    <w:p w14:paraId="17466AE8" w14:textId="2F370495" w:rsidR="00CF76C3" w:rsidRPr="00775072" w:rsidRDefault="002949E9" w:rsidP="00DB56BB">
      <w:pPr>
        <w:ind w:right="220" w:firstLine="420"/>
        <w:jc w:val="both"/>
        <w:rPr>
          <w:sz w:val="20"/>
        </w:rPr>
      </w:pPr>
      <w:r w:rsidRPr="00775072">
        <w:rPr>
          <w:i/>
          <w:sz w:val="20"/>
        </w:rPr>
        <w:t>RECORDANDO TAMBIÉN</w:t>
      </w:r>
      <w:r w:rsidRPr="00775072">
        <w:rPr>
          <w:sz w:val="20"/>
        </w:rPr>
        <w:t xml:space="preserve"> los resultados de la evaluación de stock de pez espada del Atlántico norte de 2022, que </w:t>
      </w:r>
      <w:r w:rsidR="00CF76C3" w:rsidRPr="00775072">
        <w:rPr>
          <w:sz w:val="20"/>
        </w:rPr>
        <w:t xml:space="preserve">mostraba que el stock se situaba en el cuadrante verde del diagrama de Kobe (no sobrepescado ni </w:t>
      </w:r>
      <w:r w:rsidR="00090FDF" w:rsidRPr="00775072">
        <w:rPr>
          <w:sz w:val="20"/>
        </w:rPr>
        <w:t xml:space="preserve">objeto de </w:t>
      </w:r>
      <w:r w:rsidR="00CF76C3" w:rsidRPr="00775072">
        <w:rPr>
          <w:sz w:val="20"/>
        </w:rPr>
        <w:t>sobrepesca) en 2020;</w:t>
      </w:r>
    </w:p>
    <w:p w14:paraId="25E780F0" w14:textId="77777777" w:rsidR="002949E9" w:rsidRPr="00775072" w:rsidRDefault="002949E9" w:rsidP="002949E9">
      <w:pPr>
        <w:ind w:right="215"/>
        <w:jc w:val="both"/>
        <w:rPr>
          <w:i/>
          <w:sz w:val="20"/>
          <w:szCs w:val="20"/>
        </w:rPr>
      </w:pPr>
    </w:p>
    <w:p w14:paraId="3D4A335B" w14:textId="77777777" w:rsidR="002949E9" w:rsidRPr="00775072" w:rsidRDefault="002949E9" w:rsidP="00DB56BB">
      <w:pPr>
        <w:ind w:right="220" w:firstLine="420"/>
        <w:jc w:val="both"/>
        <w:rPr>
          <w:sz w:val="20"/>
          <w:szCs w:val="20"/>
        </w:rPr>
      </w:pPr>
      <w:r w:rsidRPr="00775072">
        <w:rPr>
          <w:i/>
          <w:iCs/>
          <w:sz w:val="20"/>
        </w:rPr>
        <w:t>RECONOCIENDO</w:t>
      </w:r>
      <w:r w:rsidRPr="00775072">
        <w:rPr>
          <w:sz w:val="20"/>
        </w:rPr>
        <w:t xml:space="preserve"> que la asignación total de posibilidades de pesca de pez espada del Atlántico norte es superior a los recientes niveles anuales de TAC y que las capturas han estado muy por debajo de dichos niveles durante muchos años;</w:t>
      </w:r>
    </w:p>
    <w:p w14:paraId="62A0FE6D" w14:textId="77777777" w:rsidR="002949E9" w:rsidRPr="00775072" w:rsidRDefault="002949E9" w:rsidP="002949E9">
      <w:pPr>
        <w:ind w:left="118" w:right="215" w:firstLine="427"/>
        <w:jc w:val="both"/>
        <w:rPr>
          <w:i/>
          <w:sz w:val="20"/>
          <w:szCs w:val="20"/>
        </w:rPr>
      </w:pPr>
    </w:p>
    <w:p w14:paraId="554D89AB" w14:textId="29BD4878" w:rsidR="002949E9" w:rsidRPr="00775072" w:rsidRDefault="002949E9" w:rsidP="00DB56BB">
      <w:pPr>
        <w:ind w:right="220" w:firstLine="420"/>
        <w:jc w:val="both"/>
        <w:rPr>
          <w:sz w:val="20"/>
          <w:szCs w:val="20"/>
        </w:rPr>
      </w:pPr>
      <w:r w:rsidRPr="00775072">
        <w:rPr>
          <w:i/>
          <w:iCs/>
          <w:sz w:val="20"/>
        </w:rPr>
        <w:t>TOMANDO NOTA</w:t>
      </w:r>
      <w:r w:rsidRPr="00775072">
        <w:rPr>
          <w:sz w:val="20"/>
        </w:rPr>
        <w:t xml:space="preserve"> de la </w:t>
      </w:r>
      <w:r w:rsidRPr="00775072">
        <w:rPr>
          <w:i/>
          <w:iCs/>
          <w:sz w:val="20"/>
        </w:rPr>
        <w:t>Resolución de ICCAT sobre los criterios para la asignación de posibilidades de pesca</w:t>
      </w:r>
      <w:r w:rsidRPr="00775072">
        <w:rPr>
          <w:sz w:val="20"/>
        </w:rPr>
        <w:t xml:space="preserve"> (Res. 15-13);</w:t>
      </w:r>
    </w:p>
    <w:p w14:paraId="1AA73872" w14:textId="77777777" w:rsidR="002949E9" w:rsidRPr="00775072" w:rsidRDefault="002949E9" w:rsidP="002949E9">
      <w:pPr>
        <w:ind w:right="215"/>
        <w:jc w:val="both"/>
        <w:rPr>
          <w:i/>
          <w:sz w:val="20"/>
          <w:szCs w:val="20"/>
        </w:rPr>
      </w:pPr>
    </w:p>
    <w:p w14:paraId="1C2D204B" w14:textId="3022C6DC" w:rsidR="002949E9" w:rsidRPr="00775072" w:rsidRDefault="002949E9" w:rsidP="00DB56BB">
      <w:pPr>
        <w:ind w:right="220" w:firstLine="420"/>
        <w:jc w:val="both"/>
        <w:rPr>
          <w:sz w:val="20"/>
          <w:szCs w:val="20"/>
        </w:rPr>
      </w:pPr>
      <w:r w:rsidRPr="00775072">
        <w:rPr>
          <w:i/>
          <w:iCs/>
          <w:sz w:val="20"/>
        </w:rPr>
        <w:t>RECORDANDO</w:t>
      </w:r>
      <w:r w:rsidRPr="00775072">
        <w:rPr>
          <w:sz w:val="20"/>
        </w:rPr>
        <w:t xml:space="preserve"> la</w:t>
      </w:r>
      <w:r w:rsidRPr="00775072">
        <w:rPr>
          <w:i/>
          <w:iCs/>
          <w:sz w:val="20"/>
        </w:rPr>
        <w:t xml:space="preserve"> Recomendación de ICCAT sobre el cumplimiento en las pesquerías de atún rojo y </w:t>
      </w:r>
      <w:r w:rsidR="000E6EA0" w:rsidRPr="00775072">
        <w:rPr>
          <w:i/>
          <w:iCs/>
          <w:sz w:val="20"/>
        </w:rPr>
        <w:t xml:space="preserve">en las </w:t>
      </w:r>
      <w:r w:rsidRPr="00775072">
        <w:rPr>
          <w:i/>
          <w:iCs/>
          <w:sz w:val="20"/>
        </w:rPr>
        <w:t xml:space="preserve">pesquerías de pez espada del Atlántico norte </w:t>
      </w:r>
      <w:r w:rsidRPr="00775072">
        <w:rPr>
          <w:sz w:val="20"/>
        </w:rPr>
        <w:t>(Rec. 96-14);</w:t>
      </w:r>
    </w:p>
    <w:p w14:paraId="0A3C9D8A" w14:textId="77777777" w:rsidR="002949E9" w:rsidRPr="00775072" w:rsidRDefault="002949E9" w:rsidP="002949E9">
      <w:pPr>
        <w:ind w:right="215"/>
        <w:jc w:val="both"/>
        <w:rPr>
          <w:i/>
          <w:sz w:val="20"/>
          <w:szCs w:val="20"/>
        </w:rPr>
      </w:pPr>
    </w:p>
    <w:p w14:paraId="527464C3" w14:textId="77777777" w:rsidR="002949E9" w:rsidRPr="00775072" w:rsidRDefault="002949E9" w:rsidP="00DB56BB">
      <w:pPr>
        <w:ind w:right="220" w:firstLine="420"/>
        <w:jc w:val="both"/>
        <w:rPr>
          <w:sz w:val="20"/>
          <w:szCs w:val="20"/>
        </w:rPr>
      </w:pPr>
      <w:r w:rsidRPr="00775072">
        <w:rPr>
          <w:i/>
          <w:iCs/>
          <w:sz w:val="20"/>
        </w:rPr>
        <w:t>TRATANDO</w:t>
      </w:r>
      <w:r w:rsidRPr="00775072">
        <w:rPr>
          <w:sz w:val="20"/>
        </w:rPr>
        <w:t xml:space="preserve"> de asegurar que la captura total no supera el TAC anual;</w:t>
      </w:r>
    </w:p>
    <w:p w14:paraId="564A7E6E" w14:textId="77777777" w:rsidR="002949E9" w:rsidRPr="00775072" w:rsidRDefault="002949E9" w:rsidP="002949E9">
      <w:pPr>
        <w:ind w:left="120" w:right="220" w:firstLine="420"/>
        <w:jc w:val="both"/>
        <w:rPr>
          <w:i/>
          <w:sz w:val="20"/>
          <w:szCs w:val="20"/>
        </w:rPr>
      </w:pPr>
      <w:r w:rsidRPr="00775072">
        <w:rPr>
          <w:i/>
          <w:sz w:val="20"/>
        </w:rPr>
        <w:t xml:space="preserve"> </w:t>
      </w:r>
    </w:p>
    <w:p w14:paraId="02E129E4" w14:textId="1B9D296F" w:rsidR="002949E9" w:rsidRPr="00775072" w:rsidRDefault="002949E9" w:rsidP="00DB56BB">
      <w:pPr>
        <w:ind w:right="220" w:firstLine="420"/>
        <w:jc w:val="both"/>
        <w:rPr>
          <w:i/>
          <w:sz w:val="20"/>
          <w:szCs w:val="20"/>
        </w:rPr>
      </w:pPr>
      <w:r w:rsidRPr="00775072">
        <w:rPr>
          <w:i/>
          <w:iCs/>
          <w:sz w:val="20"/>
        </w:rPr>
        <w:t>RECONOCIENDO</w:t>
      </w:r>
      <w:r w:rsidRPr="00775072">
        <w:rPr>
          <w:sz w:val="20"/>
        </w:rPr>
        <w:t xml:space="preserve"> que la</w:t>
      </w:r>
      <w:r w:rsidR="00090FDF" w:rsidRPr="00775072">
        <w:rPr>
          <w:sz w:val="20"/>
        </w:rPr>
        <w:t xml:space="preserve"> </w:t>
      </w:r>
      <w:r w:rsidRPr="00775072">
        <w:rPr>
          <w:sz w:val="20"/>
        </w:rPr>
        <w:t xml:space="preserve">MSE </w:t>
      </w:r>
      <w:r w:rsidR="006523B3" w:rsidRPr="00775072">
        <w:rPr>
          <w:sz w:val="20"/>
        </w:rPr>
        <w:t>para el</w:t>
      </w:r>
      <w:r w:rsidRPr="00775072">
        <w:rPr>
          <w:sz w:val="20"/>
        </w:rPr>
        <w:t xml:space="preserve"> pez espada del Atlántico norte incorpora una amplia gama de incertidumbres para garantizar que el</w:t>
      </w:r>
      <w:r w:rsidR="00090FDF" w:rsidRPr="00775072">
        <w:rPr>
          <w:sz w:val="20"/>
        </w:rPr>
        <w:t xml:space="preserve"> </w:t>
      </w:r>
      <w:r w:rsidRPr="00775072">
        <w:rPr>
          <w:sz w:val="20"/>
        </w:rPr>
        <w:t>MP seleccionado que se ha probado mediante la MSE cumple los objetivos de ordenación identificados en relación con el estado, la seguridad, la estabilidad y el rendimiento, y respalda el objetivo general del Convenio;</w:t>
      </w:r>
    </w:p>
    <w:p w14:paraId="1310C0D6" w14:textId="77777777" w:rsidR="002949E9" w:rsidRPr="00775072" w:rsidRDefault="002949E9" w:rsidP="002949E9">
      <w:pPr>
        <w:ind w:right="220"/>
        <w:jc w:val="both"/>
        <w:rPr>
          <w:i/>
          <w:sz w:val="20"/>
          <w:szCs w:val="20"/>
        </w:rPr>
      </w:pPr>
    </w:p>
    <w:p w14:paraId="40A4CF7D" w14:textId="12D1537D" w:rsidR="0027396B" w:rsidRPr="00775072" w:rsidRDefault="0027396B" w:rsidP="0027396B">
      <w:pPr>
        <w:ind w:right="220" w:firstLine="420"/>
        <w:jc w:val="both"/>
        <w:rPr>
          <w:iCs/>
          <w:sz w:val="20"/>
          <w:szCs w:val="20"/>
        </w:rPr>
      </w:pPr>
      <w:r w:rsidRPr="00775072">
        <w:rPr>
          <w:i/>
          <w:sz w:val="20"/>
          <w:szCs w:val="20"/>
        </w:rPr>
        <w:t>RECONOCIENDO ADEMÁS</w:t>
      </w:r>
      <w:r w:rsidRPr="00775072">
        <w:rPr>
          <w:iCs/>
          <w:sz w:val="20"/>
          <w:szCs w:val="20"/>
        </w:rPr>
        <w:t xml:space="preserve"> la importancia de conciliar la suma de los límites de capturas con el TAC a través de cualquier incremento derivado de la aplicación del </w:t>
      </w:r>
      <w:r w:rsidR="0005603A" w:rsidRPr="00775072">
        <w:rPr>
          <w:iCs/>
          <w:sz w:val="20"/>
          <w:szCs w:val="20"/>
        </w:rPr>
        <w:t xml:space="preserve">MP </w:t>
      </w:r>
      <w:r w:rsidRPr="00775072">
        <w:rPr>
          <w:iCs/>
          <w:sz w:val="20"/>
          <w:szCs w:val="20"/>
        </w:rPr>
        <w:t>para el ciclo de ordenación 2028-2030;</w:t>
      </w:r>
    </w:p>
    <w:p w14:paraId="144156DD" w14:textId="77777777" w:rsidR="00F456B3" w:rsidRPr="00775072" w:rsidRDefault="00F456B3" w:rsidP="0027396B">
      <w:pPr>
        <w:ind w:right="220" w:firstLine="420"/>
        <w:jc w:val="both"/>
        <w:rPr>
          <w:i/>
          <w:sz w:val="20"/>
          <w:szCs w:val="20"/>
        </w:rPr>
      </w:pPr>
    </w:p>
    <w:p w14:paraId="04C27D48" w14:textId="4C5D26B7" w:rsidR="002949E9" w:rsidRPr="00775072" w:rsidRDefault="002949E9" w:rsidP="00DB56BB">
      <w:pPr>
        <w:ind w:right="220" w:firstLine="420"/>
        <w:jc w:val="both"/>
        <w:rPr>
          <w:i/>
          <w:sz w:val="20"/>
          <w:szCs w:val="20"/>
        </w:rPr>
      </w:pPr>
      <w:r w:rsidRPr="00775072">
        <w:rPr>
          <w:i/>
          <w:iCs/>
          <w:sz w:val="20"/>
        </w:rPr>
        <w:t>OBSERVANDO</w:t>
      </w:r>
      <w:r w:rsidRPr="00775072">
        <w:rPr>
          <w:sz w:val="20"/>
        </w:rPr>
        <w:t xml:space="preserve"> la importancia de identificar las circunstancias excepcionales (EC) que darían lugar a la suspensión o modificación de la aplicación del MP </w:t>
      </w:r>
      <w:r w:rsidR="0005603A" w:rsidRPr="00775072">
        <w:rPr>
          <w:sz w:val="20"/>
        </w:rPr>
        <w:t xml:space="preserve">en consonancia </w:t>
      </w:r>
      <w:r w:rsidRPr="00775072">
        <w:rPr>
          <w:sz w:val="20"/>
        </w:rPr>
        <w:t xml:space="preserve">con </w:t>
      </w:r>
      <w:r w:rsidR="00483EB4" w:rsidRPr="00775072">
        <w:rPr>
          <w:sz w:val="20"/>
        </w:rPr>
        <w:t xml:space="preserve">la </w:t>
      </w:r>
      <w:r w:rsidR="00483EB4" w:rsidRPr="00775072">
        <w:rPr>
          <w:i/>
          <w:iCs/>
          <w:sz w:val="20"/>
        </w:rPr>
        <w:t>Recomendación</w:t>
      </w:r>
      <w:r w:rsidRPr="00775072">
        <w:rPr>
          <w:i/>
          <w:iCs/>
          <w:sz w:val="20"/>
        </w:rPr>
        <w:t xml:space="preserve"> de ICCAT sobre los principios de toma de decisiones para las medidas de conservación y ordenación de ICCAT</w:t>
      </w:r>
      <w:r w:rsidRPr="00775072">
        <w:rPr>
          <w:sz w:val="20"/>
        </w:rPr>
        <w:t xml:space="preserve"> (Rec. 11-13)</w:t>
      </w:r>
      <w:r w:rsidR="005B0CB7" w:rsidRPr="00775072">
        <w:rPr>
          <w:sz w:val="20"/>
        </w:rPr>
        <w:t>;</w:t>
      </w:r>
    </w:p>
    <w:p w14:paraId="344CEBBA" w14:textId="77777777" w:rsidR="002949E9" w:rsidRPr="00775072" w:rsidRDefault="002949E9" w:rsidP="002949E9">
      <w:pPr>
        <w:pBdr>
          <w:top w:val="nil"/>
          <w:left w:val="nil"/>
          <w:bottom w:val="nil"/>
          <w:right w:val="nil"/>
          <w:between w:val="nil"/>
        </w:pBdr>
        <w:spacing w:before="5"/>
        <w:rPr>
          <w:color w:val="000000"/>
          <w:sz w:val="20"/>
          <w:szCs w:val="20"/>
        </w:rPr>
      </w:pPr>
    </w:p>
    <w:p w14:paraId="00DB6F5C" w14:textId="08C334AA" w:rsidR="002949E9" w:rsidRPr="00775072" w:rsidRDefault="002949E9" w:rsidP="002949E9">
      <w:pPr>
        <w:pBdr>
          <w:top w:val="nil"/>
          <w:left w:val="nil"/>
          <w:bottom w:val="nil"/>
          <w:right w:val="nil"/>
          <w:between w:val="nil"/>
        </w:pBdr>
        <w:spacing w:line="244" w:lineRule="auto"/>
        <w:ind w:right="2"/>
        <w:jc w:val="center"/>
        <w:rPr>
          <w:color w:val="000000"/>
          <w:sz w:val="20"/>
          <w:szCs w:val="20"/>
        </w:rPr>
      </w:pPr>
      <w:r w:rsidRPr="00775072">
        <w:rPr>
          <w:color w:val="000000"/>
          <w:sz w:val="20"/>
        </w:rPr>
        <w:t xml:space="preserve">LA COMISIÓN INTERNACIONAL PARA LA CONSERVACIÓN </w:t>
      </w:r>
      <w:r w:rsidR="0005603A" w:rsidRPr="00775072">
        <w:rPr>
          <w:color w:val="000000"/>
          <w:sz w:val="20"/>
        </w:rPr>
        <w:br/>
      </w:r>
      <w:r w:rsidRPr="00775072">
        <w:rPr>
          <w:color w:val="000000"/>
          <w:sz w:val="20"/>
        </w:rPr>
        <w:t>DEL ATÚN ATLÁNTICO (ICCAT) RECOMIENDA LO SIGUIENTE:</w:t>
      </w:r>
    </w:p>
    <w:p w14:paraId="7D4BDAC2" w14:textId="77777777" w:rsidR="002949E9" w:rsidRPr="00775072" w:rsidRDefault="002949E9" w:rsidP="002949E9">
      <w:pPr>
        <w:pBdr>
          <w:top w:val="nil"/>
          <w:left w:val="nil"/>
          <w:bottom w:val="nil"/>
          <w:right w:val="nil"/>
          <w:between w:val="nil"/>
        </w:pBdr>
        <w:spacing w:before="7"/>
        <w:jc w:val="center"/>
        <w:rPr>
          <w:b/>
          <w:color w:val="000000"/>
          <w:sz w:val="20"/>
          <w:szCs w:val="20"/>
        </w:rPr>
      </w:pPr>
    </w:p>
    <w:p w14:paraId="62144979" w14:textId="77777777" w:rsidR="002949E9" w:rsidRPr="00775072" w:rsidRDefault="002949E9" w:rsidP="002949E9">
      <w:pPr>
        <w:pBdr>
          <w:top w:val="nil"/>
          <w:left w:val="nil"/>
          <w:bottom w:val="nil"/>
          <w:right w:val="nil"/>
          <w:between w:val="nil"/>
        </w:pBdr>
        <w:spacing w:before="7"/>
        <w:jc w:val="center"/>
        <w:rPr>
          <w:b/>
          <w:color w:val="000000"/>
          <w:sz w:val="20"/>
          <w:szCs w:val="20"/>
        </w:rPr>
      </w:pPr>
      <w:r w:rsidRPr="00775072">
        <w:rPr>
          <w:b/>
          <w:color w:val="000000"/>
          <w:sz w:val="20"/>
        </w:rPr>
        <w:t xml:space="preserve">PARTE I </w:t>
      </w:r>
    </w:p>
    <w:p w14:paraId="3F539C38" w14:textId="77777777" w:rsidR="002949E9" w:rsidRPr="00775072" w:rsidRDefault="002949E9" w:rsidP="002949E9">
      <w:pPr>
        <w:pBdr>
          <w:top w:val="nil"/>
          <w:left w:val="nil"/>
          <w:bottom w:val="nil"/>
          <w:right w:val="nil"/>
          <w:between w:val="nil"/>
        </w:pBdr>
        <w:spacing w:before="7"/>
        <w:jc w:val="center"/>
        <w:rPr>
          <w:b/>
          <w:color w:val="000000"/>
          <w:sz w:val="20"/>
          <w:szCs w:val="20"/>
        </w:rPr>
      </w:pPr>
      <w:r w:rsidRPr="00775072">
        <w:rPr>
          <w:b/>
          <w:color w:val="000000"/>
          <w:sz w:val="20"/>
        </w:rPr>
        <w:t>DISPOSICIONES GENERALES</w:t>
      </w:r>
    </w:p>
    <w:p w14:paraId="059CF474" w14:textId="77777777" w:rsidR="002949E9" w:rsidRPr="00775072" w:rsidRDefault="002949E9" w:rsidP="002949E9">
      <w:pPr>
        <w:pBdr>
          <w:top w:val="nil"/>
          <w:left w:val="nil"/>
          <w:bottom w:val="nil"/>
          <w:right w:val="nil"/>
          <w:between w:val="nil"/>
        </w:pBdr>
        <w:spacing w:before="7"/>
        <w:rPr>
          <w:sz w:val="20"/>
          <w:szCs w:val="20"/>
        </w:rPr>
      </w:pPr>
    </w:p>
    <w:p w14:paraId="715AAD07" w14:textId="493F314A" w:rsidR="002949E9" w:rsidRPr="00775072" w:rsidRDefault="002949E9" w:rsidP="002949E9">
      <w:pPr>
        <w:numPr>
          <w:ilvl w:val="0"/>
          <w:numId w:val="1"/>
        </w:numPr>
        <w:pBdr>
          <w:top w:val="nil"/>
          <w:left w:val="nil"/>
          <w:bottom w:val="nil"/>
          <w:right w:val="nil"/>
          <w:between w:val="nil"/>
        </w:pBdr>
        <w:spacing w:line="244" w:lineRule="auto"/>
        <w:ind w:left="426" w:right="114" w:hanging="426"/>
        <w:jc w:val="both"/>
        <w:rPr>
          <w:color w:val="000000"/>
          <w:sz w:val="20"/>
          <w:szCs w:val="20"/>
        </w:rPr>
      </w:pPr>
      <w:r w:rsidRPr="00775072">
        <w:rPr>
          <w:color w:val="000000"/>
          <w:sz w:val="20"/>
        </w:rPr>
        <w:t>Las Partes contratantes y las Partes, Entidades o Entidades pesqueras no contratantes colaboradoras (CPC) cuyos buques captur</w:t>
      </w:r>
      <w:r w:rsidR="00870392" w:rsidRPr="00775072">
        <w:rPr>
          <w:color w:val="000000"/>
          <w:sz w:val="20"/>
        </w:rPr>
        <w:t>a</w:t>
      </w:r>
      <w:r w:rsidRPr="00775072">
        <w:rPr>
          <w:color w:val="000000"/>
          <w:sz w:val="20"/>
        </w:rPr>
        <w:t xml:space="preserve">n pez espada del Atlántico norte en la zona del Convenio </w:t>
      </w:r>
      <w:r w:rsidR="00870392" w:rsidRPr="00775072">
        <w:rPr>
          <w:color w:val="000000"/>
          <w:sz w:val="20"/>
        </w:rPr>
        <w:t>implementarán</w:t>
      </w:r>
      <w:r w:rsidRPr="00775072">
        <w:rPr>
          <w:color w:val="000000"/>
          <w:sz w:val="20"/>
        </w:rPr>
        <w:t xml:space="preserve"> las siguientes medidas de conservación y ordenación, incluido el MP establecido en el </w:t>
      </w:r>
      <w:r w:rsidRPr="00775072">
        <w:rPr>
          <w:b/>
          <w:bCs/>
          <w:color w:val="000000"/>
          <w:sz w:val="20"/>
        </w:rPr>
        <w:t xml:space="preserve">Anexo 1 </w:t>
      </w:r>
      <w:r w:rsidRPr="00775072">
        <w:rPr>
          <w:color w:val="000000"/>
          <w:sz w:val="20"/>
        </w:rPr>
        <w:t>para establecer los</w:t>
      </w:r>
      <w:r w:rsidR="000B7E8F" w:rsidRPr="00775072">
        <w:rPr>
          <w:color w:val="000000"/>
          <w:sz w:val="20"/>
        </w:rPr>
        <w:t xml:space="preserve"> </w:t>
      </w:r>
      <w:r w:rsidRPr="00775072">
        <w:rPr>
          <w:color w:val="000000"/>
          <w:sz w:val="20"/>
        </w:rPr>
        <w:t>TAC anuales.</w:t>
      </w:r>
    </w:p>
    <w:p w14:paraId="3EACC9CC" w14:textId="77777777" w:rsidR="002949E9" w:rsidRPr="00775072" w:rsidRDefault="002949E9" w:rsidP="002949E9">
      <w:pPr>
        <w:pBdr>
          <w:top w:val="nil"/>
          <w:left w:val="nil"/>
          <w:bottom w:val="nil"/>
          <w:right w:val="nil"/>
          <w:between w:val="nil"/>
        </w:pBdr>
        <w:tabs>
          <w:tab w:val="left" w:pos="542"/>
          <w:tab w:val="left" w:pos="544"/>
        </w:tabs>
        <w:spacing w:line="244" w:lineRule="auto"/>
        <w:ind w:right="114"/>
        <w:jc w:val="both"/>
        <w:rPr>
          <w:i/>
          <w:color w:val="000000"/>
          <w:sz w:val="20"/>
          <w:szCs w:val="20"/>
        </w:rPr>
      </w:pPr>
    </w:p>
    <w:p w14:paraId="05C67273" w14:textId="77777777" w:rsidR="002949E9" w:rsidRPr="00775072" w:rsidRDefault="002949E9" w:rsidP="002949E9">
      <w:pPr>
        <w:pBdr>
          <w:top w:val="nil"/>
          <w:left w:val="nil"/>
          <w:bottom w:val="nil"/>
          <w:right w:val="nil"/>
          <w:between w:val="nil"/>
        </w:pBdr>
        <w:tabs>
          <w:tab w:val="left" w:pos="542"/>
          <w:tab w:val="left" w:pos="544"/>
        </w:tabs>
        <w:spacing w:line="244" w:lineRule="auto"/>
        <w:ind w:right="114"/>
        <w:jc w:val="both"/>
        <w:rPr>
          <w:b/>
          <w:color w:val="000000"/>
          <w:sz w:val="20"/>
          <w:szCs w:val="20"/>
        </w:rPr>
      </w:pPr>
      <w:r w:rsidRPr="00775072">
        <w:rPr>
          <w:b/>
          <w:color w:val="000000"/>
          <w:sz w:val="20"/>
        </w:rPr>
        <w:t>Objetivos de ordenación</w:t>
      </w:r>
    </w:p>
    <w:p w14:paraId="2921695D" w14:textId="77777777" w:rsidR="002949E9" w:rsidRPr="00775072" w:rsidRDefault="002949E9" w:rsidP="002949E9">
      <w:pPr>
        <w:pBdr>
          <w:top w:val="nil"/>
          <w:left w:val="nil"/>
          <w:bottom w:val="nil"/>
          <w:right w:val="nil"/>
          <w:between w:val="nil"/>
        </w:pBdr>
        <w:tabs>
          <w:tab w:val="left" w:pos="542"/>
          <w:tab w:val="left" w:pos="544"/>
        </w:tabs>
        <w:spacing w:line="244" w:lineRule="auto"/>
        <w:ind w:right="114"/>
        <w:jc w:val="both"/>
        <w:rPr>
          <w:color w:val="000000"/>
          <w:sz w:val="20"/>
          <w:szCs w:val="20"/>
        </w:rPr>
      </w:pPr>
    </w:p>
    <w:p w14:paraId="01D3E87C" w14:textId="1852B495" w:rsidR="002949E9" w:rsidRPr="0077507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775072">
        <w:rPr>
          <w:color w:val="000000"/>
          <w:sz w:val="20"/>
        </w:rPr>
        <w:t>Los objetivos de ordenación para el stock de pez espada del Atlántico norte son:</w:t>
      </w:r>
    </w:p>
    <w:p w14:paraId="398A8C67" w14:textId="77777777" w:rsidR="002949E9" w:rsidRPr="00775072"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13391D78" w14:textId="77777777" w:rsidR="002949E9" w:rsidRPr="00775072"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775072">
        <w:rPr>
          <w:color w:val="000000"/>
          <w:sz w:val="20"/>
        </w:rPr>
        <w:t>Estado del stock:</w:t>
      </w:r>
    </w:p>
    <w:p w14:paraId="112C4B1B" w14:textId="77777777" w:rsidR="002949E9" w:rsidRPr="00775072"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6B49FB5C" w14:textId="77777777" w:rsidR="002949E9" w:rsidRPr="00775072"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color w:val="000000"/>
          <w:sz w:val="20"/>
          <w:szCs w:val="20"/>
        </w:rPr>
      </w:pPr>
      <w:r w:rsidRPr="00775072">
        <w:rPr>
          <w:color w:val="000000"/>
          <w:sz w:val="20"/>
        </w:rPr>
        <w:t>El stock tendrá una probabilidad del 60 % o superior de situarse en el cuadrante verde del diagrama de Kobe (sin que se produzca sobrepesca y no sobrepescado).</w:t>
      </w:r>
    </w:p>
    <w:p w14:paraId="103CED3D" w14:textId="77777777" w:rsidR="002949E9" w:rsidRPr="00775072"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0C65F788" w14:textId="77777777" w:rsidR="002949E9" w:rsidRPr="00775072"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775072">
        <w:rPr>
          <w:color w:val="000000"/>
          <w:sz w:val="20"/>
        </w:rPr>
        <w:t>Seguridad:</w:t>
      </w:r>
    </w:p>
    <w:p w14:paraId="3ED5E2FD" w14:textId="77777777" w:rsidR="002949E9" w:rsidRPr="00775072"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2E71E1CC" w14:textId="2381FDBB" w:rsidR="002949E9" w:rsidRPr="00775072"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color w:val="000000"/>
          <w:sz w:val="20"/>
          <w:szCs w:val="20"/>
        </w:rPr>
      </w:pPr>
      <w:r w:rsidRPr="00775072">
        <w:rPr>
          <w:color w:val="000000"/>
          <w:sz w:val="20"/>
        </w:rPr>
        <w:t>Habrá un</w:t>
      </w:r>
      <w:r w:rsidR="0005603A" w:rsidRPr="00775072">
        <w:rPr>
          <w:color w:val="000000"/>
          <w:sz w:val="20"/>
        </w:rPr>
        <w:t>a probabilidad de</w:t>
      </w:r>
      <w:r w:rsidRPr="00775072">
        <w:rPr>
          <w:color w:val="000000"/>
          <w:sz w:val="20"/>
        </w:rPr>
        <w:t xml:space="preserve"> 15 % o </w:t>
      </w:r>
      <w:r w:rsidR="0005603A" w:rsidRPr="00775072">
        <w:rPr>
          <w:color w:val="000000"/>
          <w:sz w:val="20"/>
        </w:rPr>
        <w:t xml:space="preserve">inferior </w:t>
      </w:r>
      <w:r w:rsidRPr="00775072">
        <w:rPr>
          <w:color w:val="000000"/>
          <w:sz w:val="20"/>
        </w:rPr>
        <w:t>de que el stock se sitúe por debajo de B</w:t>
      </w:r>
      <w:r w:rsidRPr="00775072">
        <w:rPr>
          <w:color w:val="000000"/>
          <w:sz w:val="20"/>
          <w:vertAlign w:val="subscript"/>
        </w:rPr>
        <w:t>LIM</w:t>
      </w:r>
      <w:r w:rsidRPr="00775072">
        <w:rPr>
          <w:color w:val="000000"/>
          <w:sz w:val="20"/>
          <w:szCs w:val="20"/>
          <w:vertAlign w:val="superscript"/>
        </w:rPr>
        <w:footnoteReference w:id="2"/>
      </w:r>
      <w:r w:rsidRPr="00775072">
        <w:rPr>
          <w:color w:val="000000"/>
          <w:sz w:val="20"/>
        </w:rPr>
        <w:t xml:space="preserve"> en cualquier </w:t>
      </w:r>
      <w:r w:rsidR="0005603A" w:rsidRPr="00775072">
        <w:rPr>
          <w:color w:val="000000"/>
          <w:sz w:val="20"/>
        </w:rPr>
        <w:t>momento</w:t>
      </w:r>
      <w:r w:rsidRPr="00775072">
        <w:rPr>
          <w:color w:val="000000"/>
          <w:sz w:val="20"/>
        </w:rPr>
        <w:t xml:space="preserve"> del periodo de evaluación de 30 años;</w:t>
      </w:r>
    </w:p>
    <w:p w14:paraId="61F01970" w14:textId="77777777" w:rsidR="002949E9" w:rsidRPr="00775072"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530CBEB8" w14:textId="77777777" w:rsidR="002949E9" w:rsidRPr="00775072"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775072">
        <w:rPr>
          <w:color w:val="000000"/>
          <w:sz w:val="20"/>
        </w:rPr>
        <w:t>Rendimiento:</w:t>
      </w:r>
    </w:p>
    <w:p w14:paraId="2AFD7B4D" w14:textId="77777777" w:rsidR="002949E9" w:rsidRPr="00775072"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14"/>
          <w:szCs w:val="14"/>
        </w:rPr>
      </w:pPr>
    </w:p>
    <w:p w14:paraId="5970065F" w14:textId="713AD99E" w:rsidR="002949E9" w:rsidRPr="00775072"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color w:val="000000"/>
          <w:sz w:val="20"/>
          <w:szCs w:val="20"/>
        </w:rPr>
      </w:pPr>
      <w:r w:rsidRPr="00775072">
        <w:rPr>
          <w:color w:val="000000"/>
          <w:sz w:val="20"/>
        </w:rPr>
        <w:t xml:space="preserve">Se maximizarán los niveles de captura </w:t>
      </w:r>
      <w:r w:rsidR="00FB38E1" w:rsidRPr="00775072">
        <w:rPr>
          <w:color w:val="000000"/>
          <w:sz w:val="20"/>
        </w:rPr>
        <w:t>globales</w:t>
      </w:r>
      <w:r w:rsidRPr="00775072">
        <w:rPr>
          <w:color w:val="000000"/>
          <w:sz w:val="20"/>
        </w:rPr>
        <w:t xml:space="preserve"> y</w:t>
      </w:r>
    </w:p>
    <w:p w14:paraId="39B15CB4" w14:textId="77777777" w:rsidR="002949E9" w:rsidRPr="00775072"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643E3856" w14:textId="77777777" w:rsidR="002949E9" w:rsidRPr="00775072"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775072">
        <w:rPr>
          <w:color w:val="000000"/>
          <w:sz w:val="20"/>
        </w:rPr>
        <w:t>Estabilidad:</w:t>
      </w:r>
    </w:p>
    <w:p w14:paraId="42041801" w14:textId="77777777" w:rsidR="002949E9" w:rsidRPr="00775072"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18"/>
          <w:szCs w:val="18"/>
        </w:rPr>
      </w:pPr>
    </w:p>
    <w:p w14:paraId="3219B342" w14:textId="77777777" w:rsidR="002949E9" w:rsidRPr="00775072"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color w:val="000000"/>
          <w:sz w:val="20"/>
          <w:szCs w:val="20"/>
        </w:rPr>
      </w:pPr>
      <w:r w:rsidRPr="00775072">
        <w:rPr>
          <w:color w:val="000000"/>
          <w:sz w:val="18"/>
          <w:szCs w:val="20"/>
        </w:rPr>
        <w:t>L</w:t>
      </w:r>
      <w:r w:rsidRPr="00775072">
        <w:rPr>
          <w:color w:val="000000"/>
          <w:sz w:val="20"/>
        </w:rPr>
        <w:t xml:space="preserve">os cambios en el TAC se reducirán al mínimo, en consonancia con las especificaciones del MP descritas en el </w:t>
      </w:r>
      <w:r w:rsidRPr="00775072">
        <w:rPr>
          <w:b/>
          <w:bCs/>
          <w:color w:val="000000"/>
          <w:sz w:val="20"/>
        </w:rPr>
        <w:t>Anexo 1.</w:t>
      </w:r>
      <w:r w:rsidRPr="00775072">
        <w:rPr>
          <w:color w:val="000000"/>
          <w:sz w:val="20"/>
        </w:rPr>
        <w:t xml:space="preserve"> </w:t>
      </w:r>
    </w:p>
    <w:p w14:paraId="1EFEBD1A" w14:textId="77777777" w:rsidR="002949E9" w:rsidRPr="00775072"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2DA944EB" w14:textId="77777777" w:rsidR="002949E9" w:rsidRPr="00775072" w:rsidRDefault="002949E9" w:rsidP="002949E9">
      <w:pPr>
        <w:pBdr>
          <w:top w:val="nil"/>
          <w:left w:val="nil"/>
          <w:bottom w:val="nil"/>
          <w:right w:val="nil"/>
          <w:between w:val="nil"/>
        </w:pBdr>
        <w:tabs>
          <w:tab w:val="left" w:pos="542"/>
          <w:tab w:val="left" w:pos="544"/>
        </w:tabs>
        <w:spacing w:line="244" w:lineRule="auto"/>
        <w:ind w:right="114"/>
        <w:jc w:val="both"/>
        <w:rPr>
          <w:color w:val="000000"/>
          <w:sz w:val="20"/>
          <w:szCs w:val="20"/>
        </w:rPr>
      </w:pPr>
      <w:r w:rsidRPr="00775072">
        <w:rPr>
          <w:color w:val="000000"/>
          <w:sz w:val="20"/>
        </w:rPr>
        <w:t xml:space="preserve">Las mediciones (indicadores) de desempeño utilizadas para evaluar el desempeño de los MP para cada objetivo de ordenación pueden consultarse en el </w:t>
      </w:r>
      <w:r w:rsidRPr="00775072">
        <w:rPr>
          <w:b/>
          <w:bCs/>
          <w:color w:val="000000"/>
          <w:sz w:val="20"/>
        </w:rPr>
        <w:t>Anexo 2.</w:t>
      </w:r>
    </w:p>
    <w:p w14:paraId="51C5C73B" w14:textId="77777777" w:rsidR="002949E9" w:rsidRPr="00775072"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2B7916CC" w14:textId="77777777" w:rsidR="002949E9" w:rsidRPr="00775072" w:rsidRDefault="002949E9" w:rsidP="002949E9">
      <w:pPr>
        <w:pBdr>
          <w:top w:val="nil"/>
          <w:left w:val="nil"/>
          <w:bottom w:val="nil"/>
          <w:right w:val="nil"/>
          <w:between w:val="nil"/>
        </w:pBdr>
        <w:tabs>
          <w:tab w:val="left" w:pos="542"/>
          <w:tab w:val="left" w:pos="544"/>
        </w:tabs>
        <w:spacing w:line="244" w:lineRule="auto"/>
        <w:ind w:left="544" w:right="114"/>
        <w:jc w:val="center"/>
        <w:rPr>
          <w:b/>
          <w:color w:val="000000"/>
          <w:sz w:val="20"/>
          <w:szCs w:val="20"/>
        </w:rPr>
      </w:pPr>
      <w:r w:rsidRPr="00775072">
        <w:rPr>
          <w:b/>
          <w:color w:val="000000"/>
          <w:sz w:val="20"/>
        </w:rPr>
        <w:t>PARTE II</w:t>
      </w:r>
    </w:p>
    <w:p w14:paraId="5F6C6D52" w14:textId="77777777" w:rsidR="002949E9" w:rsidRPr="00775072" w:rsidRDefault="002949E9" w:rsidP="002949E9">
      <w:pPr>
        <w:pBdr>
          <w:top w:val="nil"/>
          <w:left w:val="nil"/>
          <w:bottom w:val="nil"/>
          <w:right w:val="nil"/>
          <w:between w:val="nil"/>
        </w:pBdr>
        <w:tabs>
          <w:tab w:val="left" w:pos="542"/>
          <w:tab w:val="left" w:pos="544"/>
        </w:tabs>
        <w:spacing w:line="244" w:lineRule="auto"/>
        <w:ind w:left="544" w:right="114"/>
        <w:jc w:val="center"/>
        <w:rPr>
          <w:b/>
          <w:color w:val="000000"/>
          <w:sz w:val="20"/>
          <w:szCs w:val="20"/>
        </w:rPr>
      </w:pPr>
      <w:r w:rsidRPr="00775072">
        <w:rPr>
          <w:b/>
          <w:color w:val="000000"/>
          <w:sz w:val="20"/>
        </w:rPr>
        <w:t>PROCEDIMIENTO DE ORDENACIÓN Y TOTAL ADMISIBLE DE CAPTURAS</w:t>
      </w:r>
    </w:p>
    <w:p w14:paraId="5DAABB21" w14:textId="77777777" w:rsidR="002949E9" w:rsidRPr="00775072" w:rsidRDefault="002949E9" w:rsidP="002949E9">
      <w:pPr>
        <w:pBdr>
          <w:top w:val="nil"/>
          <w:left w:val="nil"/>
          <w:bottom w:val="nil"/>
          <w:right w:val="nil"/>
          <w:between w:val="nil"/>
        </w:pBdr>
        <w:spacing w:before="9"/>
        <w:rPr>
          <w:color w:val="000000"/>
          <w:sz w:val="20"/>
          <w:szCs w:val="20"/>
        </w:rPr>
      </w:pPr>
    </w:p>
    <w:p w14:paraId="79D9C0BE" w14:textId="255DC08E" w:rsidR="002949E9" w:rsidRPr="0077507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775072">
        <w:rPr>
          <w:color w:val="000000"/>
          <w:sz w:val="20"/>
        </w:rPr>
        <w:t xml:space="preserve">En consonancia con los objetivos de ordenación especificados en el párrafo 2 anterior, se adopta el MP MCC11. En el </w:t>
      </w:r>
      <w:r w:rsidRPr="00775072">
        <w:rPr>
          <w:b/>
          <w:bCs/>
          <w:color w:val="000000"/>
          <w:sz w:val="20"/>
        </w:rPr>
        <w:t>Anexo 1</w:t>
      </w:r>
      <w:r w:rsidRPr="00775072">
        <w:rPr>
          <w:color w:val="000000"/>
          <w:sz w:val="20"/>
        </w:rPr>
        <w:t xml:space="preserve"> se describe detalladamente el MP.</w:t>
      </w:r>
    </w:p>
    <w:p w14:paraId="31C43E79" w14:textId="77777777" w:rsidR="002949E9" w:rsidRPr="00775072" w:rsidRDefault="002949E9" w:rsidP="002949E9">
      <w:pPr>
        <w:pBdr>
          <w:top w:val="nil"/>
          <w:left w:val="nil"/>
          <w:bottom w:val="nil"/>
          <w:right w:val="nil"/>
          <w:between w:val="nil"/>
        </w:pBdr>
        <w:spacing w:line="244" w:lineRule="auto"/>
        <w:ind w:left="426" w:right="114"/>
        <w:jc w:val="both"/>
        <w:rPr>
          <w:sz w:val="20"/>
          <w:szCs w:val="20"/>
        </w:rPr>
      </w:pPr>
    </w:p>
    <w:p w14:paraId="509D6EC3" w14:textId="1F5F9D60" w:rsidR="002949E9" w:rsidRPr="0077507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775072">
        <w:rPr>
          <w:color w:val="000000"/>
          <w:sz w:val="20"/>
        </w:rPr>
        <w:t>El TAC derivado de la aplicación del MP es de 14.769 t y se aplicará en 2025, 2026 y 2027. La duración del ciclo de ordenación será de tres años, por lo que el MP se aplicará cada tres años.</w:t>
      </w:r>
    </w:p>
    <w:p w14:paraId="42AF21A1" w14:textId="77777777" w:rsidR="002949E9" w:rsidRPr="00775072" w:rsidRDefault="002949E9" w:rsidP="002949E9">
      <w:pPr>
        <w:pBdr>
          <w:top w:val="nil"/>
          <w:left w:val="nil"/>
          <w:bottom w:val="nil"/>
          <w:right w:val="nil"/>
          <w:between w:val="nil"/>
        </w:pBdr>
        <w:tabs>
          <w:tab w:val="left" w:pos="544"/>
        </w:tabs>
        <w:spacing w:line="244" w:lineRule="auto"/>
        <w:ind w:right="220"/>
        <w:jc w:val="both"/>
        <w:rPr>
          <w:color w:val="000000"/>
          <w:sz w:val="20"/>
          <w:szCs w:val="20"/>
        </w:rPr>
      </w:pPr>
    </w:p>
    <w:p w14:paraId="53AA01D1" w14:textId="6D1B599F" w:rsidR="002949E9" w:rsidRPr="0077507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775072">
        <w:rPr>
          <w:color w:val="000000"/>
          <w:sz w:val="20"/>
        </w:rPr>
        <w:t xml:space="preserve">El SCRS aplicará el MP especificado en el </w:t>
      </w:r>
      <w:r w:rsidRPr="00775072">
        <w:rPr>
          <w:b/>
          <w:bCs/>
          <w:color w:val="000000"/>
          <w:sz w:val="20"/>
        </w:rPr>
        <w:t>Anexo 1</w:t>
      </w:r>
      <w:r w:rsidRPr="00775072">
        <w:rPr>
          <w:color w:val="000000"/>
          <w:sz w:val="20"/>
        </w:rPr>
        <w:t xml:space="preserve"> de conformidad con el calendario establecido en el </w:t>
      </w:r>
      <w:r w:rsidRPr="00775072">
        <w:rPr>
          <w:b/>
          <w:bCs/>
          <w:color w:val="000000"/>
          <w:sz w:val="20"/>
        </w:rPr>
        <w:t xml:space="preserve">Anexo 3 </w:t>
      </w:r>
      <w:r w:rsidRPr="00775072">
        <w:rPr>
          <w:color w:val="000000"/>
          <w:sz w:val="20"/>
        </w:rPr>
        <w:t>y comunicará a la Comisión el TAC resultante para el pez espada del Atlántico norte para el siguiente ciclo de ordenación trienal. El SCRS evaluará anualmente la aparición de circunstancias excepcionales</w:t>
      </w:r>
      <w:r w:rsidR="00FB38E1" w:rsidRPr="00775072">
        <w:rPr>
          <w:color w:val="000000"/>
          <w:sz w:val="20"/>
        </w:rPr>
        <w:t xml:space="preserve"> (EC)</w:t>
      </w:r>
      <w:r w:rsidRPr="00775072">
        <w:rPr>
          <w:color w:val="000000"/>
          <w:sz w:val="20"/>
        </w:rPr>
        <w:t>, y la Comisión actuará de conformidad con el Protocolo de circunstancias excepcionales una vez adoptado con arreglo al párrafo 20.</w:t>
      </w:r>
    </w:p>
    <w:p w14:paraId="3C149115" w14:textId="77777777" w:rsidR="002949E9" w:rsidRPr="00775072" w:rsidRDefault="002949E9" w:rsidP="002949E9">
      <w:pPr>
        <w:pBdr>
          <w:top w:val="nil"/>
          <w:left w:val="nil"/>
          <w:bottom w:val="nil"/>
          <w:right w:val="nil"/>
          <w:between w:val="nil"/>
        </w:pBdr>
        <w:spacing w:line="244" w:lineRule="auto"/>
        <w:ind w:left="426" w:right="114"/>
        <w:jc w:val="both"/>
        <w:rPr>
          <w:sz w:val="20"/>
          <w:szCs w:val="20"/>
        </w:rPr>
      </w:pPr>
    </w:p>
    <w:p w14:paraId="7C0EAA84" w14:textId="5EA236EB" w:rsidR="002949E9" w:rsidRPr="00775072"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775072">
        <w:rPr>
          <w:color w:val="000000"/>
          <w:sz w:val="20"/>
        </w:rPr>
        <w:t>La Comisión adoptará el TAC basándose en el resultado del MP a menos que el SCRS identifique circunstancias excepcionales</w:t>
      </w:r>
      <w:r w:rsidR="00FB38E1" w:rsidRPr="00775072">
        <w:rPr>
          <w:color w:val="000000"/>
          <w:sz w:val="20"/>
        </w:rPr>
        <w:t xml:space="preserve"> (EC)</w:t>
      </w:r>
      <w:r w:rsidRPr="00775072">
        <w:rPr>
          <w:color w:val="000000"/>
          <w:sz w:val="20"/>
        </w:rPr>
        <w:t xml:space="preserve"> que requieran que la Comisión adopte medidas de ordenación alternativas </w:t>
      </w:r>
      <w:r w:rsidR="00FB38E1" w:rsidRPr="00775072">
        <w:rPr>
          <w:color w:val="000000"/>
          <w:sz w:val="20"/>
        </w:rPr>
        <w:t>en consonancia</w:t>
      </w:r>
      <w:r w:rsidRPr="00775072">
        <w:rPr>
          <w:color w:val="000000"/>
          <w:sz w:val="20"/>
        </w:rPr>
        <w:t xml:space="preserve"> con los principios de la Recomendación 11-13.</w:t>
      </w:r>
    </w:p>
    <w:p w14:paraId="650FCDEF" w14:textId="119E3BBB" w:rsidR="002949E9" w:rsidRPr="00775072" w:rsidRDefault="002949E9" w:rsidP="002949E9">
      <w:pPr>
        <w:tabs>
          <w:tab w:val="left" w:pos="542"/>
          <w:tab w:val="left" w:pos="544"/>
        </w:tabs>
        <w:spacing w:line="244" w:lineRule="auto"/>
        <w:ind w:left="544" w:right="114"/>
        <w:jc w:val="center"/>
        <w:rPr>
          <w:b/>
          <w:color w:val="000000"/>
          <w:sz w:val="20"/>
          <w:szCs w:val="20"/>
        </w:rPr>
      </w:pPr>
      <w:r w:rsidRPr="00775072">
        <w:rPr>
          <w:b/>
          <w:color w:val="000000"/>
          <w:sz w:val="20"/>
        </w:rPr>
        <w:lastRenderedPageBreak/>
        <w:t>PARTE III</w:t>
      </w:r>
    </w:p>
    <w:p w14:paraId="2A5C34AC" w14:textId="77777777" w:rsidR="002949E9" w:rsidRPr="00775072" w:rsidRDefault="002949E9" w:rsidP="002949E9">
      <w:pPr>
        <w:tabs>
          <w:tab w:val="left" w:pos="542"/>
          <w:tab w:val="left" w:pos="544"/>
        </w:tabs>
        <w:spacing w:line="244" w:lineRule="auto"/>
        <w:ind w:left="544" w:right="114"/>
        <w:jc w:val="center"/>
        <w:rPr>
          <w:b/>
          <w:color w:val="000000"/>
          <w:sz w:val="20"/>
          <w:szCs w:val="20"/>
        </w:rPr>
      </w:pPr>
      <w:r w:rsidRPr="00775072">
        <w:rPr>
          <w:b/>
          <w:color w:val="000000"/>
          <w:sz w:val="20"/>
        </w:rPr>
        <w:t>LÍMITES ANUALES Y DISPOSICIONES RELACIONADAS</w:t>
      </w:r>
    </w:p>
    <w:p w14:paraId="2E5D8513" w14:textId="77777777" w:rsidR="002949E9" w:rsidRPr="00775072" w:rsidRDefault="002949E9" w:rsidP="002949E9">
      <w:pPr>
        <w:pBdr>
          <w:top w:val="nil"/>
          <w:left w:val="nil"/>
          <w:bottom w:val="nil"/>
          <w:right w:val="nil"/>
          <w:between w:val="nil"/>
        </w:pBdr>
        <w:tabs>
          <w:tab w:val="left" w:pos="544"/>
        </w:tabs>
        <w:ind w:left="544"/>
        <w:rPr>
          <w:b/>
          <w:color w:val="000000"/>
          <w:sz w:val="20"/>
          <w:szCs w:val="20"/>
        </w:rPr>
      </w:pPr>
    </w:p>
    <w:p w14:paraId="54C6F488" w14:textId="77777777" w:rsidR="002949E9" w:rsidRPr="00775072" w:rsidRDefault="002949E9" w:rsidP="002949E9">
      <w:pPr>
        <w:pBdr>
          <w:top w:val="nil"/>
          <w:left w:val="nil"/>
          <w:bottom w:val="nil"/>
          <w:right w:val="nil"/>
          <w:between w:val="nil"/>
        </w:pBdr>
        <w:tabs>
          <w:tab w:val="left" w:pos="544"/>
        </w:tabs>
        <w:rPr>
          <w:b/>
          <w:color w:val="000000"/>
          <w:sz w:val="20"/>
          <w:szCs w:val="20"/>
        </w:rPr>
      </w:pPr>
      <w:r w:rsidRPr="00775072">
        <w:rPr>
          <w:b/>
          <w:color w:val="000000"/>
          <w:sz w:val="20"/>
        </w:rPr>
        <w:t>Límites de captura</w:t>
      </w:r>
    </w:p>
    <w:p w14:paraId="6F9FDBF2" w14:textId="77777777" w:rsidR="002949E9" w:rsidRPr="00775072" w:rsidRDefault="002949E9" w:rsidP="002949E9">
      <w:pPr>
        <w:pBdr>
          <w:top w:val="nil"/>
          <w:left w:val="nil"/>
          <w:bottom w:val="nil"/>
          <w:right w:val="nil"/>
          <w:between w:val="nil"/>
        </w:pBdr>
        <w:tabs>
          <w:tab w:val="left" w:pos="544"/>
        </w:tabs>
        <w:rPr>
          <w:b/>
          <w:i/>
          <w:color w:val="000000"/>
          <w:sz w:val="20"/>
          <w:szCs w:val="20"/>
        </w:rPr>
      </w:pPr>
    </w:p>
    <w:p w14:paraId="62C5CB3F" w14:textId="2D884621" w:rsidR="002949E9" w:rsidRPr="00775072" w:rsidRDefault="002949E9" w:rsidP="0079595C">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775072">
        <w:rPr>
          <w:color w:val="000000"/>
          <w:sz w:val="20"/>
        </w:rPr>
        <w:t xml:space="preserve">El TAC anual de 14.769 t de pez espada del Atlántico norte resultante de la aplicación del MP descrito en el </w:t>
      </w:r>
      <w:r w:rsidRPr="00775072">
        <w:rPr>
          <w:b/>
          <w:bCs/>
          <w:color w:val="000000"/>
          <w:sz w:val="20"/>
        </w:rPr>
        <w:t>Anexo 1</w:t>
      </w:r>
      <w:r w:rsidRPr="00775072">
        <w:rPr>
          <w:color w:val="000000"/>
          <w:sz w:val="20"/>
        </w:rPr>
        <w:t xml:space="preserve"> se asignará del siguiente modo para el periodo de ordenación 2025-2027:</w:t>
      </w:r>
    </w:p>
    <w:p w14:paraId="5913254C" w14:textId="77777777" w:rsidR="002949E9" w:rsidRPr="00775072" w:rsidRDefault="002949E9" w:rsidP="002949E9">
      <w:pPr>
        <w:pBdr>
          <w:top w:val="nil"/>
          <w:left w:val="nil"/>
          <w:bottom w:val="nil"/>
          <w:right w:val="nil"/>
          <w:between w:val="nil"/>
        </w:pBdr>
        <w:tabs>
          <w:tab w:val="left" w:pos="838"/>
        </w:tabs>
        <w:spacing w:before="1"/>
        <w:ind w:left="838" w:right="114"/>
        <w:rPr>
          <w:color w:val="000000"/>
          <w:sz w:val="20"/>
          <w:szCs w:val="20"/>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tblGrid>
      <w:tr w:rsidR="002949E9" w:rsidRPr="00775072" w14:paraId="0D3EAD58" w14:textId="77777777" w:rsidTr="00BD4C69">
        <w:trPr>
          <w:trHeight w:val="51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E8AC6A6" w14:textId="77777777" w:rsidR="002949E9" w:rsidRPr="00775072" w:rsidRDefault="002949E9" w:rsidP="00BD4C69">
            <w:pPr>
              <w:widowControl/>
              <w:jc w:val="center"/>
              <w:rPr>
                <w:rFonts w:eastAsia="Times New Roman" w:cs="Calibri"/>
                <w:i/>
                <w:iCs/>
                <w:color w:val="000000"/>
                <w:sz w:val="20"/>
                <w:szCs w:val="20"/>
              </w:rPr>
            </w:pPr>
            <w:r w:rsidRPr="00775072">
              <w:rPr>
                <w:i/>
                <w:color w:val="000000"/>
                <w:sz w:val="20"/>
              </w:rPr>
              <w:t>CPC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F3B9AD" w14:textId="4EEBB8BD" w:rsidR="002949E9" w:rsidRPr="00775072" w:rsidRDefault="002949E9" w:rsidP="00BD4C69">
            <w:pPr>
              <w:widowControl/>
              <w:jc w:val="center"/>
              <w:rPr>
                <w:rFonts w:eastAsiaTheme="minorHAnsi" w:cstheme="minorBidi"/>
                <w:i/>
                <w:iCs/>
                <w:sz w:val="24"/>
              </w:rPr>
            </w:pPr>
            <w:r w:rsidRPr="00775072">
              <w:rPr>
                <w:i/>
                <w:sz w:val="20"/>
              </w:rPr>
              <w:t>Límite de captura*</w:t>
            </w:r>
          </w:p>
          <w:p w14:paraId="6D2706D9" w14:textId="77777777" w:rsidR="002949E9" w:rsidRPr="00775072" w:rsidRDefault="002949E9" w:rsidP="00BD4C69">
            <w:pPr>
              <w:widowControl/>
              <w:jc w:val="center"/>
              <w:rPr>
                <w:rFonts w:eastAsia="Times New Roman" w:cs="Calibri"/>
                <w:i/>
                <w:iCs/>
                <w:color w:val="000000"/>
                <w:sz w:val="20"/>
                <w:szCs w:val="20"/>
              </w:rPr>
            </w:pPr>
            <w:r w:rsidRPr="00775072">
              <w:rPr>
                <w:i/>
                <w:color w:val="000000"/>
                <w:sz w:val="20"/>
              </w:rPr>
              <w:t>14.769 (t)</w:t>
            </w:r>
          </w:p>
        </w:tc>
      </w:tr>
      <w:tr w:rsidR="00CF76C3" w:rsidRPr="00775072" w14:paraId="044F5D43" w14:textId="77777777" w:rsidTr="00BD4C69">
        <w:trPr>
          <w:trHeight w:val="35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88CBBD9" w14:textId="05F1E06B" w:rsidR="00CF76C3" w:rsidRPr="00775072" w:rsidRDefault="00CF76C3" w:rsidP="00CF76C3">
            <w:pPr>
              <w:widowControl/>
              <w:rPr>
                <w:rFonts w:eastAsia="Times New Roman" w:cs="Calibri"/>
                <w:color w:val="000000"/>
                <w:sz w:val="20"/>
                <w:szCs w:val="20"/>
              </w:rPr>
            </w:pPr>
            <w:r w:rsidRPr="00775072">
              <w:rPr>
                <w:color w:val="000000"/>
                <w:sz w:val="20"/>
              </w:rPr>
              <w:t>Unión Europea</w:t>
            </w:r>
            <w:r w:rsidRPr="00775072">
              <w:rPr>
                <w:color w:val="000000"/>
                <w:sz w:val="20"/>
                <w:vertAlign w:val="superscript"/>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0F3420" w14:textId="2627F811"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7.408,33</w:t>
            </w:r>
          </w:p>
        </w:tc>
      </w:tr>
      <w:tr w:rsidR="00CF76C3" w:rsidRPr="00775072" w14:paraId="56540B5E" w14:textId="77777777" w:rsidTr="00BD4C69">
        <w:trPr>
          <w:trHeight w:val="27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3B97834" w14:textId="2B3B1741" w:rsidR="00CF76C3" w:rsidRPr="00775072" w:rsidRDefault="00CF76C3" w:rsidP="00CF76C3">
            <w:pPr>
              <w:widowControl/>
              <w:rPr>
                <w:rFonts w:eastAsia="Times New Roman" w:cs="Calibri"/>
                <w:color w:val="000000"/>
                <w:sz w:val="20"/>
                <w:szCs w:val="20"/>
              </w:rPr>
            </w:pPr>
            <w:r w:rsidRPr="00775072">
              <w:rPr>
                <w:color w:val="000000"/>
                <w:sz w:val="20"/>
              </w:rPr>
              <w:t>Estados Unidos</w:t>
            </w:r>
            <w:r w:rsidRPr="00775072">
              <w:rPr>
                <w:color w:val="000000"/>
                <w:sz w:val="20"/>
                <w:vertAlign w:val="superscript"/>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454AD1" w14:textId="79D7EB8E"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3.907</w:t>
            </w:r>
          </w:p>
        </w:tc>
      </w:tr>
      <w:tr w:rsidR="00CF76C3" w:rsidRPr="00775072" w14:paraId="4F949A04"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144EE03" w14:textId="03DE6331" w:rsidR="00CF76C3" w:rsidRPr="00775072" w:rsidRDefault="00CF76C3" w:rsidP="00CF76C3">
            <w:pPr>
              <w:widowControl/>
              <w:rPr>
                <w:rFonts w:eastAsia="Times New Roman" w:cs="Calibri"/>
                <w:color w:val="000000"/>
                <w:sz w:val="20"/>
                <w:szCs w:val="20"/>
              </w:rPr>
            </w:pPr>
            <w:r w:rsidRPr="00775072">
              <w:rPr>
                <w:color w:val="000000"/>
                <w:sz w:val="20"/>
              </w:rPr>
              <w:t>Canadá</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6BD343" w14:textId="748E6C5E"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1.880</w:t>
            </w:r>
          </w:p>
        </w:tc>
      </w:tr>
      <w:tr w:rsidR="00CF76C3" w:rsidRPr="00775072" w14:paraId="4B065589"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2E55BDB" w14:textId="0590038E" w:rsidR="00CF76C3" w:rsidRPr="00775072" w:rsidRDefault="00CF76C3" w:rsidP="00CF76C3">
            <w:pPr>
              <w:widowControl/>
              <w:rPr>
                <w:rFonts w:eastAsia="Times New Roman" w:cs="Calibri"/>
                <w:color w:val="000000"/>
                <w:sz w:val="20"/>
                <w:szCs w:val="20"/>
              </w:rPr>
            </w:pPr>
            <w:r w:rsidRPr="00775072">
              <w:rPr>
                <w:color w:val="000000"/>
                <w:sz w:val="20"/>
              </w:rPr>
              <w:t>Japón</w:t>
            </w:r>
            <w:r w:rsidRPr="00775072">
              <w:rPr>
                <w:color w:val="000000"/>
                <w:sz w:val="20"/>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019038" w14:textId="1B26CCD0"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842</w:t>
            </w:r>
          </w:p>
        </w:tc>
      </w:tr>
      <w:tr w:rsidR="00CF76C3" w:rsidRPr="00775072" w14:paraId="13C2E13B"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D0C5484" w14:textId="77777777" w:rsidR="00CF76C3" w:rsidRPr="00775072" w:rsidRDefault="00CF76C3" w:rsidP="00CF76C3">
            <w:pPr>
              <w:widowControl/>
              <w:rPr>
                <w:rFonts w:eastAsia="Times New Roman" w:cs="Calibri"/>
                <w:color w:val="000000"/>
                <w:sz w:val="20"/>
                <w:szCs w:val="20"/>
              </w:rPr>
            </w:pPr>
            <w:r w:rsidRPr="00775072">
              <w:rPr>
                <w:color w:val="000000"/>
                <w:sz w:val="20"/>
              </w:rPr>
              <w:t>Marruecos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132D6F" w14:textId="37D80C07"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1.186</w:t>
            </w:r>
          </w:p>
        </w:tc>
      </w:tr>
      <w:tr w:rsidR="00CF76C3" w:rsidRPr="00775072" w14:paraId="2C20A611"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647491C" w14:textId="77777777" w:rsidR="00CF76C3" w:rsidRPr="00775072" w:rsidRDefault="00CF76C3" w:rsidP="00CF76C3">
            <w:pPr>
              <w:widowControl/>
              <w:rPr>
                <w:rFonts w:eastAsia="Times New Roman" w:cs="Calibri"/>
                <w:color w:val="000000"/>
                <w:sz w:val="20"/>
                <w:szCs w:val="20"/>
              </w:rPr>
            </w:pPr>
            <w:r w:rsidRPr="00775072">
              <w:rPr>
                <w:color w:val="000000"/>
                <w:sz w:val="20"/>
              </w:rPr>
              <w:t>México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CC853F" w14:textId="2B019414"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200</w:t>
            </w:r>
          </w:p>
        </w:tc>
      </w:tr>
      <w:tr w:rsidR="00CF76C3" w:rsidRPr="00775072" w14:paraId="05EAD24B"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B8FAE64" w14:textId="77777777" w:rsidR="00CF76C3" w:rsidRPr="00775072" w:rsidRDefault="00CF76C3" w:rsidP="00CF76C3">
            <w:pPr>
              <w:widowControl/>
              <w:rPr>
                <w:rFonts w:eastAsia="Times New Roman" w:cs="Calibri"/>
                <w:color w:val="000000"/>
                <w:sz w:val="20"/>
                <w:szCs w:val="20"/>
              </w:rPr>
            </w:pPr>
            <w:r w:rsidRPr="00775072">
              <w:rPr>
                <w:color w:val="000000"/>
                <w:sz w:val="20"/>
              </w:rPr>
              <w:t>Brasil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2238D3" w14:textId="769A8054"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50</w:t>
            </w:r>
          </w:p>
        </w:tc>
      </w:tr>
      <w:tr w:rsidR="00CF76C3" w:rsidRPr="00775072" w14:paraId="75A742ED"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C924058" w14:textId="77777777" w:rsidR="00CF76C3" w:rsidRPr="00775072" w:rsidRDefault="00CF76C3" w:rsidP="00CF76C3">
            <w:pPr>
              <w:widowControl/>
              <w:rPr>
                <w:rFonts w:eastAsia="Times New Roman" w:cs="Calibri"/>
                <w:color w:val="000000"/>
                <w:sz w:val="20"/>
                <w:szCs w:val="20"/>
              </w:rPr>
            </w:pPr>
            <w:r w:rsidRPr="00775072">
              <w:rPr>
                <w:color w:val="000000"/>
                <w:sz w:val="20"/>
              </w:rPr>
              <w:t>Barbados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BB332E" w14:textId="203A1825"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45</w:t>
            </w:r>
          </w:p>
        </w:tc>
      </w:tr>
      <w:tr w:rsidR="00CF76C3" w:rsidRPr="00775072" w14:paraId="4C92A821" w14:textId="77777777" w:rsidTr="00BD4C69">
        <w:trPr>
          <w:trHeight w:val="314"/>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CBF686C" w14:textId="77777777" w:rsidR="00CF76C3" w:rsidRPr="00775072" w:rsidRDefault="00CF76C3" w:rsidP="00CF76C3">
            <w:pPr>
              <w:widowControl/>
              <w:rPr>
                <w:rFonts w:eastAsia="Times New Roman" w:cs="Calibri"/>
                <w:color w:val="000000"/>
                <w:sz w:val="20"/>
                <w:szCs w:val="20"/>
              </w:rPr>
            </w:pPr>
            <w:r w:rsidRPr="00775072">
              <w:rPr>
                <w:color w:val="000000"/>
                <w:sz w:val="20"/>
              </w:rPr>
              <w:t>Venezuela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15C77C" w14:textId="6FBD0035"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85</w:t>
            </w:r>
          </w:p>
        </w:tc>
      </w:tr>
      <w:tr w:rsidR="00CF76C3" w:rsidRPr="00775072" w14:paraId="42B6F4FA" w14:textId="77777777" w:rsidTr="00BD4C69">
        <w:trPr>
          <w:trHeight w:val="364"/>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148C9CA" w14:textId="77777777" w:rsidR="00CF76C3" w:rsidRPr="00775072" w:rsidRDefault="00CF76C3" w:rsidP="00CF76C3">
            <w:pPr>
              <w:widowControl/>
              <w:rPr>
                <w:rFonts w:eastAsia="Times New Roman" w:cs="Calibri"/>
                <w:color w:val="000000"/>
                <w:sz w:val="20"/>
                <w:szCs w:val="20"/>
              </w:rPr>
            </w:pPr>
            <w:r w:rsidRPr="00775072">
              <w:rPr>
                <w:color w:val="000000"/>
                <w:sz w:val="20"/>
              </w:rPr>
              <w:t>Trinidad y Tobago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720F04" w14:textId="40BDD702"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125</w:t>
            </w:r>
          </w:p>
        </w:tc>
      </w:tr>
      <w:tr w:rsidR="00CF76C3" w:rsidRPr="00775072" w14:paraId="61E8BAE1" w14:textId="77777777" w:rsidTr="00BD4C69">
        <w:trPr>
          <w:trHeight w:val="28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FE10391" w14:textId="77777777" w:rsidR="00CF76C3" w:rsidRPr="00775072" w:rsidRDefault="00CF76C3" w:rsidP="00CF76C3">
            <w:pPr>
              <w:widowControl/>
              <w:rPr>
                <w:rFonts w:eastAsia="Times New Roman" w:cs="Calibri"/>
                <w:color w:val="000000"/>
                <w:sz w:val="20"/>
                <w:szCs w:val="20"/>
              </w:rPr>
            </w:pPr>
            <w:r w:rsidRPr="00775072">
              <w:rPr>
                <w:color w:val="000000"/>
                <w:sz w:val="20"/>
              </w:rPr>
              <w:t>Reino Unido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52CF54" w14:textId="4BF7A4B7"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35,67</w:t>
            </w:r>
          </w:p>
        </w:tc>
      </w:tr>
      <w:tr w:rsidR="00CF76C3" w:rsidRPr="00775072" w14:paraId="61394DEF" w14:textId="77777777" w:rsidTr="00BD4C69">
        <w:trPr>
          <w:trHeight w:val="393"/>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8564333" w14:textId="77777777" w:rsidR="00CF76C3" w:rsidRPr="00775072" w:rsidRDefault="00CF76C3" w:rsidP="00CF76C3">
            <w:pPr>
              <w:widowControl/>
              <w:rPr>
                <w:rFonts w:eastAsia="Times New Roman" w:cs="Calibri"/>
                <w:color w:val="000000"/>
                <w:sz w:val="20"/>
                <w:szCs w:val="20"/>
              </w:rPr>
            </w:pPr>
            <w:r w:rsidRPr="00775072">
              <w:rPr>
                <w:color w:val="000000"/>
                <w:sz w:val="20"/>
              </w:rPr>
              <w:t xml:space="preserve">Francia (SPM)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5CBFDC" w14:textId="46733F13" w:rsidR="00CF76C3" w:rsidRPr="00775072" w:rsidRDefault="00CF76C3" w:rsidP="00CF76C3">
            <w:pPr>
              <w:widowControl/>
              <w:jc w:val="center"/>
              <w:rPr>
                <w:rFonts w:eastAsia="Times New Roman" w:cs="Calibri"/>
                <w:color w:val="000000"/>
                <w:sz w:val="20"/>
                <w:szCs w:val="20"/>
                <w:lang w:val="fr-FR"/>
              </w:rPr>
            </w:pPr>
            <w:r w:rsidRPr="00775072">
              <w:rPr>
                <w:rFonts w:eastAsia="Times New Roman" w:cs="Calibri"/>
                <w:color w:val="000000"/>
                <w:sz w:val="20"/>
                <w:szCs w:val="20"/>
                <w:lang w:val="fr-FR"/>
              </w:rPr>
              <w:t>40</w:t>
            </w:r>
          </w:p>
        </w:tc>
      </w:tr>
      <w:tr w:rsidR="00CF76C3" w:rsidRPr="00775072" w14:paraId="6265DF9D"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E6FC30E" w14:textId="77777777" w:rsidR="00CF76C3" w:rsidRPr="00775072" w:rsidRDefault="00CF76C3" w:rsidP="00CF76C3">
            <w:pPr>
              <w:widowControl/>
              <w:rPr>
                <w:rFonts w:eastAsia="Times New Roman" w:cs="Calibri"/>
                <w:color w:val="000000"/>
                <w:sz w:val="20"/>
                <w:szCs w:val="20"/>
              </w:rPr>
            </w:pPr>
            <w:r w:rsidRPr="00775072">
              <w:rPr>
                <w:color w:val="000000"/>
                <w:sz w:val="20"/>
              </w:rPr>
              <w:t>China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9AEC3E" w14:textId="4E479717"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111</w:t>
            </w:r>
          </w:p>
        </w:tc>
      </w:tr>
      <w:tr w:rsidR="00CF76C3" w:rsidRPr="00775072" w14:paraId="011F2378"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94062BF" w14:textId="77777777" w:rsidR="00CF76C3" w:rsidRPr="00775072" w:rsidRDefault="00CF76C3" w:rsidP="00CF76C3">
            <w:pPr>
              <w:widowControl/>
              <w:rPr>
                <w:rFonts w:eastAsia="Times New Roman" w:cs="Calibri"/>
                <w:color w:val="000000"/>
                <w:sz w:val="20"/>
                <w:szCs w:val="20"/>
              </w:rPr>
            </w:pPr>
            <w:r w:rsidRPr="00775072">
              <w:rPr>
                <w:color w:val="000000"/>
                <w:sz w:val="20"/>
              </w:rPr>
              <w:t>Senegal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93BFD" w14:textId="2B7C295E"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250</w:t>
            </w:r>
          </w:p>
        </w:tc>
      </w:tr>
      <w:tr w:rsidR="00CF76C3" w:rsidRPr="00775072" w14:paraId="6EDF5B7C"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2A05BCE" w14:textId="0BE530FE" w:rsidR="00CF76C3" w:rsidRPr="00775072" w:rsidRDefault="00CF76C3" w:rsidP="00CF76C3">
            <w:pPr>
              <w:widowControl/>
              <w:rPr>
                <w:rFonts w:eastAsia="Times New Roman" w:cs="Calibri"/>
                <w:color w:val="000000"/>
                <w:sz w:val="20"/>
                <w:szCs w:val="20"/>
              </w:rPr>
            </w:pPr>
            <w:r w:rsidRPr="00775072">
              <w:rPr>
                <w:color w:val="000000"/>
                <w:sz w:val="20"/>
              </w:rPr>
              <w:t>Corea</w:t>
            </w:r>
            <w:r w:rsidRPr="00775072">
              <w:rPr>
                <w:color w:val="000000"/>
                <w:sz w:val="20"/>
                <w:vertAlign w:val="superscript"/>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EEC3ED" w14:textId="554BD716"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50</w:t>
            </w:r>
          </w:p>
        </w:tc>
      </w:tr>
      <w:tr w:rsidR="00CF76C3" w:rsidRPr="00775072" w14:paraId="5BBA096D" w14:textId="77777777" w:rsidTr="00BD4C69">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9C59A5D" w14:textId="628D0BCC" w:rsidR="00CF76C3" w:rsidRPr="00775072" w:rsidRDefault="00CF76C3" w:rsidP="00CF76C3">
            <w:pPr>
              <w:widowControl/>
              <w:rPr>
                <w:rFonts w:eastAsia="Times New Roman" w:cs="Calibri"/>
                <w:color w:val="000000"/>
                <w:sz w:val="20"/>
                <w:szCs w:val="20"/>
              </w:rPr>
            </w:pPr>
            <w:r w:rsidRPr="00775072">
              <w:rPr>
                <w:color w:val="000000"/>
                <w:sz w:val="20"/>
              </w:rPr>
              <w:t>Belice</w:t>
            </w:r>
            <w:r w:rsidRPr="00775072">
              <w:rPr>
                <w:color w:val="000000"/>
                <w:sz w:val="20"/>
                <w:vertAlign w:val="superscript"/>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BF8E10" w14:textId="59873BF6"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130</w:t>
            </w:r>
          </w:p>
        </w:tc>
      </w:tr>
      <w:tr w:rsidR="00CF76C3" w:rsidRPr="00775072" w14:paraId="7FE72FC0" w14:textId="77777777" w:rsidTr="00BD4C69">
        <w:trPr>
          <w:trHeight w:val="24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B088021" w14:textId="77777777" w:rsidR="00CF76C3" w:rsidRPr="00775072" w:rsidRDefault="00CF76C3" w:rsidP="00CF76C3">
            <w:pPr>
              <w:widowControl/>
              <w:rPr>
                <w:rFonts w:eastAsia="Times New Roman" w:cs="Calibri"/>
                <w:color w:val="000000"/>
                <w:sz w:val="20"/>
                <w:szCs w:val="20"/>
              </w:rPr>
            </w:pPr>
            <w:r w:rsidRPr="00775072">
              <w:rPr>
                <w:color w:val="000000"/>
                <w:sz w:val="20"/>
              </w:rPr>
              <w:t>Côte d’Ivoire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282A2F" w14:textId="34142575"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50</w:t>
            </w:r>
          </w:p>
        </w:tc>
      </w:tr>
      <w:tr w:rsidR="00CF76C3" w:rsidRPr="00775072" w14:paraId="7C22C618" w14:textId="77777777" w:rsidTr="00BD4C69">
        <w:trPr>
          <w:trHeight w:val="301"/>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31FE16B" w14:textId="77777777" w:rsidR="00CF76C3" w:rsidRPr="00775072" w:rsidRDefault="00CF76C3" w:rsidP="00CF76C3">
            <w:pPr>
              <w:widowControl/>
              <w:rPr>
                <w:rFonts w:eastAsia="Times New Roman" w:cs="Calibri"/>
                <w:color w:val="000000"/>
                <w:sz w:val="20"/>
                <w:szCs w:val="20"/>
              </w:rPr>
            </w:pPr>
            <w:r w:rsidRPr="00775072">
              <w:rPr>
                <w:color w:val="000000"/>
                <w:sz w:val="20"/>
              </w:rPr>
              <w:t xml:space="preserve">San Vicente y Las Granadinas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17ABB3" w14:textId="03EDD239"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75</w:t>
            </w:r>
          </w:p>
        </w:tc>
      </w:tr>
      <w:tr w:rsidR="00CF76C3" w:rsidRPr="00775072" w14:paraId="64296731" w14:textId="77777777" w:rsidTr="00BD4C69">
        <w:trPr>
          <w:trHeight w:val="227"/>
          <w:jc w:val="center"/>
        </w:trPr>
        <w:tc>
          <w:tcPr>
            <w:tcW w:w="2830" w:type="dxa"/>
            <w:tcBorders>
              <w:top w:val="single" w:sz="4" w:space="0" w:color="auto"/>
              <w:left w:val="single" w:sz="4" w:space="0" w:color="auto"/>
              <w:bottom w:val="single" w:sz="4" w:space="0" w:color="auto"/>
              <w:right w:val="single" w:sz="4" w:space="0" w:color="auto"/>
            </w:tcBorders>
            <w:vAlign w:val="center"/>
          </w:tcPr>
          <w:p w14:paraId="5D167F47" w14:textId="77777777" w:rsidR="00CF76C3" w:rsidRPr="00775072" w:rsidRDefault="00CF76C3" w:rsidP="00CF76C3">
            <w:pPr>
              <w:widowControl/>
              <w:rPr>
                <w:rFonts w:eastAsia="Times New Roman" w:cs="Calibri"/>
                <w:color w:val="000000"/>
                <w:sz w:val="20"/>
                <w:szCs w:val="20"/>
              </w:rPr>
            </w:pPr>
            <w:r w:rsidRPr="00775072">
              <w:rPr>
                <w:color w:val="000000"/>
                <w:sz w:val="20"/>
              </w:rPr>
              <w:t>Costa Rica</w:t>
            </w:r>
          </w:p>
        </w:tc>
        <w:tc>
          <w:tcPr>
            <w:tcW w:w="1985" w:type="dxa"/>
            <w:tcBorders>
              <w:top w:val="single" w:sz="4" w:space="0" w:color="auto"/>
              <w:left w:val="single" w:sz="4" w:space="0" w:color="auto"/>
              <w:bottom w:val="single" w:sz="4" w:space="0" w:color="auto"/>
              <w:right w:val="single" w:sz="4" w:space="0" w:color="auto"/>
            </w:tcBorders>
            <w:vAlign w:val="center"/>
          </w:tcPr>
          <w:p w14:paraId="431DAAAC" w14:textId="55A68A94" w:rsidR="00CF76C3" w:rsidRPr="00775072" w:rsidDel="008174F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75</w:t>
            </w:r>
          </w:p>
        </w:tc>
      </w:tr>
      <w:tr w:rsidR="00CF76C3" w:rsidRPr="00775072" w14:paraId="64965C66" w14:textId="77777777" w:rsidTr="00BD4C69">
        <w:trPr>
          <w:trHeight w:val="1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368B36C" w14:textId="77777777" w:rsidR="00CF76C3" w:rsidRPr="00775072" w:rsidRDefault="00CF76C3" w:rsidP="00CF76C3">
            <w:pPr>
              <w:widowControl/>
              <w:rPr>
                <w:rFonts w:eastAsia="Times New Roman" w:cs="Calibri"/>
                <w:color w:val="000000"/>
                <w:sz w:val="20"/>
                <w:szCs w:val="20"/>
              </w:rPr>
            </w:pPr>
            <w:r w:rsidRPr="00775072">
              <w:rPr>
                <w:color w:val="000000"/>
                <w:sz w:val="20"/>
              </w:rPr>
              <w:t>Taipei Chino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B7E9F0" w14:textId="711F409B" w:rsidR="00CF76C3" w:rsidRPr="00775072" w:rsidRDefault="00CF76C3" w:rsidP="00CF76C3">
            <w:pPr>
              <w:widowControl/>
              <w:jc w:val="center"/>
              <w:rPr>
                <w:rFonts w:eastAsia="Times New Roman" w:cs="Calibri"/>
                <w:color w:val="000000"/>
                <w:sz w:val="20"/>
                <w:szCs w:val="20"/>
              </w:rPr>
            </w:pPr>
            <w:r w:rsidRPr="00775072">
              <w:rPr>
                <w:rFonts w:eastAsia="Times New Roman" w:cs="Calibri"/>
                <w:color w:val="000000"/>
                <w:sz w:val="20"/>
                <w:szCs w:val="20"/>
              </w:rPr>
              <w:t>270</w:t>
            </w:r>
          </w:p>
        </w:tc>
      </w:tr>
    </w:tbl>
    <w:p w14:paraId="454203C4" w14:textId="25E00722" w:rsidR="002949E9" w:rsidRPr="00775072" w:rsidRDefault="00C02F1B" w:rsidP="00C02F1B">
      <w:pPr>
        <w:pBdr>
          <w:top w:val="nil"/>
          <w:left w:val="nil"/>
          <w:bottom w:val="nil"/>
          <w:right w:val="nil"/>
          <w:between w:val="nil"/>
        </w:pBdr>
        <w:spacing w:before="1"/>
        <w:ind w:left="993"/>
        <w:jc w:val="both"/>
        <w:rPr>
          <w:color w:val="000000"/>
          <w:sz w:val="16"/>
          <w:szCs w:val="16"/>
        </w:rPr>
      </w:pPr>
      <w:r w:rsidRPr="00775072">
        <w:rPr>
          <w:color w:val="000000"/>
          <w:sz w:val="16"/>
          <w:szCs w:val="16"/>
        </w:rPr>
        <w:t xml:space="preserve">Si Liberia presenta un plan de pesca que describa claramente su pesquería de pez espada del Atlántico norte para que la Subcomisión 4 lo </w:t>
      </w:r>
      <w:r w:rsidR="00AB4FE0" w:rsidRPr="00775072">
        <w:rPr>
          <w:color w:val="000000"/>
          <w:sz w:val="16"/>
          <w:szCs w:val="16"/>
        </w:rPr>
        <w:t>examine</w:t>
      </w:r>
      <w:r w:rsidRPr="00775072">
        <w:rPr>
          <w:color w:val="000000"/>
          <w:sz w:val="16"/>
          <w:szCs w:val="16"/>
        </w:rPr>
        <w:t xml:space="preserve"> en la reunión anual de 2025, las necesidades de límite de captura de Liberia se evaluarán entonces para su inclusión en la tabla de asignación del párrafo 7 para 2026 y 2027.</w:t>
      </w:r>
    </w:p>
    <w:p w14:paraId="798DA099" w14:textId="77777777" w:rsidR="00FD0A46" w:rsidRPr="00775072" w:rsidRDefault="00FD0A46" w:rsidP="00C02F1B">
      <w:pPr>
        <w:pBdr>
          <w:top w:val="nil"/>
          <w:left w:val="nil"/>
          <w:bottom w:val="nil"/>
          <w:right w:val="nil"/>
          <w:between w:val="nil"/>
        </w:pBdr>
        <w:spacing w:before="1"/>
        <w:ind w:left="993"/>
        <w:jc w:val="both"/>
        <w:rPr>
          <w:color w:val="000000"/>
          <w:sz w:val="16"/>
          <w:szCs w:val="16"/>
        </w:rPr>
      </w:pPr>
    </w:p>
    <w:p w14:paraId="28B8E0CB" w14:textId="77777777" w:rsidR="00FD0A46" w:rsidRPr="00775072" w:rsidRDefault="002949E9" w:rsidP="00FD0A46">
      <w:pPr>
        <w:ind w:left="720" w:right="849" w:firstLine="273"/>
        <w:rPr>
          <w:sz w:val="16"/>
        </w:rPr>
      </w:pPr>
      <w:r w:rsidRPr="00775072">
        <w:rPr>
          <w:sz w:val="16"/>
        </w:rPr>
        <w:t>* Se autorizarán las siguientes transferencias de límites de captur</w:t>
      </w:r>
      <w:r w:rsidR="0078073D" w:rsidRPr="00775072">
        <w:rPr>
          <w:sz w:val="16"/>
        </w:rPr>
        <w:t>a a</w:t>
      </w:r>
      <w:r w:rsidRPr="00775072">
        <w:rPr>
          <w:sz w:val="16"/>
        </w:rPr>
        <w:t xml:space="preserve">nuales: </w:t>
      </w:r>
    </w:p>
    <w:p w14:paraId="109754D7" w14:textId="260F017D" w:rsidR="002949E9" w:rsidRPr="00775072" w:rsidRDefault="002949E9" w:rsidP="00FD0A46">
      <w:pPr>
        <w:ind w:left="1100" w:right="849" w:firstLine="720"/>
        <w:rPr>
          <w:sz w:val="16"/>
          <w:szCs w:val="16"/>
        </w:rPr>
      </w:pPr>
      <w:r w:rsidRPr="00775072">
        <w:rPr>
          <w:sz w:val="16"/>
        </w:rPr>
        <w:t>De Japón a Marruecos: 150 t.</w:t>
      </w:r>
    </w:p>
    <w:p w14:paraId="1389FD84" w14:textId="2DACCBEA" w:rsidR="002949E9" w:rsidRPr="00775072" w:rsidRDefault="002949E9" w:rsidP="002949E9">
      <w:pPr>
        <w:spacing w:before="1" w:line="187" w:lineRule="auto"/>
        <w:ind w:left="1820"/>
        <w:rPr>
          <w:sz w:val="16"/>
          <w:szCs w:val="16"/>
        </w:rPr>
      </w:pPr>
      <w:r w:rsidRPr="00775072">
        <w:rPr>
          <w:sz w:val="16"/>
        </w:rPr>
        <w:t>De la UE a Francia (San Pedro y Miquelón): 40 t.</w:t>
      </w:r>
    </w:p>
    <w:p w14:paraId="1BA7D159" w14:textId="13078224" w:rsidR="001B46AE" w:rsidRPr="00775072" w:rsidRDefault="002949E9" w:rsidP="002949E9">
      <w:pPr>
        <w:ind w:left="1820" w:right="4254"/>
        <w:rPr>
          <w:sz w:val="16"/>
          <w:szCs w:val="16"/>
        </w:rPr>
      </w:pPr>
      <w:r w:rsidRPr="00775072">
        <w:rPr>
          <w:sz w:val="16"/>
        </w:rPr>
        <w:t>De Trinidad y Tobago a Belice: 75 t.</w:t>
      </w:r>
    </w:p>
    <w:p w14:paraId="2443DD34" w14:textId="19E6ECA0" w:rsidR="002949E9" w:rsidRPr="00775072" w:rsidRDefault="002949E9" w:rsidP="002949E9">
      <w:pPr>
        <w:ind w:left="1820" w:right="1110"/>
        <w:jc w:val="both"/>
        <w:rPr>
          <w:sz w:val="16"/>
          <w:szCs w:val="16"/>
        </w:rPr>
      </w:pPr>
      <w:r w:rsidRPr="00775072">
        <w:rPr>
          <w:sz w:val="16"/>
        </w:rPr>
        <w:t xml:space="preserve">De Japón y Senegal a Mauritania: 25 t cada uno hasta un total de </w:t>
      </w:r>
      <w:r w:rsidR="00CF76C3" w:rsidRPr="00775072">
        <w:rPr>
          <w:sz w:val="16"/>
        </w:rPr>
        <w:t>50 </w:t>
      </w:r>
      <w:r w:rsidRPr="00775072">
        <w:rPr>
          <w:sz w:val="16"/>
        </w:rPr>
        <w:t xml:space="preserve">t, a condición de que Mauritania presente su plan de desarrollo conforme al párrafo 10 de esta Recomendación. Si no </w:t>
      </w:r>
      <w:r w:rsidR="00020E25" w:rsidRPr="00775072">
        <w:rPr>
          <w:sz w:val="16"/>
        </w:rPr>
        <w:t>se presenta</w:t>
      </w:r>
      <w:r w:rsidRPr="00775072">
        <w:rPr>
          <w:sz w:val="16"/>
        </w:rPr>
        <w:t xml:space="preserve"> un plan de desarrollo, estas transferencias se considerarán anuladas. Las futuras decisiones respecto al acceso de Mauritania a la pesquería de pez espada del Atlántico norte dependerán de la presentación de su plan de desarrollo.</w:t>
      </w:r>
    </w:p>
    <w:p w14:paraId="5A89D334" w14:textId="7B3E53A6" w:rsidR="002949E9" w:rsidRPr="00775072" w:rsidRDefault="002949E9" w:rsidP="002949E9">
      <w:pPr>
        <w:ind w:left="1820" w:right="1110"/>
        <w:jc w:val="both"/>
        <w:rPr>
          <w:sz w:val="16"/>
        </w:rPr>
      </w:pPr>
      <w:r w:rsidRPr="00775072">
        <w:rPr>
          <w:sz w:val="16"/>
        </w:rPr>
        <w:t>De Trinidad y Tobago a Marruecos: 25 t.</w:t>
      </w:r>
    </w:p>
    <w:p w14:paraId="4C4382B7" w14:textId="79E83859" w:rsidR="0027396B" w:rsidRPr="00775072" w:rsidRDefault="0027396B" w:rsidP="002949E9">
      <w:pPr>
        <w:ind w:left="1820" w:right="1110"/>
        <w:jc w:val="both"/>
        <w:rPr>
          <w:sz w:val="16"/>
          <w:szCs w:val="16"/>
        </w:rPr>
      </w:pPr>
      <w:r w:rsidRPr="00775072">
        <w:rPr>
          <w:sz w:val="16"/>
          <w:szCs w:val="16"/>
        </w:rPr>
        <w:t>De Estados Unidos a Costa Rica: 300 t en 2025.</w:t>
      </w:r>
    </w:p>
    <w:p w14:paraId="055E66E6" w14:textId="77777777" w:rsidR="00EB13C6" w:rsidRPr="00775072" w:rsidRDefault="00EB13C6" w:rsidP="00616984">
      <w:pPr>
        <w:ind w:left="1345"/>
        <w:rPr>
          <w:sz w:val="16"/>
        </w:rPr>
      </w:pPr>
    </w:p>
    <w:p w14:paraId="0233108D" w14:textId="2E5FDC31" w:rsidR="002949E9" w:rsidRPr="00775072" w:rsidRDefault="002949E9" w:rsidP="00C8642C">
      <w:pPr>
        <w:ind w:left="1345"/>
        <w:jc w:val="both"/>
        <w:rPr>
          <w:sz w:val="16"/>
          <w:szCs w:val="16"/>
        </w:rPr>
      </w:pPr>
      <w:r w:rsidRPr="00775072">
        <w:rPr>
          <w:sz w:val="16"/>
        </w:rPr>
        <w:t>Estas transferencias no modifican las asignaciones relativas de las CPC reflejadas en los límites de captura anteriores.</w:t>
      </w:r>
    </w:p>
    <w:p w14:paraId="7C0EB09C" w14:textId="77777777" w:rsidR="002949E9" w:rsidRPr="00775072" w:rsidRDefault="002949E9" w:rsidP="00616984">
      <w:pPr>
        <w:ind w:left="1345"/>
        <w:rPr>
          <w:sz w:val="16"/>
          <w:szCs w:val="16"/>
        </w:rPr>
      </w:pPr>
    </w:p>
    <w:p w14:paraId="5A9A4423" w14:textId="3DC4F01C" w:rsidR="002949E9" w:rsidRPr="00775072" w:rsidRDefault="002949E9" w:rsidP="0079595C">
      <w:pPr>
        <w:ind w:left="1560" w:right="-1" w:hanging="170"/>
        <w:jc w:val="both"/>
        <w:rPr>
          <w:sz w:val="16"/>
        </w:rPr>
      </w:pPr>
      <w:r w:rsidRPr="00775072">
        <w:rPr>
          <w:sz w:val="16"/>
          <w:vertAlign w:val="superscript"/>
        </w:rPr>
        <w:t xml:space="preserve">1 </w:t>
      </w:r>
      <w:r w:rsidR="0079595C" w:rsidRPr="00775072">
        <w:rPr>
          <w:sz w:val="16"/>
          <w:vertAlign w:val="superscript"/>
        </w:rPr>
        <w:tab/>
      </w:r>
      <w:r w:rsidRPr="00775072">
        <w:rPr>
          <w:sz w:val="16"/>
        </w:rPr>
        <w:t>Se autorizará a la Unión Europea a contabilizar hasta 200 t de su captura de pez espada en la zona de ordenación del Atlántico sur en compensación por la parte no capturada de su límite de captura de pez espada del Atlántico norte.</w:t>
      </w:r>
    </w:p>
    <w:p w14:paraId="76309D95" w14:textId="77777777" w:rsidR="0079595C" w:rsidRPr="00775072" w:rsidRDefault="0079595C" w:rsidP="0079595C">
      <w:pPr>
        <w:ind w:left="1560" w:right="-1" w:hanging="170"/>
        <w:jc w:val="both"/>
        <w:rPr>
          <w:sz w:val="16"/>
          <w:szCs w:val="16"/>
        </w:rPr>
      </w:pPr>
    </w:p>
    <w:p w14:paraId="668393A2" w14:textId="473C3857" w:rsidR="002949E9" w:rsidRPr="00775072" w:rsidRDefault="002949E9" w:rsidP="0079595C">
      <w:pPr>
        <w:ind w:left="1560" w:right="-1" w:hanging="170"/>
        <w:jc w:val="both"/>
        <w:rPr>
          <w:sz w:val="16"/>
          <w:szCs w:val="16"/>
        </w:rPr>
      </w:pPr>
      <w:r w:rsidRPr="00775072">
        <w:rPr>
          <w:sz w:val="16"/>
          <w:vertAlign w:val="superscript"/>
        </w:rPr>
        <w:t xml:space="preserve">2 </w:t>
      </w:r>
      <w:r w:rsidRPr="00775072">
        <w:rPr>
          <w:sz w:val="16"/>
        </w:rPr>
        <w:t xml:space="preserve"> </w:t>
      </w:r>
      <w:r w:rsidR="0079595C" w:rsidRPr="00775072">
        <w:rPr>
          <w:sz w:val="16"/>
        </w:rPr>
        <w:tab/>
      </w:r>
      <w:r w:rsidRPr="00775072">
        <w:rPr>
          <w:sz w:val="16"/>
        </w:rPr>
        <w:t>Se autorizará a Estados Unidos a contabilizar hasta 200 t de su captura de pez espada en la zona entre 5° latitud norte y 5°latitud sur en compensación por la parte no capturada de su límite de captura de pez espada del Atlántico norte.</w:t>
      </w:r>
    </w:p>
    <w:p w14:paraId="60C38A16" w14:textId="77777777" w:rsidR="002949E9" w:rsidRPr="00775072" w:rsidRDefault="002949E9" w:rsidP="00616984">
      <w:pPr>
        <w:ind w:left="1388" w:right="929"/>
        <w:jc w:val="both"/>
        <w:rPr>
          <w:sz w:val="16"/>
          <w:szCs w:val="16"/>
        </w:rPr>
      </w:pPr>
    </w:p>
    <w:p w14:paraId="48955ED6" w14:textId="7B725D2A" w:rsidR="002949E9" w:rsidRPr="00775072" w:rsidRDefault="002949E9" w:rsidP="0079595C">
      <w:pPr>
        <w:ind w:left="1560" w:right="-1" w:hanging="284"/>
        <w:jc w:val="both"/>
        <w:rPr>
          <w:sz w:val="16"/>
          <w:szCs w:val="16"/>
        </w:rPr>
      </w:pPr>
      <w:r w:rsidRPr="00775072">
        <w:rPr>
          <w:sz w:val="16"/>
          <w:vertAlign w:val="superscript"/>
        </w:rPr>
        <w:lastRenderedPageBreak/>
        <w:t>3</w:t>
      </w:r>
      <w:r w:rsidRPr="00775072">
        <w:rPr>
          <w:sz w:val="16"/>
        </w:rPr>
        <w:t xml:space="preserve"> </w:t>
      </w:r>
      <w:r w:rsidR="0079595C" w:rsidRPr="00775072">
        <w:rPr>
          <w:sz w:val="16"/>
        </w:rPr>
        <w:tab/>
      </w:r>
      <w:r w:rsidRPr="00775072">
        <w:rPr>
          <w:sz w:val="16"/>
        </w:rPr>
        <w:t>Se autorizará a Japón a contabilizar hasta 400 t de su captura de pez espada en la zona de ordenación del Atlántico sur en compensación por la parte no capturada de su límite de captura de pez espada del Atlántico norte.</w:t>
      </w:r>
    </w:p>
    <w:p w14:paraId="2564005A" w14:textId="77777777" w:rsidR="002949E9" w:rsidRPr="00775072" w:rsidRDefault="002949E9" w:rsidP="00616984">
      <w:pPr>
        <w:ind w:left="1406" w:right="929" w:hanging="61"/>
        <w:jc w:val="both"/>
        <w:rPr>
          <w:sz w:val="16"/>
          <w:szCs w:val="16"/>
        </w:rPr>
      </w:pPr>
    </w:p>
    <w:p w14:paraId="21612F37" w14:textId="4B902D73" w:rsidR="00104B24" w:rsidRPr="00775072" w:rsidRDefault="00104B24" w:rsidP="0079595C">
      <w:pPr>
        <w:ind w:left="1560" w:right="-1" w:hanging="284"/>
        <w:jc w:val="both"/>
        <w:rPr>
          <w:sz w:val="16"/>
          <w:szCs w:val="16"/>
        </w:rPr>
      </w:pPr>
      <w:r w:rsidRPr="00775072">
        <w:rPr>
          <w:sz w:val="16"/>
          <w:vertAlign w:val="superscript"/>
        </w:rPr>
        <w:t xml:space="preserve">4 </w:t>
      </w:r>
      <w:r w:rsidRPr="00775072">
        <w:rPr>
          <w:sz w:val="16"/>
        </w:rPr>
        <w:t xml:space="preserve"> </w:t>
      </w:r>
      <w:r w:rsidR="0079595C" w:rsidRPr="00775072">
        <w:rPr>
          <w:sz w:val="16"/>
        </w:rPr>
        <w:tab/>
      </w:r>
      <w:r w:rsidRPr="00775072">
        <w:rPr>
          <w:sz w:val="16"/>
        </w:rPr>
        <w:t>Se autorizará a Corea a contabilizar hasta 25 t de su captura de pez espada en la zona de ordenación del Atlántico sur en compensación por la parte no capturada de su límite de captura del Atlántico norte.</w:t>
      </w:r>
    </w:p>
    <w:p w14:paraId="36686B4E" w14:textId="77777777" w:rsidR="00104B24" w:rsidRPr="00775072" w:rsidRDefault="00104B24" w:rsidP="00616984">
      <w:pPr>
        <w:ind w:left="1406" w:right="-1" w:hanging="61"/>
        <w:jc w:val="both"/>
        <w:rPr>
          <w:sz w:val="16"/>
          <w:vertAlign w:val="superscript"/>
        </w:rPr>
      </w:pPr>
    </w:p>
    <w:p w14:paraId="086E308D" w14:textId="3A02EBA7" w:rsidR="002949E9" w:rsidRPr="00775072" w:rsidRDefault="00104B24" w:rsidP="0079595C">
      <w:pPr>
        <w:ind w:left="1560" w:right="-1" w:hanging="284"/>
        <w:jc w:val="both"/>
        <w:rPr>
          <w:sz w:val="16"/>
        </w:rPr>
      </w:pPr>
      <w:r w:rsidRPr="00775072">
        <w:rPr>
          <w:sz w:val="16"/>
          <w:vertAlign w:val="superscript"/>
        </w:rPr>
        <w:t>5</w:t>
      </w:r>
      <w:r w:rsidR="002949E9" w:rsidRPr="00775072">
        <w:rPr>
          <w:sz w:val="16"/>
        </w:rPr>
        <w:t xml:space="preserve"> </w:t>
      </w:r>
      <w:r w:rsidR="0079595C" w:rsidRPr="00775072">
        <w:rPr>
          <w:sz w:val="16"/>
        </w:rPr>
        <w:tab/>
      </w:r>
      <w:r w:rsidR="002949E9" w:rsidRPr="00775072">
        <w:rPr>
          <w:sz w:val="16"/>
        </w:rPr>
        <w:t>Se autorizará a Belice a contabilizar hasta 75 t de su captura de pez espada en la zona entre 5° latitud norte y 5° latitud sur en compensación por la parte no capturada de su límite de captura de pez espada del Atlántico norte.</w:t>
      </w:r>
    </w:p>
    <w:p w14:paraId="12E51ADD" w14:textId="77777777" w:rsidR="00104B24" w:rsidRPr="00775072" w:rsidRDefault="00104B24" w:rsidP="00616984">
      <w:pPr>
        <w:ind w:left="1406" w:right="-1" w:hanging="61"/>
        <w:jc w:val="both"/>
        <w:rPr>
          <w:sz w:val="16"/>
          <w:szCs w:val="16"/>
        </w:rPr>
      </w:pPr>
    </w:p>
    <w:p w14:paraId="421CECE0" w14:textId="77777777" w:rsidR="002949E9" w:rsidRPr="00775072" w:rsidRDefault="002949E9" w:rsidP="002949E9">
      <w:pPr>
        <w:pBdr>
          <w:top w:val="nil"/>
          <w:left w:val="nil"/>
          <w:bottom w:val="nil"/>
          <w:right w:val="nil"/>
          <w:between w:val="nil"/>
        </w:pBdr>
        <w:rPr>
          <w:color w:val="000000"/>
          <w:sz w:val="20"/>
          <w:szCs w:val="20"/>
        </w:rPr>
      </w:pPr>
    </w:p>
    <w:p w14:paraId="6AB81D79" w14:textId="42BADD0E" w:rsidR="002949E9" w:rsidRPr="00775072"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775072">
        <w:rPr>
          <w:color w:val="000000"/>
          <w:sz w:val="20"/>
        </w:rPr>
        <w:t xml:space="preserve">No obstante la </w:t>
      </w:r>
      <w:r w:rsidRPr="00775072">
        <w:rPr>
          <w:i/>
          <w:iCs/>
          <w:color w:val="000000"/>
          <w:sz w:val="20"/>
        </w:rPr>
        <w:t>Recomendación de ICCAT relativa al ajuste temporal de cuotas</w:t>
      </w:r>
      <w:r w:rsidRPr="00775072">
        <w:rPr>
          <w:color w:val="000000"/>
          <w:sz w:val="20"/>
        </w:rPr>
        <w:t xml:space="preserve"> </w:t>
      </w:r>
      <w:r w:rsidR="00703E86" w:rsidRPr="00775072">
        <w:rPr>
          <w:color w:val="000000"/>
          <w:sz w:val="20"/>
        </w:rPr>
        <w:t>(</w:t>
      </w:r>
      <w:r w:rsidRPr="00775072">
        <w:rPr>
          <w:color w:val="000000"/>
          <w:sz w:val="20"/>
        </w:rPr>
        <w:t>Rec. 01-12</w:t>
      </w:r>
      <w:r w:rsidR="00703E86" w:rsidRPr="00775072">
        <w:rPr>
          <w:color w:val="000000"/>
          <w:sz w:val="20"/>
        </w:rPr>
        <w:t>)</w:t>
      </w:r>
      <w:r w:rsidRPr="00775072">
        <w:rPr>
          <w:color w:val="000000"/>
          <w:sz w:val="20"/>
        </w:rPr>
        <w:t>, durante el periodo intersesiones de la Comisión, una CPC con una asignación de TAC de pez espada del Atlántico norte, de conformidad con el párrafo 7, puede hacer una transferencia en una sola vez dentro de un año pesquero de hasta el 15 % de su asignación de TAC a otras CPC con asignaciones de TAC, en consonancia con sus obligaciones nacionales y con las consideraciones de conservación. Dicha transferencia no puede utilizarse para cubrir excesos de capturas. Una CPC que reciba una transferencia de límite de captura en una sola vez no puede volver a transferir dicho límite de captura.</w:t>
      </w:r>
    </w:p>
    <w:p w14:paraId="344F8B77" w14:textId="77777777" w:rsidR="002949E9" w:rsidRPr="00775072" w:rsidRDefault="002949E9" w:rsidP="002949E9">
      <w:pPr>
        <w:tabs>
          <w:tab w:val="left" w:pos="542"/>
          <w:tab w:val="left" w:pos="544"/>
        </w:tabs>
        <w:ind w:left="544" w:right="116"/>
        <w:jc w:val="both"/>
        <w:rPr>
          <w:sz w:val="20"/>
          <w:szCs w:val="20"/>
        </w:rPr>
      </w:pPr>
    </w:p>
    <w:p w14:paraId="6AA62C45" w14:textId="1B9E3834" w:rsidR="002949E9" w:rsidRPr="00775072"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775072">
        <w:rPr>
          <w:color w:val="000000"/>
          <w:sz w:val="20"/>
        </w:rPr>
        <w:t xml:space="preserve">Al fijar los límites de capturas en virtud del TAC descrito en el párrafo 8, la Comisión tendrá en cuenta la </w:t>
      </w:r>
      <w:r w:rsidRPr="00775072">
        <w:rPr>
          <w:i/>
          <w:iCs/>
          <w:color w:val="000000"/>
          <w:sz w:val="20"/>
        </w:rPr>
        <w:t xml:space="preserve">Resolución de ICCAT sobre criterios para la asignación de posibilidades de pesca </w:t>
      </w:r>
      <w:r w:rsidRPr="00775072">
        <w:rPr>
          <w:color w:val="000000"/>
          <w:sz w:val="20"/>
        </w:rPr>
        <w:t xml:space="preserve">(Res. 15-13). En apoyo de estos esfuerzos, la Comisión considerará los planes de desarrollo/ordenación de las CPC costeras en desarrollo y los planes de </w:t>
      </w:r>
      <w:r w:rsidR="005304ED" w:rsidRPr="00775072">
        <w:rPr>
          <w:color w:val="000000"/>
          <w:sz w:val="20"/>
        </w:rPr>
        <w:t>pesca</w:t>
      </w:r>
      <w:r w:rsidRPr="00775072">
        <w:rPr>
          <w:color w:val="000000"/>
          <w:sz w:val="20"/>
        </w:rPr>
        <w:t>/</w:t>
      </w:r>
      <w:r w:rsidR="005304ED" w:rsidRPr="00775072">
        <w:rPr>
          <w:color w:val="000000"/>
          <w:sz w:val="20"/>
        </w:rPr>
        <w:t>ordenación</w:t>
      </w:r>
      <w:r w:rsidRPr="00775072">
        <w:rPr>
          <w:color w:val="000000"/>
          <w:sz w:val="20"/>
        </w:rPr>
        <w:t xml:space="preserve"> de otras CPC con el fin de que puedan hacerse ajustes a los límites de captura existentes y a otras medidas de conservación, si procede. En caso de una modificación de su plan de </w:t>
      </w:r>
      <w:r w:rsidR="00D852EC" w:rsidRPr="00775072">
        <w:rPr>
          <w:color w:val="000000"/>
          <w:sz w:val="20"/>
        </w:rPr>
        <w:t>pesca</w:t>
      </w:r>
      <w:r w:rsidRPr="00775072">
        <w:rPr>
          <w:color w:val="000000"/>
          <w:sz w:val="20"/>
        </w:rPr>
        <w:t>/</w:t>
      </w:r>
      <w:r w:rsidR="00D852EC" w:rsidRPr="00775072">
        <w:rPr>
          <w:color w:val="000000"/>
          <w:sz w:val="20"/>
        </w:rPr>
        <w:t>ordenación</w:t>
      </w:r>
      <w:r w:rsidRPr="00775072">
        <w:rPr>
          <w:color w:val="000000"/>
          <w:sz w:val="20"/>
        </w:rPr>
        <w:t xml:space="preserve">, cada CPC presentará la versión actualizada de su plan de </w:t>
      </w:r>
      <w:r w:rsidR="00936710" w:rsidRPr="00775072">
        <w:rPr>
          <w:color w:val="000000"/>
          <w:sz w:val="20"/>
        </w:rPr>
        <w:t>pesca</w:t>
      </w:r>
      <w:r w:rsidRPr="00775072">
        <w:rPr>
          <w:color w:val="000000"/>
          <w:sz w:val="20"/>
        </w:rPr>
        <w:t>/</w:t>
      </w:r>
      <w:r w:rsidR="00936710" w:rsidRPr="00775072">
        <w:rPr>
          <w:color w:val="000000"/>
          <w:sz w:val="20"/>
        </w:rPr>
        <w:t>ordenación</w:t>
      </w:r>
      <w:r w:rsidRPr="00775072">
        <w:rPr>
          <w:color w:val="000000"/>
          <w:sz w:val="20"/>
        </w:rPr>
        <w:t xml:space="preserve"> a la Comisión a más tardar el 15 septiembre.</w:t>
      </w:r>
    </w:p>
    <w:p w14:paraId="03FD3D52" w14:textId="77777777" w:rsidR="002949E9" w:rsidRPr="00775072" w:rsidRDefault="002949E9" w:rsidP="002949E9">
      <w:pPr>
        <w:pBdr>
          <w:top w:val="nil"/>
          <w:left w:val="nil"/>
          <w:bottom w:val="nil"/>
          <w:right w:val="nil"/>
          <w:between w:val="nil"/>
        </w:pBdr>
        <w:tabs>
          <w:tab w:val="left" w:pos="388"/>
        </w:tabs>
        <w:ind w:right="121"/>
        <w:rPr>
          <w:b/>
          <w:i/>
          <w:sz w:val="20"/>
          <w:szCs w:val="20"/>
        </w:rPr>
      </w:pPr>
    </w:p>
    <w:p w14:paraId="252615A2" w14:textId="77777777" w:rsidR="002949E9" w:rsidRPr="00775072" w:rsidRDefault="002949E9" w:rsidP="002949E9">
      <w:pPr>
        <w:pBdr>
          <w:top w:val="nil"/>
          <w:left w:val="nil"/>
          <w:bottom w:val="nil"/>
          <w:right w:val="nil"/>
          <w:between w:val="nil"/>
        </w:pBdr>
        <w:tabs>
          <w:tab w:val="left" w:pos="388"/>
        </w:tabs>
        <w:ind w:right="121"/>
        <w:rPr>
          <w:b/>
          <w:sz w:val="20"/>
          <w:szCs w:val="20"/>
        </w:rPr>
      </w:pPr>
      <w:r w:rsidRPr="00775072">
        <w:rPr>
          <w:b/>
          <w:sz w:val="20"/>
        </w:rPr>
        <w:t>Remanente o exceso de capturas</w:t>
      </w:r>
    </w:p>
    <w:p w14:paraId="4118AD16" w14:textId="77777777" w:rsidR="002949E9" w:rsidRPr="00775072" w:rsidRDefault="002949E9" w:rsidP="002949E9">
      <w:pPr>
        <w:pBdr>
          <w:top w:val="nil"/>
          <w:left w:val="nil"/>
          <w:bottom w:val="nil"/>
          <w:right w:val="nil"/>
          <w:between w:val="nil"/>
        </w:pBdr>
        <w:tabs>
          <w:tab w:val="left" w:pos="388"/>
        </w:tabs>
        <w:ind w:right="121"/>
        <w:rPr>
          <w:color w:val="000000"/>
          <w:sz w:val="20"/>
          <w:szCs w:val="20"/>
        </w:rPr>
      </w:pPr>
    </w:p>
    <w:p w14:paraId="6AB4F889" w14:textId="42F6BFC0" w:rsidR="000E5BA7" w:rsidRPr="00775072"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rPr>
      </w:pPr>
      <w:r w:rsidRPr="00775072">
        <w:rPr>
          <w:color w:val="000000"/>
          <w:sz w:val="20"/>
        </w:rPr>
        <w:t>Si la captura anual de cualquier año supera el TAC especificado en el párrafo 4, las CPC que hayan superado sus límites de captura individuales devolverán su exceso de captura de conformidad con el párrafo 1</w:t>
      </w:r>
      <w:r w:rsidR="00FA554F" w:rsidRPr="00775072">
        <w:rPr>
          <w:color w:val="000000"/>
          <w:sz w:val="20"/>
        </w:rPr>
        <w:t>1</w:t>
      </w:r>
      <w:r w:rsidRPr="00775072">
        <w:rPr>
          <w:color w:val="000000"/>
          <w:sz w:val="20"/>
        </w:rPr>
        <w:t>. Cualquier cantidad de exceso de capturas que quede después de dicho ajuste se deducirá de los límites de captura anuales de todas las CPC, dos años después del año en que se produjo el exceso, a prorrata de los límites de captura del párrafo 7. La Comisión también podrá considerar la necesidad de adoptar otras medidas, incluso teniendo en cuenta cualquier asesoramiento del SCRS en virtud de su evaluación de la existencia de circunstancias excepcionales.</w:t>
      </w:r>
    </w:p>
    <w:p w14:paraId="3BAF8DEA" w14:textId="77777777" w:rsidR="002949E9" w:rsidRPr="00775072" w:rsidRDefault="002949E9" w:rsidP="002949E9">
      <w:pPr>
        <w:pBdr>
          <w:top w:val="nil"/>
          <w:left w:val="nil"/>
          <w:bottom w:val="nil"/>
          <w:right w:val="nil"/>
          <w:between w:val="nil"/>
        </w:pBdr>
        <w:tabs>
          <w:tab w:val="left" w:pos="388"/>
        </w:tabs>
        <w:ind w:right="121"/>
        <w:rPr>
          <w:sz w:val="20"/>
          <w:szCs w:val="20"/>
        </w:rPr>
      </w:pPr>
    </w:p>
    <w:p w14:paraId="58E4244C" w14:textId="77777777" w:rsidR="002949E9" w:rsidRPr="00775072"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775072">
        <w:rPr>
          <w:color w:val="000000"/>
          <w:sz w:val="20"/>
        </w:rPr>
        <w:t>Cualquier proporción no utilizada o que supere la cuota anual ajustada, se puede añadir a o se deducirá de, según el caso, la cuota/límite de captura respectivo, durante o antes del año de ajuste, de la siguiente forma:</w:t>
      </w:r>
    </w:p>
    <w:p w14:paraId="66D7010C" w14:textId="77777777" w:rsidR="00534471" w:rsidRPr="00775072" w:rsidRDefault="00534471" w:rsidP="00534471">
      <w:pPr>
        <w:pBdr>
          <w:top w:val="nil"/>
          <w:left w:val="nil"/>
          <w:bottom w:val="nil"/>
          <w:right w:val="nil"/>
          <w:between w:val="nil"/>
        </w:pBdr>
        <w:tabs>
          <w:tab w:val="left" w:pos="836"/>
          <w:tab w:val="left" w:pos="838"/>
        </w:tabs>
        <w:ind w:left="544" w:right="123"/>
        <w:jc w:val="both"/>
        <w:rPr>
          <w:color w:val="000000"/>
          <w:sz w:val="20"/>
          <w:szCs w:val="20"/>
        </w:rPr>
      </w:pPr>
    </w:p>
    <w:tbl>
      <w:tblPr>
        <w:tblW w:w="3812" w:type="dxa"/>
        <w:tblInd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12"/>
        <w:gridCol w:w="1700"/>
      </w:tblGrid>
      <w:tr w:rsidR="002949E9" w:rsidRPr="00775072" w14:paraId="1A48580F" w14:textId="77777777" w:rsidTr="00E35D5E">
        <w:trPr>
          <w:trHeight w:val="240"/>
        </w:trPr>
        <w:tc>
          <w:tcPr>
            <w:tcW w:w="2112" w:type="dxa"/>
          </w:tcPr>
          <w:p w14:paraId="43514CBA" w14:textId="77777777" w:rsidR="002949E9" w:rsidRPr="00775072" w:rsidRDefault="002949E9" w:rsidP="00BD4C69">
            <w:pPr>
              <w:pBdr>
                <w:top w:val="nil"/>
                <w:left w:val="nil"/>
                <w:bottom w:val="nil"/>
                <w:right w:val="nil"/>
                <w:between w:val="nil"/>
              </w:pBdr>
              <w:ind w:left="395" w:right="387"/>
              <w:jc w:val="center"/>
              <w:rPr>
                <w:i/>
                <w:color w:val="000000"/>
                <w:sz w:val="20"/>
                <w:szCs w:val="20"/>
              </w:rPr>
            </w:pPr>
            <w:r w:rsidRPr="00775072">
              <w:rPr>
                <w:i/>
                <w:color w:val="000000"/>
                <w:sz w:val="20"/>
              </w:rPr>
              <w:t>Año de captura</w:t>
            </w:r>
          </w:p>
        </w:tc>
        <w:tc>
          <w:tcPr>
            <w:tcW w:w="1700" w:type="dxa"/>
          </w:tcPr>
          <w:p w14:paraId="20F96299" w14:textId="77777777" w:rsidR="002949E9" w:rsidRPr="00775072" w:rsidRDefault="002949E9" w:rsidP="00BD4C69">
            <w:pPr>
              <w:pBdr>
                <w:top w:val="nil"/>
                <w:left w:val="nil"/>
                <w:bottom w:val="nil"/>
                <w:right w:val="nil"/>
                <w:between w:val="nil"/>
              </w:pBdr>
              <w:ind w:left="155" w:right="144"/>
              <w:jc w:val="center"/>
              <w:rPr>
                <w:i/>
                <w:color w:val="000000"/>
                <w:sz w:val="20"/>
                <w:szCs w:val="20"/>
              </w:rPr>
            </w:pPr>
            <w:r w:rsidRPr="00775072">
              <w:rPr>
                <w:i/>
                <w:color w:val="000000"/>
                <w:sz w:val="20"/>
              </w:rPr>
              <w:t>Año de ajuste</w:t>
            </w:r>
          </w:p>
        </w:tc>
      </w:tr>
      <w:tr w:rsidR="002949E9" w:rsidRPr="00775072" w14:paraId="2574595E" w14:textId="77777777" w:rsidTr="00E35D5E">
        <w:trPr>
          <w:trHeight w:val="239"/>
        </w:trPr>
        <w:tc>
          <w:tcPr>
            <w:tcW w:w="2112" w:type="dxa"/>
          </w:tcPr>
          <w:p w14:paraId="6466EE12" w14:textId="77777777" w:rsidR="002949E9" w:rsidRPr="00775072" w:rsidRDefault="002949E9" w:rsidP="00BD4C69">
            <w:pPr>
              <w:pBdr>
                <w:top w:val="nil"/>
                <w:left w:val="nil"/>
                <w:bottom w:val="nil"/>
                <w:right w:val="nil"/>
                <w:between w:val="nil"/>
              </w:pBdr>
              <w:ind w:left="395" w:right="387"/>
              <w:jc w:val="center"/>
              <w:rPr>
                <w:color w:val="000000"/>
                <w:sz w:val="20"/>
                <w:szCs w:val="20"/>
              </w:rPr>
            </w:pPr>
            <w:r w:rsidRPr="00775072">
              <w:rPr>
                <w:color w:val="000000"/>
                <w:sz w:val="20"/>
              </w:rPr>
              <w:t>2023</w:t>
            </w:r>
          </w:p>
        </w:tc>
        <w:tc>
          <w:tcPr>
            <w:tcW w:w="1700" w:type="dxa"/>
          </w:tcPr>
          <w:p w14:paraId="5BC81256" w14:textId="77777777" w:rsidR="002949E9" w:rsidRPr="00775072" w:rsidRDefault="002949E9" w:rsidP="00BD4C69">
            <w:pPr>
              <w:pBdr>
                <w:top w:val="nil"/>
                <w:left w:val="nil"/>
                <w:bottom w:val="nil"/>
                <w:right w:val="nil"/>
                <w:between w:val="nil"/>
              </w:pBdr>
              <w:ind w:left="154" w:right="144"/>
              <w:jc w:val="center"/>
              <w:rPr>
                <w:color w:val="000000"/>
                <w:sz w:val="20"/>
                <w:szCs w:val="20"/>
              </w:rPr>
            </w:pPr>
            <w:r w:rsidRPr="00775072">
              <w:rPr>
                <w:color w:val="000000"/>
                <w:sz w:val="20"/>
              </w:rPr>
              <w:t>2025</w:t>
            </w:r>
          </w:p>
        </w:tc>
      </w:tr>
      <w:tr w:rsidR="002949E9" w:rsidRPr="00775072" w14:paraId="20067890" w14:textId="77777777" w:rsidTr="00E35D5E">
        <w:trPr>
          <w:trHeight w:val="239"/>
        </w:trPr>
        <w:tc>
          <w:tcPr>
            <w:tcW w:w="2112" w:type="dxa"/>
          </w:tcPr>
          <w:p w14:paraId="7B9522BE" w14:textId="77777777" w:rsidR="002949E9" w:rsidRPr="00775072" w:rsidRDefault="002949E9" w:rsidP="00BD4C69">
            <w:pPr>
              <w:pBdr>
                <w:top w:val="nil"/>
                <w:left w:val="nil"/>
                <w:bottom w:val="nil"/>
                <w:right w:val="nil"/>
                <w:between w:val="nil"/>
              </w:pBdr>
              <w:ind w:left="395" w:right="387"/>
              <w:jc w:val="center"/>
              <w:rPr>
                <w:color w:val="000000"/>
                <w:sz w:val="20"/>
                <w:szCs w:val="20"/>
              </w:rPr>
            </w:pPr>
            <w:r w:rsidRPr="00775072">
              <w:rPr>
                <w:color w:val="000000"/>
                <w:sz w:val="20"/>
              </w:rPr>
              <w:t>2024</w:t>
            </w:r>
          </w:p>
        </w:tc>
        <w:tc>
          <w:tcPr>
            <w:tcW w:w="1700" w:type="dxa"/>
          </w:tcPr>
          <w:p w14:paraId="2362CAB0" w14:textId="77777777" w:rsidR="002949E9" w:rsidRPr="00775072" w:rsidRDefault="002949E9" w:rsidP="00BD4C69">
            <w:pPr>
              <w:pBdr>
                <w:top w:val="nil"/>
                <w:left w:val="nil"/>
                <w:bottom w:val="nil"/>
                <w:right w:val="nil"/>
                <w:between w:val="nil"/>
              </w:pBdr>
              <w:ind w:left="154" w:right="144"/>
              <w:jc w:val="center"/>
              <w:rPr>
                <w:color w:val="000000"/>
                <w:sz w:val="20"/>
                <w:szCs w:val="20"/>
              </w:rPr>
            </w:pPr>
            <w:r w:rsidRPr="00775072">
              <w:rPr>
                <w:color w:val="000000"/>
                <w:sz w:val="20"/>
              </w:rPr>
              <w:t>2026</w:t>
            </w:r>
          </w:p>
        </w:tc>
      </w:tr>
      <w:tr w:rsidR="002949E9" w:rsidRPr="00775072" w14:paraId="4AEB7F30" w14:textId="77777777" w:rsidTr="00E35D5E">
        <w:trPr>
          <w:trHeight w:val="239"/>
        </w:trPr>
        <w:tc>
          <w:tcPr>
            <w:tcW w:w="2112" w:type="dxa"/>
          </w:tcPr>
          <w:p w14:paraId="334BEFC0" w14:textId="77777777" w:rsidR="002949E9" w:rsidRPr="00775072" w:rsidRDefault="002949E9" w:rsidP="00BD4C69">
            <w:pPr>
              <w:pBdr>
                <w:top w:val="nil"/>
                <w:left w:val="nil"/>
                <w:bottom w:val="nil"/>
                <w:right w:val="nil"/>
                <w:between w:val="nil"/>
              </w:pBdr>
              <w:ind w:left="395" w:right="387"/>
              <w:jc w:val="center"/>
              <w:rPr>
                <w:color w:val="000000"/>
                <w:sz w:val="20"/>
                <w:szCs w:val="20"/>
              </w:rPr>
            </w:pPr>
            <w:r w:rsidRPr="00775072">
              <w:rPr>
                <w:color w:val="000000"/>
                <w:sz w:val="20"/>
              </w:rPr>
              <w:t>2025</w:t>
            </w:r>
          </w:p>
        </w:tc>
        <w:tc>
          <w:tcPr>
            <w:tcW w:w="1700" w:type="dxa"/>
          </w:tcPr>
          <w:p w14:paraId="03395E83" w14:textId="77777777" w:rsidR="002949E9" w:rsidRPr="00775072" w:rsidRDefault="002949E9" w:rsidP="00BD4C69">
            <w:pPr>
              <w:pBdr>
                <w:top w:val="nil"/>
                <w:left w:val="nil"/>
                <w:bottom w:val="nil"/>
                <w:right w:val="nil"/>
                <w:between w:val="nil"/>
              </w:pBdr>
              <w:ind w:left="154" w:right="144"/>
              <w:jc w:val="center"/>
              <w:rPr>
                <w:color w:val="000000"/>
                <w:sz w:val="20"/>
                <w:szCs w:val="20"/>
              </w:rPr>
            </w:pPr>
            <w:r w:rsidRPr="00775072">
              <w:rPr>
                <w:color w:val="000000"/>
                <w:sz w:val="20"/>
              </w:rPr>
              <w:t>2027</w:t>
            </w:r>
          </w:p>
        </w:tc>
      </w:tr>
      <w:tr w:rsidR="002949E9" w:rsidRPr="00775072" w14:paraId="38C69E62" w14:textId="77777777" w:rsidTr="00E35D5E">
        <w:trPr>
          <w:trHeight w:val="239"/>
        </w:trPr>
        <w:tc>
          <w:tcPr>
            <w:tcW w:w="2112" w:type="dxa"/>
          </w:tcPr>
          <w:p w14:paraId="477B25BD" w14:textId="77777777" w:rsidR="002949E9" w:rsidRPr="00775072" w:rsidRDefault="002949E9" w:rsidP="00BD4C69">
            <w:pPr>
              <w:pBdr>
                <w:top w:val="nil"/>
                <w:left w:val="nil"/>
                <w:bottom w:val="nil"/>
                <w:right w:val="nil"/>
                <w:between w:val="nil"/>
              </w:pBdr>
              <w:ind w:left="395" w:right="387"/>
              <w:jc w:val="center"/>
              <w:rPr>
                <w:color w:val="000000"/>
                <w:sz w:val="20"/>
                <w:szCs w:val="20"/>
              </w:rPr>
            </w:pPr>
            <w:r w:rsidRPr="00775072">
              <w:rPr>
                <w:color w:val="000000"/>
                <w:sz w:val="20"/>
              </w:rPr>
              <w:t>2026</w:t>
            </w:r>
          </w:p>
        </w:tc>
        <w:tc>
          <w:tcPr>
            <w:tcW w:w="1700" w:type="dxa"/>
          </w:tcPr>
          <w:p w14:paraId="5A639136" w14:textId="77777777" w:rsidR="002949E9" w:rsidRPr="00775072" w:rsidRDefault="002949E9" w:rsidP="00BD4C69">
            <w:pPr>
              <w:pBdr>
                <w:top w:val="nil"/>
                <w:left w:val="nil"/>
                <w:bottom w:val="nil"/>
                <w:right w:val="nil"/>
                <w:between w:val="nil"/>
              </w:pBdr>
              <w:ind w:left="154" w:right="144"/>
              <w:jc w:val="center"/>
              <w:rPr>
                <w:color w:val="000000"/>
                <w:sz w:val="20"/>
                <w:szCs w:val="20"/>
              </w:rPr>
            </w:pPr>
            <w:r w:rsidRPr="00775072">
              <w:rPr>
                <w:color w:val="000000"/>
                <w:sz w:val="20"/>
              </w:rPr>
              <w:t>2028</w:t>
            </w:r>
          </w:p>
        </w:tc>
      </w:tr>
      <w:tr w:rsidR="002949E9" w:rsidRPr="00775072" w14:paraId="30FC6BAF" w14:textId="77777777" w:rsidTr="00E35D5E">
        <w:trPr>
          <w:trHeight w:val="239"/>
        </w:trPr>
        <w:tc>
          <w:tcPr>
            <w:tcW w:w="2112" w:type="dxa"/>
          </w:tcPr>
          <w:p w14:paraId="36B6E04E" w14:textId="77777777" w:rsidR="002949E9" w:rsidRPr="00775072" w:rsidRDefault="002949E9" w:rsidP="00BD4C69">
            <w:pPr>
              <w:pBdr>
                <w:top w:val="nil"/>
                <w:left w:val="nil"/>
                <w:bottom w:val="nil"/>
                <w:right w:val="nil"/>
                <w:between w:val="nil"/>
              </w:pBdr>
              <w:ind w:left="395" w:right="387"/>
              <w:jc w:val="center"/>
              <w:rPr>
                <w:color w:val="000000"/>
                <w:sz w:val="20"/>
                <w:szCs w:val="20"/>
              </w:rPr>
            </w:pPr>
            <w:r w:rsidRPr="00775072">
              <w:rPr>
                <w:color w:val="000000"/>
                <w:sz w:val="20"/>
              </w:rPr>
              <w:t>2027</w:t>
            </w:r>
          </w:p>
        </w:tc>
        <w:tc>
          <w:tcPr>
            <w:tcW w:w="1700" w:type="dxa"/>
          </w:tcPr>
          <w:p w14:paraId="20C7EDD9" w14:textId="77777777" w:rsidR="002949E9" w:rsidRPr="00775072" w:rsidRDefault="002949E9" w:rsidP="00BD4C69">
            <w:pPr>
              <w:pBdr>
                <w:top w:val="nil"/>
                <w:left w:val="nil"/>
                <w:bottom w:val="nil"/>
                <w:right w:val="nil"/>
                <w:between w:val="nil"/>
              </w:pBdr>
              <w:ind w:left="154" w:right="144"/>
              <w:jc w:val="center"/>
              <w:rPr>
                <w:color w:val="000000"/>
                <w:sz w:val="20"/>
                <w:szCs w:val="20"/>
              </w:rPr>
            </w:pPr>
            <w:r w:rsidRPr="00775072">
              <w:rPr>
                <w:color w:val="000000"/>
                <w:sz w:val="20"/>
              </w:rPr>
              <w:t>2029</w:t>
            </w:r>
          </w:p>
        </w:tc>
      </w:tr>
    </w:tbl>
    <w:p w14:paraId="5EBBE7D9" w14:textId="77777777" w:rsidR="002949E9" w:rsidRPr="00775072" w:rsidRDefault="002949E9" w:rsidP="002949E9">
      <w:pPr>
        <w:pBdr>
          <w:top w:val="nil"/>
          <w:left w:val="nil"/>
          <w:bottom w:val="nil"/>
          <w:right w:val="nil"/>
          <w:between w:val="nil"/>
        </w:pBdr>
        <w:rPr>
          <w:color w:val="000000"/>
          <w:sz w:val="20"/>
          <w:szCs w:val="20"/>
        </w:rPr>
      </w:pPr>
    </w:p>
    <w:p w14:paraId="69BA506A" w14:textId="7F143F61" w:rsidR="002949E9" w:rsidRPr="00775072" w:rsidRDefault="002949E9" w:rsidP="00F456B3">
      <w:pPr>
        <w:pBdr>
          <w:top w:val="nil"/>
          <w:left w:val="nil"/>
          <w:bottom w:val="nil"/>
          <w:right w:val="nil"/>
          <w:between w:val="nil"/>
        </w:pBdr>
        <w:tabs>
          <w:tab w:val="left" w:pos="836"/>
          <w:tab w:val="left" w:pos="838"/>
        </w:tabs>
        <w:ind w:left="426" w:right="123"/>
        <w:jc w:val="both"/>
        <w:rPr>
          <w:color w:val="000000"/>
          <w:sz w:val="20"/>
          <w:szCs w:val="20"/>
        </w:rPr>
      </w:pPr>
      <w:r w:rsidRPr="00775072">
        <w:rPr>
          <w:color w:val="000000"/>
          <w:sz w:val="20"/>
        </w:rPr>
        <w:t xml:space="preserve">Sin embargo, el máximo remanente de captura que una CPC puede traspasar en un año determinado no superará el 15 % de su límite de captura inicial (especificado en el párrafo </w:t>
      </w:r>
      <w:r w:rsidR="002A78EC" w:rsidRPr="00775072">
        <w:rPr>
          <w:color w:val="000000"/>
          <w:sz w:val="20"/>
        </w:rPr>
        <w:t>7</w:t>
      </w:r>
      <w:r w:rsidRPr="00775072">
        <w:rPr>
          <w:color w:val="000000"/>
          <w:sz w:val="20"/>
        </w:rPr>
        <w:t xml:space="preserve"> y excluyendo transferencias de cuota) para aquellas CPC con límites de captura superiores a 500 t y el 40 % para las demás CPC.</w:t>
      </w:r>
    </w:p>
    <w:p w14:paraId="2BABD185" w14:textId="77777777" w:rsidR="002949E9" w:rsidRPr="00775072" w:rsidRDefault="002949E9" w:rsidP="002949E9">
      <w:pPr>
        <w:pBdr>
          <w:top w:val="nil"/>
          <w:left w:val="nil"/>
          <w:bottom w:val="nil"/>
          <w:right w:val="nil"/>
          <w:between w:val="nil"/>
        </w:pBdr>
        <w:rPr>
          <w:color w:val="000000"/>
          <w:sz w:val="20"/>
          <w:szCs w:val="20"/>
        </w:rPr>
      </w:pPr>
    </w:p>
    <w:p w14:paraId="79919B14" w14:textId="4D5C5883" w:rsidR="002949E9" w:rsidRPr="00775072"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775072">
        <w:rPr>
          <w:color w:val="000000"/>
          <w:sz w:val="20"/>
        </w:rPr>
        <w:t>Si los desembarques de Japón sobrepasan sus límites de captura para un año concreto, el exceso de captura se deducirá en los años subsiguientes de modo que los desembarques totales de Japón no superen sus límites de captura totales para el período de tres años que comienza en 2025. Si los desembarques anuales de Japón son inferiores a sus límites de captura</w:t>
      </w:r>
      <w:r w:rsidR="00613EE8" w:rsidRPr="00775072">
        <w:rPr>
          <w:color w:val="000000"/>
          <w:sz w:val="20"/>
        </w:rPr>
        <w:t xml:space="preserve"> durante dicho periodo</w:t>
      </w:r>
      <w:r w:rsidRPr="00775072">
        <w:rPr>
          <w:color w:val="000000"/>
          <w:sz w:val="20"/>
        </w:rPr>
        <w:t xml:space="preserve">, el remanente puede sumarse a los límites de captura de los años subsiguientes, de modo que los desembarques totales de Japón no superen su total para el mismo período de tres años. Cualquier </w:t>
      </w:r>
      <w:r w:rsidRPr="00775072">
        <w:rPr>
          <w:color w:val="000000"/>
          <w:sz w:val="20"/>
        </w:rPr>
        <w:lastRenderedPageBreak/>
        <w:t xml:space="preserve">excedente de un periodo de ordenación de tres años, incluido el correspondiente a 2025-2027, se aplicará al periodo de ordenación de tres años siguiente. Los remanentes de un periodo de ordenación de tres años, incluido el </w:t>
      </w:r>
      <w:r w:rsidR="00172F6B" w:rsidRPr="00775072">
        <w:rPr>
          <w:color w:val="000000"/>
          <w:sz w:val="20"/>
        </w:rPr>
        <w:t>periodo que va de</w:t>
      </w:r>
      <w:r w:rsidRPr="00775072">
        <w:rPr>
          <w:color w:val="000000"/>
          <w:sz w:val="20"/>
        </w:rPr>
        <w:t xml:space="preserve"> 2025</w:t>
      </w:r>
      <w:r w:rsidR="00172F6B" w:rsidRPr="00775072">
        <w:rPr>
          <w:color w:val="000000"/>
          <w:sz w:val="20"/>
        </w:rPr>
        <w:t xml:space="preserve"> a </w:t>
      </w:r>
      <w:r w:rsidRPr="00775072">
        <w:rPr>
          <w:color w:val="000000"/>
          <w:sz w:val="20"/>
        </w:rPr>
        <w:t xml:space="preserve">2027, </w:t>
      </w:r>
      <w:r w:rsidR="00A8023E" w:rsidRPr="00775072">
        <w:rPr>
          <w:color w:val="000000"/>
          <w:sz w:val="20"/>
        </w:rPr>
        <w:t>pueden</w:t>
      </w:r>
      <w:r w:rsidRPr="00775072">
        <w:rPr>
          <w:color w:val="000000"/>
          <w:sz w:val="20"/>
        </w:rPr>
        <w:t xml:space="preserve"> aplicarse al periodo de ordenación de tres años siguiente si así lo decide la Comisión.</w:t>
      </w:r>
    </w:p>
    <w:p w14:paraId="704DBB80" w14:textId="77777777" w:rsidR="00534471" w:rsidRPr="00775072" w:rsidRDefault="00534471" w:rsidP="002949E9">
      <w:pPr>
        <w:tabs>
          <w:tab w:val="left" w:pos="542"/>
          <w:tab w:val="left" w:pos="544"/>
        </w:tabs>
        <w:spacing w:line="244" w:lineRule="auto"/>
        <w:ind w:right="114"/>
        <w:rPr>
          <w:b/>
          <w:color w:val="000000"/>
          <w:sz w:val="20"/>
          <w:szCs w:val="20"/>
        </w:rPr>
      </w:pPr>
    </w:p>
    <w:p w14:paraId="2912B224" w14:textId="77777777" w:rsidR="002949E9" w:rsidRPr="00775072" w:rsidRDefault="002949E9" w:rsidP="002949E9">
      <w:pPr>
        <w:tabs>
          <w:tab w:val="left" w:pos="542"/>
          <w:tab w:val="left" w:pos="544"/>
        </w:tabs>
        <w:spacing w:line="244" w:lineRule="auto"/>
        <w:ind w:left="544" w:right="114"/>
        <w:jc w:val="center"/>
        <w:rPr>
          <w:b/>
          <w:color w:val="000000"/>
          <w:sz w:val="20"/>
          <w:szCs w:val="20"/>
        </w:rPr>
      </w:pPr>
      <w:r w:rsidRPr="00775072">
        <w:rPr>
          <w:b/>
          <w:color w:val="000000"/>
          <w:sz w:val="20"/>
        </w:rPr>
        <w:t>PARTE IV</w:t>
      </w:r>
    </w:p>
    <w:p w14:paraId="4D48D642" w14:textId="77777777" w:rsidR="002949E9" w:rsidRPr="00775072" w:rsidRDefault="002949E9" w:rsidP="002949E9">
      <w:pPr>
        <w:tabs>
          <w:tab w:val="left" w:pos="542"/>
          <w:tab w:val="left" w:pos="544"/>
        </w:tabs>
        <w:spacing w:line="244" w:lineRule="auto"/>
        <w:ind w:left="544" w:right="114"/>
        <w:jc w:val="center"/>
        <w:rPr>
          <w:b/>
          <w:color w:val="000000"/>
          <w:sz w:val="20"/>
          <w:szCs w:val="20"/>
        </w:rPr>
      </w:pPr>
      <w:r w:rsidRPr="00775072">
        <w:rPr>
          <w:b/>
          <w:color w:val="000000"/>
          <w:sz w:val="20"/>
        </w:rPr>
        <w:t>MEDIDAS DE CONTROL</w:t>
      </w:r>
    </w:p>
    <w:p w14:paraId="7E50913E" w14:textId="77777777" w:rsidR="002949E9" w:rsidRPr="00775072" w:rsidRDefault="002949E9" w:rsidP="002949E9">
      <w:pPr>
        <w:tabs>
          <w:tab w:val="left" w:pos="542"/>
          <w:tab w:val="left" w:pos="544"/>
        </w:tabs>
        <w:spacing w:line="244" w:lineRule="auto"/>
        <w:ind w:left="544" w:right="114"/>
        <w:jc w:val="center"/>
        <w:rPr>
          <w:color w:val="000000"/>
          <w:sz w:val="20"/>
          <w:szCs w:val="20"/>
        </w:rPr>
      </w:pPr>
    </w:p>
    <w:p w14:paraId="73E0ED9C" w14:textId="77777777" w:rsidR="002949E9" w:rsidRPr="00775072" w:rsidRDefault="002949E9" w:rsidP="002949E9">
      <w:pPr>
        <w:tabs>
          <w:tab w:val="left" w:pos="542"/>
          <w:tab w:val="left" w:pos="544"/>
        </w:tabs>
        <w:spacing w:line="244" w:lineRule="auto"/>
        <w:ind w:right="114"/>
        <w:rPr>
          <w:b/>
          <w:sz w:val="20"/>
          <w:szCs w:val="20"/>
        </w:rPr>
      </w:pPr>
      <w:r w:rsidRPr="00775072">
        <w:rPr>
          <w:b/>
          <w:sz w:val="20"/>
        </w:rPr>
        <w:t>Autorización específica para pescar pez espada del Atlántico norte y registro ICCAT de buques</w:t>
      </w:r>
    </w:p>
    <w:p w14:paraId="17085DB4" w14:textId="77777777" w:rsidR="002949E9" w:rsidRPr="00775072" w:rsidRDefault="002949E9" w:rsidP="002949E9">
      <w:pPr>
        <w:tabs>
          <w:tab w:val="left" w:pos="542"/>
          <w:tab w:val="left" w:pos="544"/>
        </w:tabs>
        <w:spacing w:line="244" w:lineRule="auto"/>
        <w:ind w:left="544" w:right="114"/>
        <w:jc w:val="center"/>
        <w:rPr>
          <w:b/>
          <w:sz w:val="16"/>
          <w:szCs w:val="16"/>
        </w:rPr>
      </w:pPr>
    </w:p>
    <w:p w14:paraId="36FF88C0" w14:textId="0C4250C6" w:rsidR="002949E9" w:rsidRPr="00775072" w:rsidRDefault="002949E9" w:rsidP="00F456B3">
      <w:pPr>
        <w:numPr>
          <w:ilvl w:val="0"/>
          <w:numId w:val="1"/>
        </w:numPr>
        <w:pBdr>
          <w:top w:val="nil"/>
          <w:left w:val="nil"/>
          <w:bottom w:val="nil"/>
          <w:right w:val="nil"/>
          <w:between w:val="nil"/>
        </w:pBdr>
        <w:tabs>
          <w:tab w:val="left" w:pos="836"/>
          <w:tab w:val="left" w:pos="838"/>
        </w:tabs>
        <w:ind w:left="426" w:right="123"/>
        <w:jc w:val="both"/>
        <w:rPr>
          <w:color w:val="000000"/>
          <w:sz w:val="20"/>
          <w:szCs w:val="20"/>
        </w:rPr>
      </w:pPr>
      <w:r w:rsidRPr="00775072">
        <w:rPr>
          <w:color w:val="000000"/>
          <w:sz w:val="20"/>
        </w:rPr>
        <w:t xml:space="preserve">Las CPC expedirán autorizaciones específicas a los buques de 20 m de LOA o superior que enarbolen su pabellón y estén autorizados a pescar pez espada del Atlántico norte en la zona del Convenio. Cada CPC indicará cuál de dichos buques ha autorizado en su lista de buques presentada de conformidad con la </w:t>
      </w:r>
      <w:r w:rsidRPr="00775072">
        <w:rPr>
          <w:i/>
          <w:iCs/>
          <w:color w:val="000000"/>
          <w:sz w:val="20"/>
        </w:rPr>
        <w:t>Recomendación de ICCAT que enmienda la Recomendación 13-13 sobre el establecimiento de un registro ICCAT de buques con una eslora total de 20 metros o superior con autorización para operar en la zona del Convenio</w:t>
      </w:r>
      <w:r w:rsidRPr="00775072">
        <w:rPr>
          <w:color w:val="000000"/>
          <w:sz w:val="20"/>
        </w:rPr>
        <w:t xml:space="preserve"> (Rec. 21-14). Se considerará que los buques pesqueros no incluidos en </w:t>
      </w:r>
      <w:r w:rsidR="001B1F0D" w:rsidRPr="00775072">
        <w:rPr>
          <w:color w:val="000000"/>
          <w:sz w:val="20"/>
        </w:rPr>
        <w:t>dicho</w:t>
      </w:r>
      <w:r w:rsidRPr="00775072">
        <w:rPr>
          <w:color w:val="000000"/>
          <w:sz w:val="20"/>
        </w:rPr>
        <w:t xml:space="preserve"> registro o incluidos sin la indicación requerida de que están autorizados a pescar pez espada del Atlántico norte no están autorizados a pescar, retener a bordo, transbordar, transportar, transferir, </w:t>
      </w:r>
      <w:r w:rsidR="00A8023E" w:rsidRPr="00775072">
        <w:rPr>
          <w:color w:val="000000"/>
          <w:sz w:val="20"/>
        </w:rPr>
        <w:t>transformar</w:t>
      </w:r>
      <w:r w:rsidRPr="00775072">
        <w:rPr>
          <w:color w:val="000000"/>
          <w:sz w:val="20"/>
        </w:rPr>
        <w:t xml:space="preserve"> o desembarcar pez espada del Atlántico norte.</w:t>
      </w:r>
    </w:p>
    <w:p w14:paraId="042DF6BC" w14:textId="77777777" w:rsidR="002949E9" w:rsidRPr="00775072" w:rsidRDefault="002949E9" w:rsidP="002949E9">
      <w:pPr>
        <w:pBdr>
          <w:top w:val="nil"/>
          <w:left w:val="nil"/>
          <w:bottom w:val="nil"/>
          <w:right w:val="nil"/>
          <w:between w:val="nil"/>
        </w:pBdr>
        <w:tabs>
          <w:tab w:val="left" w:pos="542"/>
          <w:tab w:val="left" w:pos="544"/>
        </w:tabs>
        <w:spacing w:line="244" w:lineRule="auto"/>
        <w:ind w:left="544" w:right="115"/>
        <w:jc w:val="both"/>
        <w:rPr>
          <w:sz w:val="16"/>
          <w:szCs w:val="16"/>
        </w:rPr>
      </w:pPr>
    </w:p>
    <w:p w14:paraId="4A58EC08" w14:textId="579A9746" w:rsidR="002949E9" w:rsidRPr="00775072" w:rsidRDefault="00D25840" w:rsidP="000061BE">
      <w:pPr>
        <w:numPr>
          <w:ilvl w:val="0"/>
          <w:numId w:val="1"/>
        </w:numPr>
        <w:pBdr>
          <w:top w:val="nil"/>
          <w:left w:val="nil"/>
          <w:bottom w:val="nil"/>
          <w:right w:val="nil"/>
          <w:between w:val="nil"/>
        </w:pBdr>
        <w:tabs>
          <w:tab w:val="left" w:pos="836"/>
          <w:tab w:val="left" w:pos="838"/>
        </w:tabs>
        <w:ind w:left="426" w:right="123" w:hanging="426"/>
        <w:jc w:val="both"/>
        <w:rPr>
          <w:b/>
          <w:sz w:val="20"/>
          <w:szCs w:val="20"/>
        </w:rPr>
      </w:pPr>
      <w:r w:rsidRPr="00775072">
        <w:rPr>
          <w:color w:val="212121"/>
          <w:sz w:val="20"/>
        </w:rPr>
        <w:t xml:space="preserve">Las CPC pueden permitir capturar de forma fortuita pez espada del Atlántico norte a buques no autorizados a pescar pez espada del Atlántico norte con arreglo al párrafo 13, si la CPC establece un límite máximo de captura fortuita a bordo </w:t>
      </w:r>
      <w:r w:rsidR="009F2EBC" w:rsidRPr="00775072">
        <w:rPr>
          <w:color w:val="212121"/>
          <w:sz w:val="20"/>
        </w:rPr>
        <w:t xml:space="preserve">por marea </w:t>
      </w:r>
      <w:r w:rsidRPr="00775072">
        <w:rPr>
          <w:color w:val="212121"/>
          <w:sz w:val="20"/>
        </w:rPr>
        <w:t>para dichos buques y la captura fortuita en cuestión se deduce de la cuota o</w:t>
      </w:r>
      <w:r w:rsidR="00A164AF" w:rsidRPr="00775072">
        <w:rPr>
          <w:color w:val="212121"/>
          <w:sz w:val="20"/>
        </w:rPr>
        <w:t xml:space="preserve"> el</w:t>
      </w:r>
      <w:r w:rsidRPr="00775072">
        <w:rPr>
          <w:color w:val="212121"/>
          <w:sz w:val="20"/>
        </w:rPr>
        <w:t xml:space="preserve"> límite de captura de la CPC. Cada CPC incluirá en su Informe anual el límite máximo de captura fortuita </w:t>
      </w:r>
      <w:r w:rsidR="009F2EBC" w:rsidRPr="00775072">
        <w:rPr>
          <w:color w:val="212121"/>
          <w:sz w:val="20"/>
        </w:rPr>
        <w:t xml:space="preserve">por marea </w:t>
      </w:r>
      <w:r w:rsidRPr="00775072">
        <w:rPr>
          <w:color w:val="212121"/>
          <w:sz w:val="20"/>
        </w:rPr>
        <w:t>que permite a dichos buques</w:t>
      </w:r>
      <w:r w:rsidR="009F2EBC" w:rsidRPr="00775072">
        <w:rPr>
          <w:color w:val="212121"/>
          <w:sz w:val="20"/>
        </w:rPr>
        <w:t xml:space="preserve"> y la cantidad total de pez espada del Atlántico norte capturado </w:t>
      </w:r>
      <w:r w:rsidR="000655E7" w:rsidRPr="00775072">
        <w:rPr>
          <w:color w:val="212121"/>
          <w:sz w:val="20"/>
        </w:rPr>
        <w:t xml:space="preserve">de forma </w:t>
      </w:r>
      <w:r w:rsidR="009F2EBC" w:rsidRPr="00775072">
        <w:rPr>
          <w:color w:val="212121"/>
          <w:sz w:val="20"/>
        </w:rPr>
        <w:t>fortuita</w:t>
      </w:r>
      <w:r w:rsidRPr="00775072">
        <w:rPr>
          <w:color w:val="212121"/>
          <w:sz w:val="20"/>
        </w:rPr>
        <w:t>. Esta información será compilada por la Secretaría de ICCAT y se transmitirá a las CPC.</w:t>
      </w:r>
      <w:r w:rsidRPr="00775072">
        <w:rPr>
          <w:b/>
          <w:sz w:val="20"/>
        </w:rPr>
        <w:t xml:space="preserve">  </w:t>
      </w:r>
    </w:p>
    <w:p w14:paraId="0E70253A" w14:textId="77777777" w:rsidR="00D25840" w:rsidRPr="00775072" w:rsidRDefault="00D25840" w:rsidP="00D25840">
      <w:pPr>
        <w:tabs>
          <w:tab w:val="left" w:pos="542"/>
          <w:tab w:val="left" w:pos="544"/>
        </w:tabs>
        <w:spacing w:line="244" w:lineRule="auto"/>
        <w:ind w:right="114"/>
        <w:rPr>
          <w:b/>
          <w:sz w:val="20"/>
          <w:szCs w:val="20"/>
        </w:rPr>
      </w:pPr>
    </w:p>
    <w:p w14:paraId="5063DBED" w14:textId="77777777" w:rsidR="002949E9" w:rsidRPr="00775072" w:rsidRDefault="002949E9" w:rsidP="002949E9">
      <w:pPr>
        <w:tabs>
          <w:tab w:val="left" w:pos="542"/>
          <w:tab w:val="left" w:pos="544"/>
        </w:tabs>
        <w:spacing w:line="244" w:lineRule="auto"/>
        <w:ind w:right="114"/>
        <w:rPr>
          <w:b/>
          <w:sz w:val="20"/>
          <w:szCs w:val="20"/>
        </w:rPr>
      </w:pPr>
      <w:r w:rsidRPr="00775072">
        <w:rPr>
          <w:b/>
          <w:sz w:val="20"/>
        </w:rPr>
        <w:t>Talla mínima</w:t>
      </w:r>
    </w:p>
    <w:p w14:paraId="21F8F7F4" w14:textId="77777777" w:rsidR="002949E9" w:rsidRPr="00775072" w:rsidRDefault="002949E9" w:rsidP="002949E9">
      <w:pPr>
        <w:pBdr>
          <w:top w:val="nil"/>
          <w:left w:val="nil"/>
          <w:bottom w:val="nil"/>
          <w:right w:val="nil"/>
          <w:between w:val="nil"/>
        </w:pBdr>
        <w:spacing w:before="10"/>
        <w:rPr>
          <w:color w:val="000000"/>
          <w:sz w:val="20"/>
          <w:szCs w:val="20"/>
        </w:rPr>
      </w:pPr>
    </w:p>
    <w:p w14:paraId="674D11D9" w14:textId="188E439E" w:rsidR="002949E9" w:rsidRPr="0077507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775072">
        <w:rPr>
          <w:color w:val="000000"/>
          <w:sz w:val="20"/>
        </w:rPr>
        <w:t xml:space="preserve">Para proteger al pez espada pequeño, las CPC adoptarán las medidas necesarias para prohibir la captura y </w:t>
      </w:r>
      <w:r w:rsidR="000D55D8" w:rsidRPr="00775072">
        <w:rPr>
          <w:color w:val="000000"/>
          <w:sz w:val="20"/>
        </w:rPr>
        <w:t xml:space="preserve">el </w:t>
      </w:r>
      <w:r w:rsidRPr="00775072">
        <w:rPr>
          <w:color w:val="000000"/>
          <w:sz w:val="20"/>
        </w:rPr>
        <w:t>desembarque de pez espada con un peso en vivo inferior a 25 kg, o como alternativa 125 cm</w:t>
      </w:r>
      <w:r w:rsidR="000D55D8" w:rsidRPr="00775072">
        <w:rPr>
          <w:color w:val="000000"/>
          <w:sz w:val="20"/>
        </w:rPr>
        <w:t xml:space="preserve"> o menos</w:t>
      </w:r>
      <w:r w:rsidRPr="00775072">
        <w:rPr>
          <w:color w:val="000000"/>
          <w:sz w:val="20"/>
        </w:rPr>
        <w:t xml:space="preserve"> de longitud de mandíbula inferior a horquilla (LJFL). Sin embargo, las CPC </w:t>
      </w:r>
      <w:r w:rsidR="000D55D8" w:rsidRPr="00775072">
        <w:rPr>
          <w:color w:val="000000"/>
          <w:sz w:val="20"/>
        </w:rPr>
        <w:t>pueden</w:t>
      </w:r>
      <w:r w:rsidRPr="00775072">
        <w:rPr>
          <w:color w:val="000000"/>
          <w:sz w:val="20"/>
        </w:rPr>
        <w:t xml:space="preserve"> conceder un margen de tolerancia a los buques que hayan capturado ejemplares pequeños de forma incidental, con la condición de que estas capturas incidentales no superen el 15 % del número de peces espada por desembarque de la captura total de pez espada de dichos buques.</w:t>
      </w:r>
    </w:p>
    <w:p w14:paraId="12B2933E" w14:textId="77777777" w:rsidR="002949E9" w:rsidRPr="00775072" w:rsidRDefault="002949E9" w:rsidP="002949E9">
      <w:pPr>
        <w:pBdr>
          <w:top w:val="nil"/>
          <w:left w:val="nil"/>
          <w:bottom w:val="nil"/>
          <w:right w:val="nil"/>
          <w:between w:val="nil"/>
        </w:pBdr>
        <w:tabs>
          <w:tab w:val="left" w:pos="542"/>
          <w:tab w:val="left" w:pos="544"/>
        </w:tabs>
        <w:spacing w:line="244" w:lineRule="auto"/>
        <w:ind w:left="544" w:right="116"/>
        <w:jc w:val="both"/>
        <w:rPr>
          <w:sz w:val="20"/>
          <w:szCs w:val="20"/>
        </w:rPr>
      </w:pPr>
    </w:p>
    <w:p w14:paraId="67C76A18" w14:textId="44CF29CD" w:rsidR="002949E9" w:rsidRPr="0077507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775072">
        <w:rPr>
          <w:color w:val="000000"/>
          <w:sz w:val="20"/>
        </w:rPr>
        <w:t>No obstante las disposiciones del párrafo 1</w:t>
      </w:r>
      <w:r w:rsidR="00C65DCB" w:rsidRPr="00775072">
        <w:rPr>
          <w:color w:val="000000"/>
          <w:sz w:val="20"/>
        </w:rPr>
        <w:t>5</w:t>
      </w:r>
      <w:r w:rsidRPr="00775072">
        <w:rPr>
          <w:color w:val="000000"/>
          <w:sz w:val="20"/>
        </w:rPr>
        <w:t xml:space="preserve">, las CPC pueden escoger, como alternativa a la talla mínima de 25 kg/125 cm LJFL, adoptar las medidas necesarias para prohibir la captura por parte de sus buques en el Atlántico, así como el desembarque y la venta en la zona bajo su jurisdicción, de ejemplares de pez espada (y partes de pez espada), con una talla inferior a 15 kg/119 </w:t>
      </w:r>
      <w:r w:rsidR="00CF76C3" w:rsidRPr="00775072">
        <w:rPr>
          <w:color w:val="000000"/>
          <w:sz w:val="20"/>
        </w:rPr>
        <w:t xml:space="preserve">cm </w:t>
      </w:r>
      <w:r w:rsidRPr="00775072">
        <w:rPr>
          <w:color w:val="000000"/>
          <w:sz w:val="20"/>
        </w:rPr>
        <w:t>LJFL, siempre que, si se elige esta alternativa, no se permita la tolerancia de peces espada de menos de 119</w:t>
      </w:r>
      <w:r w:rsidR="00CF76C3" w:rsidRPr="00775072">
        <w:rPr>
          <w:color w:val="000000"/>
          <w:sz w:val="20"/>
        </w:rPr>
        <w:t xml:space="preserve"> cm </w:t>
      </w:r>
      <w:r w:rsidRPr="00775072">
        <w:rPr>
          <w:color w:val="000000"/>
          <w:sz w:val="20"/>
        </w:rPr>
        <w:t xml:space="preserve">LJFL, o como alternativa de 15 kg. Para los peces espada que han sido transformados a peso canal, también puede aplicarse una medida de </w:t>
      </w:r>
      <w:proofErr w:type="spellStart"/>
      <w:r w:rsidRPr="00775072">
        <w:rPr>
          <w:color w:val="000000"/>
          <w:sz w:val="20"/>
        </w:rPr>
        <w:t>cleithrum</w:t>
      </w:r>
      <w:proofErr w:type="spellEnd"/>
      <w:r w:rsidRPr="00775072">
        <w:rPr>
          <w:color w:val="000000"/>
          <w:sz w:val="20"/>
        </w:rPr>
        <w:t xml:space="preserve"> a quilla (CK) de 63 cm. </w:t>
      </w:r>
      <w:r w:rsidR="000D55D8" w:rsidRPr="00775072">
        <w:rPr>
          <w:color w:val="000000"/>
          <w:sz w:val="20"/>
        </w:rPr>
        <w:t>Una</w:t>
      </w:r>
      <w:r w:rsidRPr="00775072">
        <w:rPr>
          <w:color w:val="000000"/>
          <w:sz w:val="20"/>
        </w:rPr>
        <w:t xml:space="preserve"> CPC que opte por esta talla mínima alternativa exigirá un registro adecuado de los descartes. El SCRS debería continuar realizando un seguimiento y analizando los efectos de esta medida en la mortalidad de los peces espada inmaduros.</w:t>
      </w:r>
    </w:p>
    <w:p w14:paraId="2CA7FA71" w14:textId="480B2EA4" w:rsidR="002949E9" w:rsidRPr="00775072" w:rsidRDefault="00F456B3" w:rsidP="00F456B3">
      <w:pPr>
        <w:widowControl/>
        <w:spacing w:after="160" w:line="259" w:lineRule="auto"/>
        <w:jc w:val="center"/>
        <w:rPr>
          <w:b/>
          <w:sz w:val="20"/>
          <w:szCs w:val="20"/>
        </w:rPr>
      </w:pPr>
      <w:r w:rsidRPr="00775072">
        <w:rPr>
          <w:b/>
          <w:sz w:val="20"/>
        </w:rPr>
        <w:t>PA</w:t>
      </w:r>
      <w:r w:rsidR="002949E9" w:rsidRPr="00775072">
        <w:rPr>
          <w:b/>
          <w:sz w:val="20"/>
        </w:rPr>
        <w:t>RTE V</w:t>
      </w:r>
    </w:p>
    <w:p w14:paraId="433F8263" w14:textId="5817D444" w:rsidR="002949E9" w:rsidRPr="00775072" w:rsidRDefault="002949E9" w:rsidP="00033C0B">
      <w:pPr>
        <w:spacing w:line="244" w:lineRule="auto"/>
        <w:ind w:left="544" w:right="117"/>
        <w:jc w:val="center"/>
        <w:rPr>
          <w:b/>
          <w:sz w:val="20"/>
          <w:szCs w:val="20"/>
        </w:rPr>
      </w:pPr>
      <w:r w:rsidRPr="00775072">
        <w:rPr>
          <w:b/>
          <w:sz w:val="20"/>
        </w:rPr>
        <w:t>INVESTIGACIÓN CIENTÍFICA Y REQUISITOS EN MATERIA DE COMUNICACIÓN DE DATOS</w:t>
      </w:r>
    </w:p>
    <w:p w14:paraId="7679F8C9" w14:textId="77777777" w:rsidR="002949E9" w:rsidRPr="00775072" w:rsidRDefault="002949E9" w:rsidP="00033C0B">
      <w:pPr>
        <w:spacing w:line="244" w:lineRule="auto"/>
        <w:ind w:left="544" w:right="117"/>
        <w:jc w:val="center"/>
        <w:rPr>
          <w:b/>
          <w:sz w:val="20"/>
          <w:szCs w:val="20"/>
        </w:rPr>
      </w:pPr>
    </w:p>
    <w:p w14:paraId="404A3BA5" w14:textId="23B959C7" w:rsidR="002949E9" w:rsidRPr="0077507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775072">
        <w:rPr>
          <w:color w:val="000000"/>
          <w:sz w:val="20"/>
        </w:rPr>
        <w:t xml:space="preserve">Todas las CPC que capturan pez espada en el Atlántico norte presentarán anualmente al SCRS los mejores datos disponibles, incluyendo la captura, la captura por talla, </w:t>
      </w:r>
      <w:r w:rsidR="000D55D8" w:rsidRPr="00775072">
        <w:rPr>
          <w:color w:val="000000"/>
          <w:sz w:val="20"/>
        </w:rPr>
        <w:t xml:space="preserve">el lugar </w:t>
      </w:r>
      <w:r w:rsidRPr="00775072">
        <w:rPr>
          <w:color w:val="000000"/>
          <w:sz w:val="20"/>
        </w:rPr>
        <w:t xml:space="preserve">y el mes en que se realizó la captura, en la menor escala posible que determine el SCRS. Los datos presentados abarcarán el rango más amplio posible de clases de edad, de conformidad con las restricciones de talla mínima, y se desglosarán por sexos en la medida de lo posible. Los datos incluirán </w:t>
      </w:r>
      <w:r w:rsidR="000D55D8" w:rsidRPr="00775072">
        <w:rPr>
          <w:color w:val="000000"/>
          <w:sz w:val="20"/>
        </w:rPr>
        <w:t xml:space="preserve">también </w:t>
      </w:r>
      <w:r w:rsidRPr="00775072">
        <w:rPr>
          <w:color w:val="000000"/>
          <w:sz w:val="20"/>
        </w:rPr>
        <w:t>estadísticas sobre descartes (tanto de ejemplares muertos como de ejemplares vivos) y esfuerzo, incluso cuando no se haya programado ninguna evaluación analítica del stock. El SCRS deberá revisar estos datos todos los años.</w:t>
      </w:r>
    </w:p>
    <w:p w14:paraId="1F5223A4" w14:textId="625A122B" w:rsidR="00CF76C3" w:rsidRPr="00775072" w:rsidRDefault="00CF76C3"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775072">
        <w:rPr>
          <w:color w:val="000000"/>
          <w:sz w:val="20"/>
          <w:szCs w:val="20"/>
        </w:rPr>
        <w:lastRenderedPageBreak/>
        <w:t>El SCRS continuará trabajando en las pruebas de robustez, centrándose especialmente en los escenarios de cambio climático y en los límites de talla mínima. Los resultados se presentarán a la Comisión a más tardar en 2027 y, si es necesario, se considerarán para futuras revisiones de las actuales medidas de conservación y ordenación para el pez espada del Atlántico norte.</w:t>
      </w:r>
    </w:p>
    <w:p w14:paraId="2D2E1D86" w14:textId="77777777" w:rsidR="00CF76C3" w:rsidRPr="00775072" w:rsidRDefault="00CF76C3" w:rsidP="00CF76C3">
      <w:pPr>
        <w:pStyle w:val="ListParagraph"/>
        <w:rPr>
          <w:sz w:val="20"/>
        </w:rPr>
      </w:pPr>
    </w:p>
    <w:p w14:paraId="55A624EB" w14:textId="0F8BB497" w:rsidR="002949E9" w:rsidRPr="0077507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775072">
        <w:rPr>
          <w:sz w:val="20"/>
        </w:rPr>
        <w:t xml:space="preserve">A más tardar </w:t>
      </w:r>
      <w:r w:rsidR="006950C3" w:rsidRPr="00775072">
        <w:rPr>
          <w:sz w:val="20"/>
        </w:rPr>
        <w:t>el 15 de julio de</w:t>
      </w:r>
      <w:r w:rsidRPr="00775072">
        <w:rPr>
          <w:sz w:val="20"/>
        </w:rPr>
        <w:t xml:space="preserve"> 2025, las CPC presentarán al SCRS la metodología estadística utilizada para estimar los descartes de ejemplares muertos</w:t>
      </w:r>
      <w:r w:rsidR="00CF76C3" w:rsidRPr="00775072">
        <w:rPr>
          <w:sz w:val="20"/>
        </w:rPr>
        <w:t xml:space="preserve"> y la liberaciones de ejemplares vivos</w:t>
      </w:r>
      <w:r w:rsidRPr="00775072">
        <w:rPr>
          <w:sz w:val="20"/>
        </w:rPr>
        <w:t xml:space="preserve">. Las CPC con pesquerías artesanales y de pequeña escala proporcionarán también información sobre sus programas de recopilación de datos. El SCRS revisará estas metodologías y, si se determina que una metodología no está bien fundamentada desde el punto de vista científico, proporcionará los comentarios pertinentes a las CPC en cuestión para mejorar las metodologías. Una vez aprobados estos métodos, las CPC deberían actualizar sus </w:t>
      </w:r>
      <w:r w:rsidR="002A279C" w:rsidRPr="00775072">
        <w:rPr>
          <w:sz w:val="20"/>
        </w:rPr>
        <w:t>comunicaciones</w:t>
      </w:r>
      <w:r w:rsidRPr="00775072">
        <w:rPr>
          <w:sz w:val="20"/>
        </w:rPr>
        <w:t xml:space="preserve"> de capturas para incorporar estas estimaciones de descartes vivos y muertos.</w:t>
      </w:r>
    </w:p>
    <w:p w14:paraId="7DEC245C" w14:textId="77777777" w:rsidR="00CF76C3" w:rsidRPr="00775072" w:rsidRDefault="00CF76C3" w:rsidP="00517CD3">
      <w:pPr>
        <w:rPr>
          <w:sz w:val="20"/>
          <w:szCs w:val="20"/>
        </w:rPr>
      </w:pPr>
    </w:p>
    <w:p w14:paraId="62735626" w14:textId="77777777" w:rsidR="002949E9" w:rsidRPr="00775072" w:rsidRDefault="002949E9" w:rsidP="002949E9">
      <w:pPr>
        <w:tabs>
          <w:tab w:val="left" w:pos="544"/>
        </w:tabs>
        <w:spacing w:line="244" w:lineRule="auto"/>
        <w:ind w:left="544" w:right="117"/>
        <w:jc w:val="center"/>
        <w:rPr>
          <w:b/>
          <w:sz w:val="20"/>
          <w:szCs w:val="20"/>
        </w:rPr>
      </w:pPr>
      <w:r w:rsidRPr="00775072">
        <w:rPr>
          <w:b/>
          <w:sz w:val="20"/>
        </w:rPr>
        <w:t>PARTE VI</w:t>
      </w:r>
    </w:p>
    <w:p w14:paraId="7DBCDEC5" w14:textId="77777777" w:rsidR="002949E9" w:rsidRPr="00775072" w:rsidRDefault="002949E9" w:rsidP="002949E9">
      <w:pPr>
        <w:tabs>
          <w:tab w:val="left" w:pos="542"/>
          <w:tab w:val="left" w:pos="544"/>
        </w:tabs>
        <w:spacing w:line="244" w:lineRule="auto"/>
        <w:ind w:left="540" w:right="220"/>
        <w:jc w:val="center"/>
        <w:rPr>
          <w:b/>
          <w:sz w:val="20"/>
          <w:szCs w:val="20"/>
        </w:rPr>
      </w:pPr>
      <w:r w:rsidRPr="00775072">
        <w:rPr>
          <w:b/>
          <w:sz w:val="20"/>
        </w:rPr>
        <w:t>DISPOSICIONES FINALES</w:t>
      </w:r>
    </w:p>
    <w:p w14:paraId="51BB2C25" w14:textId="77777777" w:rsidR="002949E9" w:rsidRPr="00775072" w:rsidRDefault="002949E9" w:rsidP="002949E9">
      <w:pPr>
        <w:rPr>
          <w:sz w:val="20"/>
          <w:szCs w:val="20"/>
        </w:rPr>
      </w:pPr>
    </w:p>
    <w:p w14:paraId="14995598" w14:textId="334BC6DB" w:rsidR="002949E9" w:rsidRPr="0077507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212121"/>
          <w:sz w:val="20"/>
          <w:szCs w:val="20"/>
        </w:rPr>
      </w:pPr>
      <w:r w:rsidRPr="00775072">
        <w:rPr>
          <w:color w:val="212121"/>
          <w:sz w:val="20"/>
        </w:rPr>
        <w:t>La Comisión y el SCRS llevarán a cabo un</w:t>
      </w:r>
      <w:r w:rsidR="00523F1A" w:rsidRPr="00775072">
        <w:rPr>
          <w:color w:val="212121"/>
          <w:sz w:val="20"/>
        </w:rPr>
        <w:t xml:space="preserve"> examen </w:t>
      </w:r>
      <w:r w:rsidRPr="00775072">
        <w:rPr>
          <w:color w:val="212121"/>
          <w:sz w:val="20"/>
        </w:rPr>
        <w:t>del desempeño del MP desde ahora hasta 2030, tal y como se establece en el</w:t>
      </w:r>
      <w:r w:rsidRPr="00775072">
        <w:rPr>
          <w:b/>
          <w:bCs/>
          <w:color w:val="212121"/>
          <w:sz w:val="20"/>
        </w:rPr>
        <w:t xml:space="preserve"> Anexo 3,</w:t>
      </w:r>
      <w:r w:rsidRPr="00775072">
        <w:rPr>
          <w:color w:val="212121"/>
          <w:sz w:val="20"/>
        </w:rPr>
        <w:t xml:space="preserve"> y posteriormente cada seis años. El alcance de</w:t>
      </w:r>
      <w:r w:rsidR="00523F1A" w:rsidRPr="00775072">
        <w:rPr>
          <w:color w:val="212121"/>
          <w:sz w:val="20"/>
        </w:rPr>
        <w:t xml:space="preserve">l examen </w:t>
      </w:r>
      <w:r w:rsidRPr="00775072">
        <w:rPr>
          <w:color w:val="212121"/>
          <w:sz w:val="20"/>
        </w:rPr>
        <w:t xml:space="preserve">debe consistir en garantizar que el </w:t>
      </w:r>
      <w:r w:rsidR="00523F1A" w:rsidRPr="00775072">
        <w:rPr>
          <w:color w:val="212121"/>
          <w:sz w:val="20"/>
        </w:rPr>
        <w:t>procedimiento de ordenación (</w:t>
      </w:r>
      <w:r w:rsidRPr="00775072">
        <w:rPr>
          <w:color w:val="212121"/>
          <w:sz w:val="20"/>
        </w:rPr>
        <w:t>MP</w:t>
      </w:r>
      <w:r w:rsidR="00523F1A" w:rsidRPr="00775072">
        <w:rPr>
          <w:color w:val="212121"/>
          <w:sz w:val="20"/>
        </w:rPr>
        <w:t>)</w:t>
      </w:r>
      <w:r w:rsidRPr="00775072">
        <w:rPr>
          <w:color w:val="212121"/>
          <w:sz w:val="20"/>
        </w:rPr>
        <w:t xml:space="preserve"> funciona de acuerdo con los objetivos y puede incluir: la actualización de la matriz de </w:t>
      </w:r>
      <w:r w:rsidR="00523F1A" w:rsidRPr="00775072">
        <w:rPr>
          <w:color w:val="212121"/>
          <w:sz w:val="20"/>
        </w:rPr>
        <w:t>modelos operativos (</w:t>
      </w:r>
      <w:r w:rsidRPr="00775072">
        <w:rPr>
          <w:color w:val="212121"/>
          <w:sz w:val="20"/>
        </w:rPr>
        <w:t>OM</w:t>
      </w:r>
      <w:r w:rsidR="00523F1A" w:rsidRPr="00775072">
        <w:rPr>
          <w:color w:val="212121"/>
          <w:sz w:val="20"/>
        </w:rPr>
        <w:t>)</w:t>
      </w:r>
      <w:r w:rsidRPr="00775072">
        <w:rPr>
          <w:color w:val="212121"/>
          <w:sz w:val="20"/>
        </w:rPr>
        <w:t xml:space="preserve"> de referencia; el recondicionamiento de los </w:t>
      </w:r>
      <w:r w:rsidR="00523F1A" w:rsidRPr="00775072">
        <w:rPr>
          <w:color w:val="212121"/>
          <w:sz w:val="20"/>
        </w:rPr>
        <w:t xml:space="preserve">OM </w:t>
      </w:r>
      <w:r w:rsidRPr="00775072">
        <w:rPr>
          <w:color w:val="212121"/>
          <w:sz w:val="20"/>
        </w:rPr>
        <w:t xml:space="preserve">de la MSE; la recalibración del MP existente; y la consideración del desempeño de los procedimientos de ordenación candidatos </w:t>
      </w:r>
      <w:r w:rsidR="00523F1A" w:rsidRPr="00775072">
        <w:rPr>
          <w:color w:val="212121"/>
          <w:sz w:val="20"/>
        </w:rPr>
        <w:t xml:space="preserve">(CMP) </w:t>
      </w:r>
      <w:r w:rsidRPr="00775072">
        <w:rPr>
          <w:color w:val="212121"/>
          <w:sz w:val="20"/>
        </w:rPr>
        <w:t>alternativos dentro de un marco de MSE actualizado. Basándose en est</w:t>
      </w:r>
      <w:r w:rsidR="00523F1A" w:rsidRPr="00775072">
        <w:rPr>
          <w:color w:val="212121"/>
          <w:sz w:val="20"/>
        </w:rPr>
        <w:t xml:space="preserve">e examen </w:t>
      </w:r>
      <w:r w:rsidRPr="00775072">
        <w:rPr>
          <w:color w:val="212121"/>
          <w:sz w:val="20"/>
        </w:rPr>
        <w:t>y en el subsiguiente asesoramiento del SCRS, la Comisión decidirá las futuras medidas, enfoques y estrategias de ordenación, incluidos, entre otras cosas, los niveles de TAC para el pez espada del Atlántico norte.</w:t>
      </w:r>
    </w:p>
    <w:p w14:paraId="59756D00" w14:textId="77777777" w:rsidR="002949E9" w:rsidRPr="00775072" w:rsidRDefault="002949E9" w:rsidP="002949E9">
      <w:pPr>
        <w:pBdr>
          <w:top w:val="nil"/>
          <w:left w:val="nil"/>
          <w:bottom w:val="nil"/>
          <w:right w:val="nil"/>
          <w:between w:val="nil"/>
        </w:pBdr>
        <w:tabs>
          <w:tab w:val="left" w:pos="836"/>
          <w:tab w:val="left" w:pos="838"/>
        </w:tabs>
        <w:ind w:left="426" w:right="123"/>
        <w:jc w:val="both"/>
        <w:rPr>
          <w:color w:val="212121"/>
          <w:sz w:val="20"/>
          <w:szCs w:val="20"/>
        </w:rPr>
      </w:pPr>
    </w:p>
    <w:p w14:paraId="08E38F77" w14:textId="659B59B8" w:rsidR="002949E9" w:rsidRPr="0077507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212121"/>
          <w:sz w:val="20"/>
          <w:szCs w:val="20"/>
        </w:rPr>
      </w:pPr>
      <w:r w:rsidRPr="00775072">
        <w:rPr>
          <w:color w:val="212121"/>
          <w:sz w:val="20"/>
        </w:rPr>
        <w:t xml:space="preserve">La Subcomisión 4, con la orientación científica del SCRS, desarrollará el protocolo de </w:t>
      </w:r>
      <w:r w:rsidR="0038601A" w:rsidRPr="00775072">
        <w:rPr>
          <w:color w:val="212121"/>
          <w:sz w:val="20"/>
        </w:rPr>
        <w:t>circunstancias excepcionales</w:t>
      </w:r>
      <w:r w:rsidRPr="00775072">
        <w:rPr>
          <w:color w:val="212121"/>
          <w:sz w:val="20"/>
        </w:rPr>
        <w:t xml:space="preserve"> para este MP durante una o más reuniones intersesiones, según sea necesario, para su </w:t>
      </w:r>
      <w:r w:rsidR="00523F1A" w:rsidRPr="00775072">
        <w:rPr>
          <w:color w:val="212121"/>
          <w:sz w:val="20"/>
        </w:rPr>
        <w:t>examen</w:t>
      </w:r>
      <w:r w:rsidRPr="00775072">
        <w:rPr>
          <w:color w:val="212121"/>
          <w:sz w:val="20"/>
        </w:rPr>
        <w:t xml:space="preserve"> y adopción por la Comisión en su reunión anual de 2025. El protocolo se convertirá en el </w:t>
      </w:r>
      <w:r w:rsidRPr="00775072">
        <w:rPr>
          <w:b/>
          <w:bCs/>
          <w:color w:val="212121"/>
          <w:sz w:val="20"/>
        </w:rPr>
        <w:t>Anexo 4</w:t>
      </w:r>
      <w:r w:rsidRPr="00775072">
        <w:rPr>
          <w:color w:val="212121"/>
          <w:sz w:val="20"/>
        </w:rPr>
        <w:t xml:space="preserve"> de la presente Recomendación una vez que sea adoptado.</w:t>
      </w:r>
    </w:p>
    <w:p w14:paraId="1D038261" w14:textId="77777777" w:rsidR="002949E9" w:rsidRPr="00775072" w:rsidRDefault="002949E9" w:rsidP="002949E9">
      <w:pPr>
        <w:pBdr>
          <w:top w:val="nil"/>
          <w:left w:val="nil"/>
          <w:bottom w:val="nil"/>
          <w:right w:val="nil"/>
          <w:between w:val="nil"/>
        </w:pBdr>
        <w:spacing w:before="9"/>
        <w:rPr>
          <w:color w:val="000000"/>
          <w:sz w:val="20"/>
          <w:szCs w:val="20"/>
        </w:rPr>
      </w:pPr>
    </w:p>
    <w:p w14:paraId="2AAD74EB" w14:textId="336C4EE1" w:rsidR="002949E9" w:rsidRPr="00775072" w:rsidRDefault="002949E9" w:rsidP="002949E9">
      <w:pPr>
        <w:numPr>
          <w:ilvl w:val="0"/>
          <w:numId w:val="1"/>
        </w:numPr>
        <w:pBdr>
          <w:top w:val="nil"/>
          <w:left w:val="nil"/>
          <w:bottom w:val="nil"/>
          <w:right w:val="nil"/>
          <w:between w:val="nil"/>
        </w:pBdr>
        <w:tabs>
          <w:tab w:val="left" w:pos="836"/>
          <w:tab w:val="left" w:pos="838"/>
        </w:tabs>
        <w:ind w:left="426" w:right="123" w:hanging="426"/>
        <w:jc w:val="both"/>
        <w:rPr>
          <w:color w:val="000000"/>
          <w:sz w:val="20"/>
          <w:szCs w:val="20"/>
        </w:rPr>
      </w:pPr>
      <w:r w:rsidRPr="00775072">
        <w:rPr>
          <w:color w:val="000000"/>
          <w:sz w:val="20"/>
        </w:rPr>
        <w:t xml:space="preserve">Esta Recomendación deroga las siguientes medidas y las sustituye: la </w:t>
      </w:r>
      <w:r w:rsidRPr="00775072">
        <w:rPr>
          <w:i/>
          <w:iCs/>
          <w:color w:val="000000"/>
          <w:sz w:val="20"/>
        </w:rPr>
        <w:t>Recomendación de ICCAT que enmienda la Recomendación 16-03 de ICCAT sobre la conservación del pez espada del Atlántico norte</w:t>
      </w:r>
      <w:r w:rsidRPr="00775072">
        <w:rPr>
          <w:color w:val="000000"/>
          <w:sz w:val="20"/>
        </w:rPr>
        <w:t xml:space="preserve"> (Rec. 17-02) y la </w:t>
      </w:r>
      <w:r w:rsidRPr="00775072">
        <w:rPr>
          <w:i/>
          <w:iCs/>
          <w:color w:val="000000"/>
          <w:sz w:val="20"/>
        </w:rPr>
        <w:t>Resolución de ICCAT sobre el desarrollo de los objetivos iniciales de ordenación para el pez espada del Atlántico norte</w:t>
      </w:r>
      <w:r w:rsidRPr="00775072">
        <w:rPr>
          <w:color w:val="000000"/>
          <w:sz w:val="20"/>
        </w:rPr>
        <w:t xml:space="preserve"> (Res. 19-14) y la </w:t>
      </w:r>
      <w:r w:rsidRPr="00775072">
        <w:rPr>
          <w:i/>
          <w:iCs/>
          <w:color w:val="000000"/>
          <w:sz w:val="20"/>
        </w:rPr>
        <w:t>Recomendación de ICCAT que reemplaza la Recomendación 22-03 que amplía y enmienda la Recomendación 17-02 para la conservación del pez espada del Atlántico norte</w:t>
      </w:r>
      <w:r w:rsidRPr="00775072">
        <w:rPr>
          <w:color w:val="000000"/>
          <w:sz w:val="20"/>
        </w:rPr>
        <w:t xml:space="preserve"> (Rec. 23-04).</w:t>
      </w:r>
    </w:p>
    <w:p w14:paraId="24A39CD8" w14:textId="77777777" w:rsidR="005F12F8" w:rsidRPr="00775072" w:rsidRDefault="005F12F8" w:rsidP="005F12F8">
      <w:pPr>
        <w:pStyle w:val="ListParagraph"/>
        <w:rPr>
          <w:color w:val="000000"/>
          <w:sz w:val="20"/>
          <w:szCs w:val="20"/>
        </w:rPr>
      </w:pPr>
    </w:p>
    <w:p w14:paraId="079CC7A4" w14:textId="33C4E223" w:rsidR="005F12F8" w:rsidRPr="00775072" w:rsidRDefault="005F12F8">
      <w:pPr>
        <w:widowControl/>
        <w:spacing w:after="160" w:line="259" w:lineRule="auto"/>
        <w:rPr>
          <w:color w:val="000000"/>
          <w:sz w:val="20"/>
          <w:szCs w:val="20"/>
        </w:rPr>
      </w:pPr>
      <w:r w:rsidRPr="00775072">
        <w:rPr>
          <w:color w:val="000000"/>
          <w:sz w:val="20"/>
          <w:szCs w:val="20"/>
        </w:rPr>
        <w:br w:type="page"/>
      </w:r>
    </w:p>
    <w:p w14:paraId="3BF12313" w14:textId="77777777" w:rsidR="005F12F8" w:rsidRPr="00775072" w:rsidRDefault="005F12F8" w:rsidP="005F12F8">
      <w:pPr>
        <w:ind w:right="2"/>
        <w:jc w:val="right"/>
        <w:rPr>
          <w:b/>
          <w:sz w:val="20"/>
          <w:szCs w:val="20"/>
        </w:rPr>
      </w:pPr>
      <w:r w:rsidRPr="00775072">
        <w:rPr>
          <w:b/>
          <w:sz w:val="20"/>
        </w:rPr>
        <w:lastRenderedPageBreak/>
        <w:t>Anexo 1</w:t>
      </w:r>
    </w:p>
    <w:p w14:paraId="2CDB5344" w14:textId="77777777" w:rsidR="005F12F8" w:rsidRPr="00775072" w:rsidRDefault="005F12F8" w:rsidP="005F12F8">
      <w:pPr>
        <w:ind w:right="2"/>
        <w:jc w:val="center"/>
        <w:rPr>
          <w:b/>
          <w:sz w:val="20"/>
          <w:szCs w:val="20"/>
        </w:rPr>
      </w:pPr>
      <w:r w:rsidRPr="00775072">
        <w:rPr>
          <w:b/>
          <w:sz w:val="20"/>
        </w:rPr>
        <w:t xml:space="preserve"> </w:t>
      </w:r>
    </w:p>
    <w:p w14:paraId="7516167D" w14:textId="77777777" w:rsidR="005F12F8" w:rsidRPr="00775072" w:rsidRDefault="005F12F8" w:rsidP="005F12F8">
      <w:pPr>
        <w:widowControl/>
        <w:jc w:val="center"/>
        <w:rPr>
          <w:b/>
          <w:sz w:val="20"/>
        </w:rPr>
      </w:pPr>
      <w:r w:rsidRPr="00775072">
        <w:rPr>
          <w:b/>
          <w:sz w:val="20"/>
        </w:rPr>
        <w:t xml:space="preserve">Descripción y fórmulas para calcular los totales admisibles de captura (TAC) </w:t>
      </w:r>
    </w:p>
    <w:p w14:paraId="6B69C1DA" w14:textId="77777777" w:rsidR="005F12F8" w:rsidRPr="00775072" w:rsidRDefault="005F12F8" w:rsidP="005F12F8">
      <w:pPr>
        <w:widowControl/>
        <w:jc w:val="center"/>
        <w:rPr>
          <w:b/>
          <w:sz w:val="20"/>
        </w:rPr>
      </w:pPr>
      <w:r w:rsidRPr="00775072">
        <w:rPr>
          <w:b/>
          <w:sz w:val="20"/>
        </w:rPr>
        <w:t xml:space="preserve">para el pez espada del Atlántico norte utilizando las especificaciones </w:t>
      </w:r>
    </w:p>
    <w:p w14:paraId="533EBF8E" w14:textId="77777777" w:rsidR="005F12F8" w:rsidRPr="00775072" w:rsidRDefault="005F12F8" w:rsidP="005F12F8">
      <w:pPr>
        <w:widowControl/>
        <w:jc w:val="center"/>
        <w:rPr>
          <w:b/>
          <w:sz w:val="20"/>
          <w:szCs w:val="20"/>
        </w:rPr>
      </w:pPr>
      <w:r w:rsidRPr="00775072">
        <w:rPr>
          <w:b/>
          <w:sz w:val="20"/>
        </w:rPr>
        <w:t>del procedimiento de ordenación (MP) MCC11</w:t>
      </w:r>
    </w:p>
    <w:p w14:paraId="29479210" w14:textId="77777777" w:rsidR="005F12F8" w:rsidRPr="00775072" w:rsidRDefault="005F12F8" w:rsidP="005F12F8">
      <w:pPr>
        <w:ind w:right="1360"/>
        <w:jc w:val="center"/>
        <w:rPr>
          <w:sz w:val="20"/>
          <w:szCs w:val="20"/>
        </w:rPr>
      </w:pPr>
      <w:r w:rsidRPr="00775072">
        <w:rPr>
          <w:sz w:val="20"/>
        </w:rPr>
        <w:t xml:space="preserve"> </w:t>
      </w:r>
    </w:p>
    <w:p w14:paraId="39BB43BC" w14:textId="77777777" w:rsidR="005F12F8" w:rsidRPr="00775072" w:rsidRDefault="005F12F8" w:rsidP="005F12F8">
      <w:pPr>
        <w:ind w:right="2"/>
        <w:rPr>
          <w:bCs/>
          <w:sz w:val="20"/>
          <w:szCs w:val="20"/>
        </w:rPr>
      </w:pPr>
    </w:p>
    <w:p w14:paraId="6022478E" w14:textId="77777777" w:rsidR="005F12F8" w:rsidRPr="00775072" w:rsidRDefault="005F12F8" w:rsidP="005F12F8">
      <w:pPr>
        <w:rPr>
          <w:b/>
          <w:bCs/>
          <w:iCs/>
          <w:sz w:val="20"/>
          <w:szCs w:val="20"/>
        </w:rPr>
      </w:pPr>
      <w:r w:rsidRPr="00775072">
        <w:rPr>
          <w:b/>
          <w:iCs/>
          <w:sz w:val="20"/>
        </w:rPr>
        <w:t>MCC11</w:t>
      </w:r>
    </w:p>
    <w:p w14:paraId="1E1FFEA3" w14:textId="77777777" w:rsidR="005F12F8" w:rsidRPr="00775072" w:rsidRDefault="005F12F8" w:rsidP="005F12F8">
      <w:pPr>
        <w:jc w:val="both"/>
        <w:rPr>
          <w:sz w:val="20"/>
          <w:szCs w:val="20"/>
        </w:rPr>
      </w:pPr>
    </w:p>
    <w:p w14:paraId="4C7863D8" w14:textId="6B4A62A5" w:rsidR="005F12F8" w:rsidRPr="00775072" w:rsidRDefault="005F12F8" w:rsidP="005F12F8">
      <w:pPr>
        <w:jc w:val="both"/>
        <w:rPr>
          <w:sz w:val="20"/>
          <w:szCs w:val="20"/>
        </w:rPr>
      </w:pPr>
      <w:r w:rsidRPr="00775072">
        <w:rPr>
          <w:sz w:val="20"/>
        </w:rPr>
        <w:t>El procedimiento de ordenación MCC11 (captura mayoritariamente constante con 11 niveles) es empírico y utiliza una única entrada de datos: el índice combinado de abundancia del pez espada del Atlántico norte ("el índice combinado"). El objetivo del MP MCC11 es que las capturas se mantengan lo más constantes posible y sólo aumentar el TAC si el índice combinado aumenta sustancialmente y sólo disminuir el TAC si el índice combinado disminuye sustancialmente. Este MP se ajusta para alcanzar una probabilidad del 60 % de situar</w:t>
      </w:r>
      <w:r w:rsidR="00523F1A" w:rsidRPr="00775072">
        <w:rPr>
          <w:sz w:val="20"/>
        </w:rPr>
        <w:t xml:space="preserve"> al stock</w:t>
      </w:r>
      <w:r w:rsidRPr="00775072">
        <w:rPr>
          <w:sz w:val="20"/>
        </w:rPr>
        <w:t xml:space="preserve"> en el cuadrante verde de</w:t>
      </w:r>
      <w:r w:rsidR="00523F1A" w:rsidRPr="00775072">
        <w:rPr>
          <w:sz w:val="20"/>
        </w:rPr>
        <w:t>l diagrama de</w:t>
      </w:r>
      <w:r w:rsidRPr="00775072">
        <w:rPr>
          <w:sz w:val="20"/>
        </w:rPr>
        <w:t xml:space="preserve"> Kobe (es decir, SB≥SB</w:t>
      </w:r>
      <w:r w:rsidRPr="00775072">
        <w:rPr>
          <w:sz w:val="20"/>
          <w:vertAlign w:val="subscript"/>
        </w:rPr>
        <w:t>RMS</w:t>
      </w:r>
      <w:r w:rsidRPr="00775072">
        <w:rPr>
          <w:sz w:val="20"/>
        </w:rPr>
        <w:t xml:space="preserve"> y F≤F</w:t>
      </w:r>
      <w:r w:rsidRPr="00775072">
        <w:rPr>
          <w:sz w:val="20"/>
          <w:vertAlign w:val="subscript"/>
        </w:rPr>
        <w:t>RMS</w:t>
      </w:r>
      <w:r w:rsidRPr="00775072">
        <w:rPr>
          <w:sz w:val="20"/>
        </w:rPr>
        <w:t>) en cada uno de los tres periodos de proyección de 10 años (corto = años 1-10; medio = años 11-20; largo = años 21-30).</w:t>
      </w:r>
    </w:p>
    <w:p w14:paraId="419B2AE3" w14:textId="77777777" w:rsidR="005F12F8" w:rsidRPr="00775072" w:rsidRDefault="005F12F8" w:rsidP="005F12F8">
      <w:pPr>
        <w:jc w:val="both"/>
        <w:rPr>
          <w:i/>
          <w:iCs/>
          <w:sz w:val="20"/>
          <w:szCs w:val="20"/>
        </w:rPr>
      </w:pPr>
    </w:p>
    <w:p w14:paraId="78C92300" w14:textId="77777777" w:rsidR="005F12F8" w:rsidRPr="00775072" w:rsidRDefault="005F12F8" w:rsidP="005F12F8">
      <w:pPr>
        <w:jc w:val="both"/>
        <w:rPr>
          <w:b/>
          <w:bCs/>
          <w:iCs/>
          <w:sz w:val="20"/>
          <w:szCs w:val="20"/>
        </w:rPr>
      </w:pPr>
      <w:r w:rsidRPr="00775072">
        <w:rPr>
          <w:b/>
          <w:iCs/>
          <w:sz w:val="20"/>
        </w:rPr>
        <w:t>Índice de abundancia</w:t>
      </w:r>
    </w:p>
    <w:p w14:paraId="57509D5A" w14:textId="77777777" w:rsidR="005F12F8" w:rsidRPr="00775072" w:rsidRDefault="005F12F8" w:rsidP="005F12F8">
      <w:pPr>
        <w:jc w:val="both"/>
        <w:rPr>
          <w:sz w:val="20"/>
          <w:szCs w:val="20"/>
        </w:rPr>
      </w:pPr>
    </w:p>
    <w:p w14:paraId="4AB16454" w14:textId="77777777" w:rsidR="005F12F8" w:rsidRPr="00775072" w:rsidRDefault="005F12F8" w:rsidP="005F12F8">
      <w:pPr>
        <w:jc w:val="both"/>
        <w:rPr>
          <w:sz w:val="20"/>
          <w:szCs w:val="20"/>
        </w:rPr>
      </w:pPr>
      <w:r w:rsidRPr="00775072">
        <w:rPr>
          <w:sz w:val="20"/>
        </w:rPr>
        <w:t xml:space="preserve">El índice combinado utiliza datos de captura y esfuerzo de siete CPC de ICCAT y se basa tanto en los datos de captura y esfuerzo de Tarea 2 como en registros detallados de captura y esfuerzo obtenidos directamente de algunas CPC, que suman más del 95 % de la captura anual en el Atlántico norte. El año inicial del índice es 1963. Los valores del índice se expresan en kilogramos de capturas de pez espada por 1.000 anzuelos. Este índice basado en modelos utiliza una distribución de error </w:t>
      </w:r>
      <w:proofErr w:type="spellStart"/>
      <w:r w:rsidRPr="00775072">
        <w:rPr>
          <w:sz w:val="20"/>
        </w:rPr>
        <w:t>Tweedie</w:t>
      </w:r>
      <w:proofErr w:type="spellEnd"/>
      <w:r w:rsidRPr="00775072">
        <w:rPr>
          <w:sz w:val="20"/>
        </w:rPr>
        <w:t xml:space="preserve"> y variables explicativas categóricas: año, trimestre, zona espacial, una variable de especie objetivo y una variable de clase de talla.</w:t>
      </w:r>
    </w:p>
    <w:p w14:paraId="1262D42B" w14:textId="77777777" w:rsidR="005F12F8" w:rsidRPr="00775072" w:rsidRDefault="005F12F8" w:rsidP="005F12F8">
      <w:pPr>
        <w:jc w:val="both"/>
        <w:rPr>
          <w:sz w:val="20"/>
          <w:szCs w:val="20"/>
        </w:rPr>
      </w:pPr>
    </w:p>
    <w:p w14:paraId="74722D71" w14:textId="77777777" w:rsidR="005F12F8" w:rsidRPr="00775072" w:rsidRDefault="005F12F8" w:rsidP="005F12F8">
      <w:pPr>
        <w:jc w:val="both"/>
        <w:rPr>
          <w:sz w:val="20"/>
          <w:szCs w:val="20"/>
        </w:rPr>
      </w:pPr>
      <w:r w:rsidRPr="00775072">
        <w:rPr>
          <w:sz w:val="20"/>
        </w:rPr>
        <w:t xml:space="preserve">A continuación, los valores anuales previstos se estandarizan con una media de 1 para toda la serie temporal. Estos valores se definen como </w:t>
      </w:r>
      <w:r w:rsidRPr="00775072">
        <w:rPr>
          <w:i/>
          <w:sz w:val="20"/>
        </w:rPr>
        <w:t>I</w:t>
      </w:r>
      <w:r w:rsidRPr="00775072">
        <w:rPr>
          <w:sz w:val="20"/>
        </w:rPr>
        <w:t>.</w:t>
      </w:r>
    </w:p>
    <w:p w14:paraId="5B462E40" w14:textId="77777777" w:rsidR="005F12F8" w:rsidRPr="00775072" w:rsidRDefault="005F12F8" w:rsidP="005F12F8">
      <w:pPr>
        <w:jc w:val="both"/>
        <w:rPr>
          <w:sz w:val="20"/>
          <w:szCs w:val="20"/>
        </w:rPr>
      </w:pPr>
    </w:p>
    <w:p w14:paraId="2E69442A" w14:textId="77777777" w:rsidR="005F12F8" w:rsidRPr="00775072" w:rsidRDefault="005F12F8" w:rsidP="005F12F8">
      <w:pPr>
        <w:jc w:val="both"/>
        <w:rPr>
          <w:b/>
          <w:bCs/>
          <w:iCs/>
          <w:sz w:val="20"/>
          <w:szCs w:val="20"/>
        </w:rPr>
      </w:pPr>
      <w:r w:rsidRPr="00775072">
        <w:rPr>
          <w:b/>
          <w:iCs/>
          <w:sz w:val="20"/>
        </w:rPr>
        <w:t>Especificaciones del MP</w:t>
      </w:r>
    </w:p>
    <w:p w14:paraId="1768BCDA" w14:textId="77777777" w:rsidR="005F12F8" w:rsidRPr="00775072" w:rsidRDefault="005F12F8" w:rsidP="005F12F8">
      <w:pPr>
        <w:jc w:val="both"/>
        <w:rPr>
          <w:sz w:val="20"/>
          <w:szCs w:val="20"/>
        </w:rPr>
      </w:pPr>
    </w:p>
    <w:p w14:paraId="2821B683" w14:textId="418FD753" w:rsidR="005F12F8" w:rsidRPr="00775072" w:rsidRDefault="005F12F8" w:rsidP="005F12F8">
      <w:pPr>
        <w:jc w:val="both"/>
        <w:rPr>
          <w:sz w:val="20"/>
          <w:szCs w:val="20"/>
        </w:rPr>
      </w:pPr>
      <w:r w:rsidRPr="00775072">
        <w:rPr>
          <w:sz w:val="20"/>
        </w:rPr>
        <w:t>Este MP utiliza un ciclo de ordenación de tres años de duración. El TAC de base (captura constante) es de 12.600 t</w:t>
      </w:r>
      <w:r w:rsidR="001E2064" w:rsidRPr="00775072">
        <w:rPr>
          <w:sz w:val="20"/>
        </w:rPr>
        <w:t>;</w:t>
      </w:r>
      <w:r w:rsidRPr="00775072">
        <w:rPr>
          <w:sz w:val="20"/>
        </w:rPr>
        <w:t xml:space="preserve"> se trata de una aproximación de la captura constante que daría como resultado al menos un 60 % de PGK.</w:t>
      </w:r>
    </w:p>
    <w:p w14:paraId="306385B9" w14:textId="77777777" w:rsidR="005F12F8" w:rsidRPr="00775072" w:rsidRDefault="005F12F8" w:rsidP="005F12F8">
      <w:pPr>
        <w:jc w:val="both"/>
        <w:rPr>
          <w:sz w:val="20"/>
          <w:szCs w:val="20"/>
        </w:rPr>
      </w:pPr>
    </w:p>
    <w:p w14:paraId="750DE4A4" w14:textId="77777777" w:rsidR="005F12F8" w:rsidRPr="00775072" w:rsidRDefault="005F12F8" w:rsidP="005F12F8">
      <w:pPr>
        <w:jc w:val="both"/>
        <w:rPr>
          <w:sz w:val="20"/>
          <w:szCs w:val="20"/>
        </w:rPr>
      </w:pPr>
      <w:r w:rsidRPr="00775072">
        <w:rPr>
          <w:sz w:val="20"/>
        </w:rPr>
        <w:t>Un TAC de base (</w:t>
      </w:r>
      <w:proofErr w:type="spellStart"/>
      <w:r w:rsidRPr="00775072">
        <w:rPr>
          <w:sz w:val="20"/>
        </w:rPr>
        <w:t>TAC</w:t>
      </w:r>
      <w:r w:rsidRPr="00775072">
        <w:rPr>
          <w:sz w:val="20"/>
          <w:vertAlign w:val="subscript"/>
        </w:rPr>
        <w:t>base</w:t>
      </w:r>
      <w:proofErr w:type="spellEnd"/>
      <w:r w:rsidRPr="00775072">
        <w:rPr>
          <w:sz w:val="20"/>
        </w:rPr>
        <w:t>) se calcula como:</w:t>
      </w:r>
    </w:p>
    <w:p w14:paraId="310970FF" w14:textId="45FAB771" w:rsidR="005F12F8" w:rsidRPr="00775072" w:rsidRDefault="00775072" w:rsidP="005F12F8">
      <w:pPr>
        <w:rPr>
          <w:sz w:val="20"/>
          <w:szCs w:val="20"/>
        </w:rPr>
      </w:pPr>
      <m:oMathPara>
        <m:oMath>
          <m:sSub>
            <m:sSubPr>
              <m:ctrlPr>
                <w:rPr>
                  <w:rFonts w:ascii="Cambria Math" w:hAnsi="Cambria Math"/>
                  <w:i/>
                  <w:sz w:val="20"/>
                  <w:szCs w:val="20"/>
                </w:rPr>
              </m:ctrlPr>
            </m:sSubPr>
            <m:e>
              <m:r>
                <m:rPr>
                  <m:nor/>
                </m:rPr>
                <w:rPr>
                  <w:sz w:val="20"/>
                  <w:szCs w:val="20"/>
                </w:rPr>
                <m:t>TAC</m:t>
              </m:r>
            </m:e>
            <m:sub>
              <m:r>
                <m:rPr>
                  <m:nor/>
                </m:rPr>
                <w:rPr>
                  <w:sz w:val="20"/>
                  <w:szCs w:val="20"/>
                </w:rPr>
                <m:t>base</m:t>
              </m:r>
            </m:sub>
          </m:sSub>
          <m:r>
            <w:rPr>
              <w:rFonts w:ascii="Cambria Math" w:hAnsi="Cambria Math"/>
              <w:sz w:val="20"/>
              <w:szCs w:val="20"/>
            </w:rPr>
            <m:t>=</m:t>
          </m:r>
          <m:r>
            <w:rPr>
              <w:rFonts w:ascii="Cambria Math" w:hAnsi="Cambria Math"/>
              <w:sz w:val="20"/>
              <w:szCs w:val="20"/>
              <w:lang w:val="en-CA"/>
            </w:rPr>
            <m:t>θ</m:t>
          </m:r>
          <m:r>
            <w:rPr>
              <w:rFonts w:ascii="Cambria Math" w:hAnsi="Cambria Math"/>
              <w:sz w:val="20"/>
              <w:szCs w:val="20"/>
            </w:rPr>
            <m:t>12.600</m:t>
          </m:r>
        </m:oMath>
      </m:oMathPara>
    </w:p>
    <w:p w14:paraId="5240C592" w14:textId="77777777" w:rsidR="005F12F8" w:rsidRPr="00775072" w:rsidRDefault="005F12F8" w:rsidP="005F12F8">
      <w:pPr>
        <w:jc w:val="both"/>
        <w:rPr>
          <w:sz w:val="20"/>
          <w:szCs w:val="20"/>
        </w:rPr>
      </w:pPr>
    </w:p>
    <w:p w14:paraId="19E85133" w14:textId="77777777" w:rsidR="005F12F8" w:rsidRPr="00775072" w:rsidRDefault="005F12F8" w:rsidP="005F12F8">
      <w:pPr>
        <w:jc w:val="both"/>
        <w:rPr>
          <w:sz w:val="20"/>
          <w:szCs w:val="20"/>
        </w:rPr>
      </w:pPr>
      <w:r w:rsidRPr="00775072">
        <w:rPr>
          <w:sz w:val="20"/>
        </w:rPr>
        <w:t xml:space="preserve">donde </w:t>
      </w:r>
      <m:oMath>
        <m:r>
          <w:rPr>
            <w:rFonts w:ascii="Cambria Math" w:hAnsi="Cambria Math"/>
            <w:sz w:val="20"/>
            <w:szCs w:val="20"/>
            <w:lang w:val="en-CA"/>
          </w:rPr>
          <m:t>θ</m:t>
        </m:r>
      </m:oMath>
      <w:r w:rsidRPr="00775072">
        <w:rPr>
          <w:sz w:val="20"/>
        </w:rPr>
        <w:t xml:space="preserve"> es el parámetro de calibración que permite alcanzar una PGK del 60 % a corto plazo. El parámetro de calibración para MCC11 es 0,7562.</w:t>
      </w:r>
    </w:p>
    <w:p w14:paraId="007FDF3B" w14:textId="77777777" w:rsidR="005F12F8" w:rsidRPr="00775072" w:rsidRDefault="005F12F8" w:rsidP="005F12F8">
      <w:pPr>
        <w:jc w:val="both"/>
        <w:rPr>
          <w:sz w:val="20"/>
          <w:szCs w:val="20"/>
        </w:rPr>
      </w:pPr>
    </w:p>
    <w:p w14:paraId="44A39BC5" w14:textId="7FC4FD53" w:rsidR="005F12F8" w:rsidRPr="00775072" w:rsidRDefault="005F12F8" w:rsidP="005F12F8">
      <w:pPr>
        <w:jc w:val="both"/>
        <w:rPr>
          <w:sz w:val="20"/>
          <w:szCs w:val="20"/>
        </w:rPr>
      </w:pPr>
      <w:r w:rsidRPr="00775072">
        <w:rPr>
          <w:sz w:val="20"/>
        </w:rPr>
        <w:t xml:space="preserve">El </w:t>
      </w:r>
      <w:proofErr w:type="spellStart"/>
      <w:r w:rsidRPr="00775072">
        <w:rPr>
          <w:sz w:val="20"/>
        </w:rPr>
        <w:t>TAC</w:t>
      </w:r>
      <w:r w:rsidRPr="00775072">
        <w:rPr>
          <w:sz w:val="20"/>
          <w:vertAlign w:val="subscript"/>
        </w:rPr>
        <w:t>base</w:t>
      </w:r>
      <w:proofErr w:type="spellEnd"/>
      <w:r w:rsidRPr="00775072">
        <w:rPr>
          <w:sz w:val="20"/>
        </w:rPr>
        <w:t xml:space="preserve"> se modifica comparando la </w:t>
      </w:r>
      <w:r w:rsidR="001E2064" w:rsidRPr="00775072">
        <w:rPr>
          <w:sz w:val="20"/>
        </w:rPr>
        <w:t>ratio</w:t>
      </w:r>
      <w:r w:rsidRPr="00775072">
        <w:rPr>
          <w:sz w:val="20"/>
        </w:rPr>
        <w:t xml:space="preserve"> entre la media actual de tres años del índice combinado (</w:t>
      </w:r>
      <w:proofErr w:type="spellStart"/>
      <w:r w:rsidRPr="00775072">
        <w:rPr>
          <w:i/>
          <w:sz w:val="20"/>
        </w:rPr>
        <w:t>I</w:t>
      </w:r>
      <w:r w:rsidRPr="00775072">
        <w:rPr>
          <w:i/>
          <w:sz w:val="20"/>
          <w:vertAlign w:val="subscript"/>
        </w:rPr>
        <w:t>curr</w:t>
      </w:r>
      <w:proofErr w:type="spellEnd"/>
      <w:r w:rsidRPr="00775072">
        <w:rPr>
          <w:sz w:val="20"/>
        </w:rPr>
        <w:t>) y una media histórica de tres años del índice combinado (</w:t>
      </w:r>
      <w:proofErr w:type="spellStart"/>
      <w:r w:rsidRPr="00775072">
        <w:rPr>
          <w:i/>
          <w:sz w:val="20"/>
        </w:rPr>
        <w:t>I</w:t>
      </w:r>
      <w:r w:rsidRPr="00775072">
        <w:rPr>
          <w:i/>
          <w:sz w:val="20"/>
          <w:vertAlign w:val="subscript"/>
        </w:rPr>
        <w:t>base</w:t>
      </w:r>
      <w:proofErr w:type="spellEnd"/>
      <w:r w:rsidRPr="00775072">
        <w:rPr>
          <w:sz w:val="20"/>
        </w:rPr>
        <w:t>):</w:t>
      </w:r>
    </w:p>
    <w:p w14:paraId="539BBD64" w14:textId="77777777" w:rsidR="005F12F8" w:rsidRPr="00775072" w:rsidRDefault="005F12F8" w:rsidP="005F12F8">
      <w:pPr>
        <w:jc w:val="both"/>
        <w:rPr>
          <w:sz w:val="20"/>
          <w:szCs w:val="20"/>
        </w:rPr>
      </w:pPr>
    </w:p>
    <w:p w14:paraId="18BD8F0E" w14:textId="77777777" w:rsidR="005F12F8" w:rsidRPr="00775072" w:rsidRDefault="00775072" w:rsidP="005F12F8">
      <w:pPr>
        <w:rPr>
          <w:sz w:val="20"/>
          <w:szCs w:val="20"/>
          <w:lang w:val="fr-BE"/>
        </w:rPr>
      </w:pPr>
      <m:oMathPara>
        <m:oMath>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curr</m:t>
                  </m:r>
                </m:sub>
              </m:sSub>
            </m:num>
            <m:den>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base</m:t>
                  </m:r>
                </m:sub>
              </m:sSub>
            </m:den>
          </m:f>
        </m:oMath>
      </m:oMathPara>
    </w:p>
    <w:p w14:paraId="3B25CAE0" w14:textId="77777777" w:rsidR="005F12F8" w:rsidRPr="00775072" w:rsidRDefault="005F12F8" w:rsidP="005F12F8">
      <w:pPr>
        <w:jc w:val="both"/>
        <w:rPr>
          <w:i/>
          <w:iCs/>
          <w:sz w:val="20"/>
          <w:szCs w:val="20"/>
          <w:lang w:val="fr-FR"/>
        </w:rPr>
      </w:pPr>
    </w:p>
    <w:p w14:paraId="33E4D575" w14:textId="45A7B29E" w:rsidR="005F12F8" w:rsidRPr="00775072" w:rsidRDefault="005F12F8" w:rsidP="005F12F8">
      <w:pPr>
        <w:jc w:val="both"/>
        <w:rPr>
          <w:sz w:val="20"/>
          <w:szCs w:val="20"/>
        </w:rPr>
      </w:pPr>
      <w:proofErr w:type="spellStart"/>
      <w:r w:rsidRPr="00775072">
        <w:rPr>
          <w:i/>
          <w:sz w:val="20"/>
        </w:rPr>
        <w:t>I</w:t>
      </w:r>
      <w:r w:rsidRPr="00775072">
        <w:rPr>
          <w:i/>
          <w:sz w:val="20"/>
          <w:vertAlign w:val="subscript"/>
        </w:rPr>
        <w:t>base</w:t>
      </w:r>
      <w:proofErr w:type="spellEnd"/>
      <w:r w:rsidRPr="00775072">
        <w:rPr>
          <w:sz w:val="20"/>
        </w:rPr>
        <w:t xml:space="preserve"> se calcula como la media del índice combinado de 2017-2019. El valor de </w:t>
      </w:r>
      <m:oMath>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 xml:space="preserve"> </m:t>
        </m:r>
      </m:oMath>
      <w:r w:rsidRPr="00775072">
        <w:t xml:space="preserve"> </w:t>
      </w:r>
      <w:r w:rsidRPr="00775072">
        <w:rPr>
          <w:sz w:val="20"/>
        </w:rPr>
        <w:t xml:space="preserve">se utiliza para determinar cuánto debería aumentarse o reducirse el </w:t>
      </w:r>
      <w:proofErr w:type="spellStart"/>
      <w:r w:rsidRPr="00775072">
        <w:rPr>
          <w:sz w:val="20"/>
        </w:rPr>
        <w:t>TAC</w:t>
      </w:r>
      <w:r w:rsidRPr="00775072">
        <w:rPr>
          <w:sz w:val="20"/>
          <w:vertAlign w:val="subscript"/>
        </w:rPr>
        <w:t>base</w:t>
      </w:r>
      <w:proofErr w:type="spellEnd"/>
      <w:r w:rsidRPr="00775072">
        <w:rPr>
          <w:sz w:val="20"/>
        </w:rPr>
        <w:t xml:space="preserve"> en caso</w:t>
      </w:r>
      <w:r w:rsidR="001E2064" w:rsidRPr="00775072">
        <w:rPr>
          <w:sz w:val="20"/>
        </w:rPr>
        <w:t xml:space="preserve"> de que sea necesario</w:t>
      </w:r>
      <w:r w:rsidRPr="00775072">
        <w:rPr>
          <w:sz w:val="20"/>
        </w:rPr>
        <w:t>.</w:t>
      </w:r>
    </w:p>
    <w:p w14:paraId="6CDDBA6D" w14:textId="77777777" w:rsidR="005F12F8" w:rsidRPr="00775072" w:rsidRDefault="005F12F8" w:rsidP="005F12F8">
      <w:pPr>
        <w:jc w:val="both"/>
        <w:rPr>
          <w:sz w:val="20"/>
          <w:szCs w:val="20"/>
        </w:rPr>
      </w:pPr>
    </w:p>
    <w:p w14:paraId="1145C809" w14:textId="77777777" w:rsidR="005F12F8" w:rsidRPr="00775072" w:rsidRDefault="005F12F8" w:rsidP="005F12F8">
      <w:pPr>
        <w:jc w:val="both"/>
        <w:rPr>
          <w:sz w:val="20"/>
          <w:szCs w:val="20"/>
        </w:rPr>
      </w:pPr>
      <w:r w:rsidRPr="00775072">
        <w:rPr>
          <w:sz w:val="20"/>
        </w:rPr>
        <w:t>El TAC para el siguiente ciclo de ordenación se calcula como:</w:t>
      </w:r>
    </w:p>
    <w:p w14:paraId="3D17AC0E" w14:textId="77777777" w:rsidR="005F12F8" w:rsidRPr="00775072" w:rsidRDefault="005F12F8" w:rsidP="005F12F8">
      <w:pPr>
        <w:jc w:val="both"/>
        <w:rPr>
          <w:sz w:val="20"/>
          <w:szCs w:val="20"/>
        </w:rPr>
      </w:pPr>
    </w:p>
    <w:p w14:paraId="5030640F" w14:textId="77777777" w:rsidR="005F12F8" w:rsidRPr="00775072" w:rsidRDefault="00775072" w:rsidP="005F12F8">
      <w:pPr>
        <w:rPr>
          <w:sz w:val="20"/>
          <w:szCs w:val="20"/>
        </w:rPr>
      </w:pPr>
      <m:oMathPara>
        <m:oMath>
          <m:sSub>
            <m:sSubPr>
              <m:ctrlPr>
                <w:rPr>
                  <w:rFonts w:ascii="Cambria Math" w:hAnsi="Cambria Math"/>
                  <w:i/>
                  <w:sz w:val="20"/>
                  <w:szCs w:val="20"/>
                </w:rPr>
              </m:ctrlPr>
            </m:sSubPr>
            <m:e>
              <m:r>
                <w:rPr>
                  <w:rFonts w:ascii="Cambria Math" w:hAnsi="Cambria Math"/>
                  <w:sz w:val="20"/>
                  <w:szCs w:val="20"/>
                </w:rPr>
                <m:t>TAC</m:t>
              </m:r>
            </m:e>
            <m:sub>
              <m:r>
                <w:rPr>
                  <w:rFonts w:ascii="Cambria Math" w:hAnsi="Cambria Math"/>
                  <w:sz w:val="20"/>
                  <w:szCs w:val="20"/>
                </w:rPr>
                <m:t>y+1</m:t>
              </m:r>
            </m:sub>
          </m:sSub>
          <m:r>
            <w:rPr>
              <w:rFonts w:ascii="Cambria Math" w:hAnsi="Cambria Math"/>
              <w:sz w:val="20"/>
              <w:szCs w:val="20"/>
            </w:rPr>
            <m:t>=</m:t>
          </m:r>
          <m:sSub>
            <m:sSubPr>
              <m:ctrlPr>
                <w:rPr>
                  <w:rFonts w:ascii="Cambria Math" w:hAnsi="Cambria Math"/>
                  <w:i/>
                  <w:sz w:val="20"/>
                  <w:szCs w:val="20"/>
                </w:rPr>
              </m:ctrlPr>
            </m:sSubPr>
            <m:e>
              <m:r>
                <m:rPr>
                  <m:nor/>
                </m:rPr>
                <w:rPr>
                  <w:sz w:val="20"/>
                  <w:szCs w:val="20"/>
                </w:rPr>
                <m:t>TAC</m:t>
              </m:r>
            </m:e>
            <m:sub>
              <m:r>
                <m:rPr>
                  <m:nor/>
                </m:rPr>
                <w:rPr>
                  <w:sz w:val="20"/>
                  <w:szCs w:val="20"/>
                </w:rPr>
                <m:t>base</m:t>
              </m:r>
            </m:sub>
          </m:sSub>
          <m:sSub>
            <m:sSubPr>
              <m:ctrlPr>
                <w:rPr>
                  <w:rFonts w:ascii="Cambria Math" w:hAnsi="Cambria Math"/>
                  <w:i/>
                  <w:sz w:val="20"/>
                  <w:szCs w:val="20"/>
                </w:rPr>
              </m:ctrlPr>
            </m:sSubPr>
            <m:e>
              <m:r>
                <w:rPr>
                  <w:rFonts w:ascii="Cambria Math" w:hAnsi="Cambria Math"/>
                  <w:sz w:val="20"/>
                  <w:szCs w:val="20"/>
                </w:rPr>
                <m:t>∆</m:t>
              </m:r>
            </m:e>
            <m:sub>
              <m:r>
                <m:rPr>
                  <m:nor/>
                </m:rPr>
                <w:rPr>
                  <w:sz w:val="20"/>
                  <w:szCs w:val="20"/>
                </w:rPr>
                <m:t>TAC</m:t>
              </m:r>
            </m:sub>
          </m:sSub>
        </m:oMath>
      </m:oMathPara>
    </w:p>
    <w:p w14:paraId="6B7B7E85" w14:textId="77777777" w:rsidR="005F12F8" w:rsidRPr="00775072" w:rsidRDefault="005F12F8" w:rsidP="005F12F8">
      <w:pPr>
        <w:rPr>
          <w:sz w:val="20"/>
          <w:szCs w:val="20"/>
        </w:rPr>
      </w:pPr>
      <w:r w:rsidRPr="00775072">
        <w:rPr>
          <w:sz w:val="20"/>
        </w:rPr>
        <w:t xml:space="preserve">donde </w:t>
      </w:r>
      <m:oMath>
        <m:sSub>
          <m:sSubPr>
            <m:ctrlPr>
              <w:rPr>
                <w:rFonts w:ascii="Cambria Math" w:hAnsi="Cambria Math"/>
                <w:i/>
                <w:sz w:val="20"/>
                <w:szCs w:val="20"/>
              </w:rPr>
            </m:ctrlPr>
          </m:sSubPr>
          <m:e>
            <m:r>
              <w:rPr>
                <w:rFonts w:ascii="Cambria Math" w:hAnsi="Cambria Math"/>
                <w:sz w:val="20"/>
                <w:szCs w:val="20"/>
              </w:rPr>
              <m:t>∆</m:t>
            </m:r>
          </m:e>
          <m:sub>
            <m:r>
              <m:rPr>
                <m:nor/>
              </m:rPr>
              <w:rPr>
                <w:sz w:val="20"/>
                <w:szCs w:val="20"/>
              </w:rPr>
              <m:t>TAC</m:t>
            </m:r>
          </m:sub>
        </m:sSub>
      </m:oMath>
      <w:r w:rsidRPr="00775072">
        <w:rPr>
          <w:sz w:val="20"/>
        </w:rPr>
        <w:t xml:space="preserve"> se calcula como:</w:t>
      </w:r>
    </w:p>
    <w:p w14:paraId="7BB1A3CE" w14:textId="468C5FD5" w:rsidR="005F12F8" w:rsidRPr="00775072" w:rsidRDefault="00775072" w:rsidP="005F12F8">
      <w:pPr>
        <w:rPr>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lang w:val="en-US"/>
                </w:rPr>
                <m:t>∆</m:t>
              </m:r>
            </m:e>
            <m:sub>
              <m:r>
                <m:rPr>
                  <m:nor/>
                </m:rPr>
                <w:rPr>
                  <w:sz w:val="20"/>
                  <w:szCs w:val="20"/>
                  <w:lang w:val="en-US"/>
                </w:rPr>
                <m:t>TAC</m:t>
              </m:r>
            </m:sub>
          </m:sSub>
          <m:r>
            <m:rPr>
              <m:sty m:val="p"/>
            </m:rPr>
            <w:rPr>
              <w:rFonts w:ascii="Cambria Math" w:hAnsi="Cambria Math"/>
              <w:sz w:val="20"/>
              <w:szCs w:val="20"/>
              <w:lang w:val="en-US"/>
            </w:rPr>
            <m:t>=</m:t>
          </m:r>
          <m:d>
            <m:dPr>
              <m:begChr m:val="{"/>
              <m:endChr m:val=""/>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w:rPr>
                        <w:rFonts w:ascii="Cambria Math" w:hAnsi="Cambria Math"/>
                        <w:sz w:val="20"/>
                        <w:szCs w:val="20"/>
                        <w:lang w:val="en-US"/>
                      </w:rPr>
                      <m:t>1,85</m:t>
                    </m:r>
                    <m:ctrlPr>
                      <w:rPr>
                        <w:rFonts w:ascii="Cambria Math" w:hAnsi="Cambria Math"/>
                        <w:sz w:val="20"/>
                        <w:szCs w:val="20"/>
                        <w:lang w:val="en-CA"/>
                      </w:rPr>
                    </m:ctrlPr>
                  </m:e>
                  <m:e>
                    <m:r>
                      <m:rPr>
                        <m:nor/>
                      </m:rPr>
                      <w:rPr>
                        <w:sz w:val="20"/>
                        <w:szCs w:val="20"/>
                        <w:lang w:val="en-US"/>
                      </w:rPr>
                      <m:t xml:space="preserve">si </m:t>
                    </m:r>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≥1.85</m:t>
                    </m:r>
                    <m:ctrlPr>
                      <w:rPr>
                        <w:rFonts w:ascii="Cambria Math" w:hAnsi="Cambria Math"/>
                        <w:sz w:val="20"/>
                        <w:szCs w:val="20"/>
                        <w:lang w:val="en-CA"/>
                      </w:rPr>
                    </m:ctrlPr>
                  </m:e>
                </m:mr>
                <m:mr>
                  <m:e>
                    <m:r>
                      <w:rPr>
                        <w:rFonts w:ascii="Cambria Math" w:hAnsi="Cambria Math"/>
                        <w:sz w:val="20"/>
                        <w:szCs w:val="20"/>
                        <w:lang w:val="en-CA"/>
                      </w:rPr>
                      <m:t>1,75</m:t>
                    </m:r>
                    <m:ctrlPr>
                      <w:rPr>
                        <w:rFonts w:ascii="Cambria Math" w:hAnsi="Cambria Math"/>
                        <w:sz w:val="20"/>
                        <w:szCs w:val="20"/>
                        <w:lang w:val="en-CA"/>
                      </w:rPr>
                    </m:ctrlPr>
                  </m:e>
                  <m:e>
                    <m:r>
                      <m:rPr>
                        <m:nor/>
                      </m:rPr>
                      <w:rPr>
                        <w:rFonts w:ascii="Cambria Math"/>
                        <w:sz w:val="20"/>
                        <w:szCs w:val="20"/>
                        <w:lang w:val="en-US"/>
                      </w:rPr>
                      <m:t>si</m:t>
                    </m:r>
                    <m:r>
                      <m:rPr>
                        <m:nor/>
                      </m:rPr>
                      <w:rPr>
                        <w:sz w:val="20"/>
                        <w:szCs w:val="20"/>
                        <w:lang w:val="en-US"/>
                      </w:rPr>
                      <m:t xml:space="preserve"> </m:t>
                    </m:r>
                    <m:sSub>
                      <m:sSubPr>
                        <m:ctrlPr>
                          <w:rPr>
                            <w:rFonts w:ascii="Cambria Math" w:hAnsi="Cambria Math"/>
                            <w:i/>
                            <w:sz w:val="20"/>
                            <w:szCs w:val="20"/>
                          </w:rPr>
                        </m:ctrlPr>
                      </m:sSubPr>
                      <m:e>
                        <m:r>
                          <w:rPr>
                            <w:rFonts w:ascii="Cambria Math" w:hAnsi="Cambria Math"/>
                            <w:sz w:val="20"/>
                            <w:szCs w:val="20"/>
                            <w:lang w:val="en-US"/>
                          </w:rPr>
                          <m:t>1,75≤</m:t>
                        </m:r>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&lt;1,85</m:t>
                    </m:r>
                    <m:ctrlPr>
                      <w:rPr>
                        <w:rFonts w:ascii="Cambria Math" w:hAnsi="Cambria Math"/>
                        <w:sz w:val="20"/>
                        <w:szCs w:val="20"/>
                        <w:lang w:val="en-CA"/>
                      </w:rPr>
                    </m:ctrlPr>
                  </m:e>
                </m:mr>
                <m:mr>
                  <m:e>
                    <m:r>
                      <m:rPr>
                        <m:sty m:val="p"/>
                      </m:rPr>
                      <w:rPr>
                        <w:rFonts w:ascii="Cambria Math" w:hAnsi="Cambria Math"/>
                        <w:sz w:val="20"/>
                        <w:szCs w:val="20"/>
                        <w:lang w:val="en-US"/>
                      </w:rPr>
                      <m:t>1,65</m:t>
                    </m:r>
                  </m:e>
                  <m:e>
                    <m:r>
                      <m:rPr>
                        <m:nor/>
                      </m:rPr>
                      <w:rPr>
                        <w:sz w:val="20"/>
                        <w:szCs w:val="20"/>
                        <w:lang w:val="en-US"/>
                      </w:rPr>
                      <m:t xml:space="preserve">si </m:t>
                    </m:r>
                    <m:sSub>
                      <m:sSubPr>
                        <m:ctrlPr>
                          <w:rPr>
                            <w:rFonts w:ascii="Cambria Math" w:hAnsi="Cambria Math"/>
                            <w:i/>
                            <w:sz w:val="20"/>
                            <w:szCs w:val="20"/>
                          </w:rPr>
                        </m:ctrlPr>
                      </m:sSubPr>
                      <m:e>
                        <m:r>
                          <w:rPr>
                            <w:rFonts w:ascii="Cambria Math" w:hAnsi="Cambria Math"/>
                            <w:sz w:val="20"/>
                            <w:szCs w:val="20"/>
                            <w:lang w:val="en-US"/>
                          </w:rPr>
                          <m:t>1,65≤</m:t>
                        </m:r>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&lt;1,75</m:t>
                    </m:r>
                  </m:e>
                </m:mr>
                <m:mr>
                  <m:e>
                    <m:r>
                      <w:rPr>
                        <w:rFonts w:ascii="Cambria Math" w:hAnsi="Cambria Math"/>
                        <w:sz w:val="20"/>
                        <w:szCs w:val="20"/>
                        <w:lang w:val="en-US"/>
                      </w:rPr>
                      <m:t>1,55</m:t>
                    </m:r>
                  </m:e>
                  <m:e>
                    <m:r>
                      <m:rPr>
                        <m:nor/>
                      </m:rPr>
                      <w:rPr>
                        <w:sz w:val="20"/>
                        <w:szCs w:val="20"/>
                        <w:lang w:val="en-US"/>
                      </w:rPr>
                      <m:t xml:space="preserve">si </m:t>
                    </m:r>
                    <m:sSub>
                      <m:sSubPr>
                        <m:ctrlPr>
                          <w:rPr>
                            <w:rFonts w:ascii="Cambria Math" w:hAnsi="Cambria Math"/>
                            <w:i/>
                            <w:sz w:val="20"/>
                            <w:szCs w:val="20"/>
                          </w:rPr>
                        </m:ctrlPr>
                      </m:sSubPr>
                      <m:e>
                        <m:r>
                          <w:rPr>
                            <w:rFonts w:ascii="Cambria Math" w:hAnsi="Cambria Math"/>
                            <w:sz w:val="20"/>
                            <w:szCs w:val="20"/>
                            <w:lang w:val="en-US"/>
                          </w:rPr>
                          <m:t>1,55≤</m:t>
                        </m:r>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&lt;1,65</m:t>
                    </m:r>
                    <m:ctrlPr>
                      <w:rPr>
                        <w:rFonts w:ascii="Cambria Math" w:hAnsi="Cambria Math"/>
                        <w:i/>
                        <w:sz w:val="20"/>
                        <w:szCs w:val="20"/>
                        <w:lang w:val="en-CA"/>
                      </w:rPr>
                    </m:ctrlPr>
                  </m:e>
                </m:mr>
                <m:mr>
                  <m:e>
                    <m:r>
                      <w:rPr>
                        <w:rFonts w:ascii="Cambria Math" w:hAnsi="Cambria Math"/>
                        <w:sz w:val="20"/>
                        <w:szCs w:val="20"/>
                        <w:lang w:val="en-CA"/>
                      </w:rPr>
                      <m:t>1,45</m:t>
                    </m:r>
                    <m:ctrlPr>
                      <w:rPr>
                        <w:rFonts w:ascii="Cambria Math" w:hAnsi="Cambria Math"/>
                        <w:i/>
                        <w:sz w:val="20"/>
                        <w:szCs w:val="20"/>
                        <w:lang w:val="en-CA"/>
                      </w:rPr>
                    </m:ctrlPr>
                  </m:e>
                  <m:e>
                    <m:r>
                      <m:rPr>
                        <m:nor/>
                      </m:rPr>
                      <w:rPr>
                        <w:sz w:val="20"/>
                        <w:szCs w:val="20"/>
                        <w:lang w:val="en-US"/>
                      </w:rPr>
                      <m:t xml:space="preserve">si </m:t>
                    </m:r>
                    <m:sSub>
                      <m:sSubPr>
                        <m:ctrlPr>
                          <w:rPr>
                            <w:rFonts w:ascii="Cambria Math" w:hAnsi="Cambria Math"/>
                            <w:i/>
                            <w:sz w:val="20"/>
                            <w:szCs w:val="20"/>
                          </w:rPr>
                        </m:ctrlPr>
                      </m:sSubPr>
                      <m:e>
                        <m:r>
                          <w:rPr>
                            <w:rFonts w:ascii="Cambria Math" w:hAnsi="Cambria Math"/>
                            <w:sz w:val="20"/>
                            <w:szCs w:val="20"/>
                            <w:lang w:val="en-US"/>
                          </w:rPr>
                          <m:t>1,45≤</m:t>
                        </m:r>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&lt;1,55</m:t>
                    </m:r>
                    <m:ctrlPr>
                      <w:rPr>
                        <w:rFonts w:ascii="Cambria Math" w:hAnsi="Cambria Math"/>
                        <w:i/>
                        <w:sz w:val="20"/>
                        <w:szCs w:val="20"/>
                        <w:lang w:val="en-CA"/>
                      </w:rPr>
                    </m:ctrlPr>
                  </m:e>
                </m:mr>
                <m:mr>
                  <m:e>
                    <m:r>
                      <w:rPr>
                        <w:rFonts w:ascii="Cambria Math" w:hAnsi="Cambria Math"/>
                        <w:sz w:val="20"/>
                        <w:szCs w:val="20"/>
                        <w:lang w:val="en-CA"/>
                      </w:rPr>
                      <m:t>1,35</m:t>
                    </m:r>
                    <m:ctrlPr>
                      <w:rPr>
                        <w:rFonts w:ascii="Cambria Math" w:hAnsi="Cambria Math"/>
                        <w:i/>
                        <w:sz w:val="20"/>
                        <w:szCs w:val="20"/>
                        <w:lang w:val="en-CA"/>
                      </w:rPr>
                    </m:ctrlPr>
                  </m:e>
                  <m:e>
                    <m:r>
                      <m:rPr>
                        <m:nor/>
                      </m:rPr>
                      <w:rPr>
                        <w:sz w:val="20"/>
                        <w:szCs w:val="20"/>
                        <w:lang w:val="en-US"/>
                      </w:rPr>
                      <m:t xml:space="preserve">si </m:t>
                    </m:r>
                    <m:sSub>
                      <m:sSubPr>
                        <m:ctrlPr>
                          <w:rPr>
                            <w:rFonts w:ascii="Cambria Math" w:hAnsi="Cambria Math"/>
                            <w:i/>
                            <w:sz w:val="20"/>
                            <w:szCs w:val="20"/>
                          </w:rPr>
                        </m:ctrlPr>
                      </m:sSubPr>
                      <m:e>
                        <m:r>
                          <w:rPr>
                            <w:rFonts w:ascii="Cambria Math" w:hAnsi="Cambria Math"/>
                            <w:sz w:val="20"/>
                            <w:szCs w:val="20"/>
                            <w:lang w:val="en-US"/>
                          </w:rPr>
                          <m:t>1,35≤</m:t>
                        </m:r>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&lt;1,45</m:t>
                    </m:r>
                    <m:ctrlPr>
                      <w:rPr>
                        <w:rFonts w:ascii="Cambria Math" w:hAnsi="Cambria Math"/>
                        <w:i/>
                        <w:sz w:val="20"/>
                        <w:szCs w:val="20"/>
                        <w:lang w:val="en-CA"/>
                      </w:rPr>
                    </m:ctrlPr>
                  </m:e>
                </m:mr>
                <m:mr>
                  <m:e>
                    <m:r>
                      <w:rPr>
                        <w:rFonts w:ascii="Cambria Math" w:hAnsi="Cambria Math"/>
                        <w:sz w:val="20"/>
                        <w:szCs w:val="20"/>
                        <w:lang w:val="en-CA"/>
                      </w:rPr>
                      <m:t>1,25</m:t>
                    </m:r>
                    <m:ctrlPr>
                      <w:rPr>
                        <w:rFonts w:ascii="Cambria Math" w:hAnsi="Cambria Math"/>
                        <w:i/>
                        <w:sz w:val="20"/>
                        <w:szCs w:val="20"/>
                        <w:lang w:val="en-CA"/>
                      </w:rPr>
                    </m:ctrlPr>
                  </m:e>
                  <m:e>
                    <m:r>
                      <m:rPr>
                        <m:nor/>
                      </m:rPr>
                      <w:rPr>
                        <w:sz w:val="20"/>
                        <w:szCs w:val="20"/>
                        <w:lang w:val="en-US"/>
                      </w:rPr>
                      <m:t xml:space="preserve">si </m:t>
                    </m:r>
                    <m:sSub>
                      <m:sSubPr>
                        <m:ctrlPr>
                          <w:rPr>
                            <w:rFonts w:ascii="Cambria Math" w:hAnsi="Cambria Math"/>
                            <w:i/>
                            <w:sz w:val="20"/>
                            <w:szCs w:val="20"/>
                          </w:rPr>
                        </m:ctrlPr>
                      </m:sSubPr>
                      <m:e>
                        <m:r>
                          <w:rPr>
                            <w:rFonts w:ascii="Cambria Math" w:hAnsi="Cambria Math"/>
                            <w:sz w:val="20"/>
                            <w:szCs w:val="20"/>
                            <w:lang w:val="en-US"/>
                          </w:rPr>
                          <m:t>1,25≤</m:t>
                        </m:r>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&lt;1,35</m:t>
                    </m:r>
                    <m:ctrlPr>
                      <w:rPr>
                        <w:rFonts w:ascii="Cambria Math" w:hAnsi="Cambria Math"/>
                        <w:i/>
                        <w:sz w:val="20"/>
                        <w:szCs w:val="20"/>
                        <w:lang w:val="en-CA"/>
                      </w:rPr>
                    </m:ctrlPr>
                  </m:e>
                </m:mr>
                <m:mr>
                  <m:e>
                    <m:r>
                      <w:rPr>
                        <w:rFonts w:ascii="Cambria Math" w:hAnsi="Cambria Math"/>
                        <w:sz w:val="20"/>
                        <w:szCs w:val="20"/>
                        <w:lang w:val="en-CA"/>
                      </w:rPr>
                      <m:t>1,15</m:t>
                    </m:r>
                    <m:ctrlPr>
                      <w:rPr>
                        <w:rFonts w:ascii="Cambria Math" w:hAnsi="Cambria Math"/>
                        <w:i/>
                        <w:sz w:val="20"/>
                        <w:szCs w:val="20"/>
                        <w:lang w:val="en-CA"/>
                      </w:rPr>
                    </m:ctrlPr>
                  </m:e>
                  <m:e>
                    <m:r>
                      <m:rPr>
                        <m:nor/>
                      </m:rPr>
                      <w:rPr>
                        <w:sz w:val="20"/>
                        <w:szCs w:val="20"/>
                        <w:lang w:val="en-US"/>
                      </w:rPr>
                      <m:t xml:space="preserve">si </m:t>
                    </m:r>
                    <m:sSub>
                      <m:sSubPr>
                        <m:ctrlPr>
                          <w:rPr>
                            <w:rFonts w:ascii="Cambria Math" w:hAnsi="Cambria Math"/>
                            <w:i/>
                            <w:sz w:val="20"/>
                            <w:szCs w:val="20"/>
                          </w:rPr>
                        </m:ctrlPr>
                      </m:sSubPr>
                      <m:e>
                        <m:r>
                          <w:rPr>
                            <w:rFonts w:ascii="Cambria Math" w:hAnsi="Cambria Math"/>
                            <w:sz w:val="20"/>
                            <w:szCs w:val="20"/>
                            <w:lang w:val="en-US"/>
                          </w:rPr>
                          <m:t>1,15≤</m:t>
                        </m:r>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&lt;1,25</m:t>
                    </m:r>
                    <m:ctrlPr>
                      <w:rPr>
                        <w:rFonts w:ascii="Cambria Math" w:hAnsi="Cambria Math"/>
                        <w:i/>
                        <w:sz w:val="20"/>
                        <w:szCs w:val="20"/>
                        <w:lang w:val="en-CA"/>
                      </w:rPr>
                    </m:ctrlPr>
                  </m:e>
                </m:mr>
                <m:mr>
                  <m:e>
                    <m:r>
                      <w:rPr>
                        <w:rFonts w:ascii="Cambria Math" w:hAnsi="Cambria Math"/>
                        <w:sz w:val="20"/>
                        <w:szCs w:val="20"/>
                        <w:lang w:val="en-CA"/>
                      </w:rPr>
                      <m:t>1,00</m:t>
                    </m:r>
                    <m:ctrlPr>
                      <w:rPr>
                        <w:rFonts w:ascii="Cambria Math" w:hAnsi="Cambria Math"/>
                        <w:i/>
                        <w:sz w:val="20"/>
                        <w:szCs w:val="20"/>
                        <w:lang w:val="en-CA"/>
                      </w:rPr>
                    </m:ctrlPr>
                  </m:e>
                  <m:e>
                    <m:r>
                      <m:rPr>
                        <m:nor/>
                      </m:rPr>
                      <w:rPr>
                        <w:sz w:val="20"/>
                        <w:szCs w:val="20"/>
                        <w:lang w:val="en-US"/>
                      </w:rPr>
                      <m:t xml:space="preserve">si  </m:t>
                    </m:r>
                    <m:sSub>
                      <m:sSubPr>
                        <m:ctrlPr>
                          <w:rPr>
                            <w:rFonts w:ascii="Cambria Math" w:hAnsi="Cambria Math"/>
                            <w:i/>
                            <w:sz w:val="20"/>
                            <w:szCs w:val="20"/>
                          </w:rPr>
                        </m:ctrlPr>
                      </m:sSubPr>
                      <m:e>
                        <m:r>
                          <w:rPr>
                            <w:rFonts w:ascii="Cambria Math" w:hAnsi="Cambria Math"/>
                            <w:sz w:val="20"/>
                            <w:szCs w:val="20"/>
                            <w:lang w:val="en-US"/>
                          </w:rPr>
                          <m:t>0,75≤</m:t>
                        </m:r>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&lt;1,15</m:t>
                    </m:r>
                    <m:ctrlPr>
                      <w:rPr>
                        <w:rFonts w:ascii="Cambria Math" w:hAnsi="Cambria Math"/>
                        <w:i/>
                        <w:sz w:val="20"/>
                        <w:szCs w:val="20"/>
                        <w:lang w:val="en-CA"/>
                      </w:rPr>
                    </m:ctrlPr>
                  </m:e>
                </m:mr>
                <m:mr>
                  <m:e>
                    <m:r>
                      <w:rPr>
                        <w:rFonts w:ascii="Cambria Math" w:hAnsi="Cambria Math"/>
                        <w:sz w:val="20"/>
                        <w:szCs w:val="20"/>
                        <w:lang w:val="en-CA"/>
                      </w:rPr>
                      <m:t>0,75</m:t>
                    </m:r>
                    <m:ctrlPr>
                      <w:rPr>
                        <w:rFonts w:ascii="Cambria Math" w:hAnsi="Cambria Math"/>
                        <w:i/>
                        <w:sz w:val="20"/>
                        <w:szCs w:val="20"/>
                        <w:lang w:val="en-CA"/>
                      </w:rPr>
                    </m:ctrlPr>
                  </m:e>
                  <m:e>
                    <m:r>
                      <m:rPr>
                        <m:nor/>
                      </m:rPr>
                      <w:rPr>
                        <w:sz w:val="20"/>
                        <w:szCs w:val="20"/>
                        <w:lang w:val="en-US"/>
                      </w:rPr>
                      <m:t xml:space="preserve">si </m:t>
                    </m:r>
                    <m:sSub>
                      <m:sSubPr>
                        <m:ctrlPr>
                          <w:rPr>
                            <w:rFonts w:ascii="Cambria Math" w:hAnsi="Cambria Math"/>
                            <w:i/>
                            <w:sz w:val="20"/>
                            <w:szCs w:val="20"/>
                          </w:rPr>
                        </m:ctrlPr>
                      </m:sSubPr>
                      <m:e>
                        <m:r>
                          <w:rPr>
                            <w:rFonts w:ascii="Cambria Math" w:hAnsi="Cambria Math"/>
                            <w:sz w:val="20"/>
                            <w:szCs w:val="20"/>
                            <w:lang w:val="en-US"/>
                          </w:rPr>
                          <m:t>0,5≤</m:t>
                        </m:r>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&lt;0,75</m:t>
                    </m:r>
                    <m:ctrlPr>
                      <w:rPr>
                        <w:rFonts w:ascii="Cambria Math" w:hAnsi="Cambria Math"/>
                        <w:i/>
                        <w:sz w:val="20"/>
                        <w:szCs w:val="20"/>
                        <w:lang w:val="en-CA"/>
                      </w:rPr>
                    </m:ctrlPr>
                  </m:e>
                </m:mr>
                <m:mr>
                  <m:e>
                    <m:r>
                      <w:rPr>
                        <w:rFonts w:ascii="Cambria Math" w:hAnsi="Cambria Math"/>
                        <w:sz w:val="20"/>
                        <w:szCs w:val="20"/>
                        <w:lang w:val="en-CA"/>
                      </w:rPr>
                      <m:t xml:space="preserve">0,5 </m:t>
                    </m:r>
                    <m:ctrlPr>
                      <w:rPr>
                        <w:rFonts w:ascii="Cambria Math" w:hAnsi="Cambria Math"/>
                        <w:i/>
                        <w:sz w:val="20"/>
                        <w:szCs w:val="20"/>
                        <w:lang w:val="en-CA"/>
                      </w:rPr>
                    </m:ctrlPr>
                  </m:e>
                  <m:e>
                    <m:r>
                      <m:rPr>
                        <m:nor/>
                      </m:rPr>
                      <w:rPr>
                        <w:sz w:val="20"/>
                        <w:szCs w:val="20"/>
                        <w:lang w:val="en-US"/>
                      </w:rPr>
                      <m:t xml:space="preserve">si </m:t>
                    </m:r>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en-US"/>
                          </w:rPr>
                          <m:t>rat</m:t>
                        </m:r>
                      </m:sub>
                    </m:sSub>
                    <m:r>
                      <w:rPr>
                        <w:rFonts w:ascii="Cambria Math" w:hAnsi="Cambria Math"/>
                        <w:sz w:val="20"/>
                        <w:szCs w:val="20"/>
                        <w:lang w:val="en-US"/>
                      </w:rPr>
                      <m:t>&lt;0,5</m:t>
                    </m:r>
                  </m:e>
                </m:mr>
              </m:m>
            </m:e>
          </m:d>
        </m:oMath>
      </m:oMathPara>
    </w:p>
    <w:p w14:paraId="68E620D3" w14:textId="77777777" w:rsidR="005F12F8" w:rsidRPr="00775072" w:rsidRDefault="005F12F8" w:rsidP="005F12F8">
      <w:pPr>
        <w:rPr>
          <w:sz w:val="20"/>
          <w:szCs w:val="20"/>
          <w:lang w:val="en-CA"/>
        </w:rPr>
      </w:pPr>
    </w:p>
    <w:p w14:paraId="5F863CC1" w14:textId="77777777" w:rsidR="005F12F8" w:rsidRPr="00775072" w:rsidRDefault="005F12F8" w:rsidP="005F12F8">
      <w:pPr>
        <w:widowControl/>
        <w:spacing w:after="160" w:line="259" w:lineRule="auto"/>
        <w:rPr>
          <w:lang w:val="en-US"/>
        </w:rPr>
      </w:pPr>
      <w:r w:rsidRPr="00775072">
        <w:rPr>
          <w:lang w:val="en-US"/>
        </w:rPr>
        <w:br w:type="page"/>
      </w:r>
    </w:p>
    <w:p w14:paraId="3BD5ACDA" w14:textId="77777777" w:rsidR="005F12F8" w:rsidRPr="00775072" w:rsidRDefault="005F12F8" w:rsidP="005F12F8">
      <w:pPr>
        <w:keepNext/>
        <w:keepLines/>
        <w:widowControl/>
        <w:jc w:val="right"/>
        <w:outlineLvl w:val="0"/>
        <w:rPr>
          <w:rFonts w:eastAsia="Times New Roman" w:cs="Times New Roman"/>
          <w:b/>
          <w:sz w:val="20"/>
          <w:szCs w:val="20"/>
        </w:rPr>
      </w:pPr>
      <w:r w:rsidRPr="00775072">
        <w:rPr>
          <w:rFonts w:eastAsia="Times New Roman" w:cs="Times New Roman"/>
          <w:b/>
          <w:sz w:val="20"/>
          <w:szCs w:val="20"/>
        </w:rPr>
        <w:lastRenderedPageBreak/>
        <w:t>Anexo 2</w:t>
      </w:r>
    </w:p>
    <w:p w14:paraId="0F5500E3" w14:textId="77777777" w:rsidR="005F12F8" w:rsidRPr="00775072" w:rsidRDefault="005F12F8" w:rsidP="005F12F8">
      <w:pPr>
        <w:keepNext/>
        <w:keepLines/>
        <w:widowControl/>
        <w:jc w:val="right"/>
        <w:outlineLvl w:val="0"/>
        <w:rPr>
          <w:rFonts w:eastAsia="Times New Roman" w:cs="Times New Roman"/>
          <w:b/>
          <w:sz w:val="20"/>
          <w:szCs w:val="20"/>
        </w:rPr>
      </w:pPr>
    </w:p>
    <w:p w14:paraId="4B0FC833" w14:textId="10D68D6F" w:rsidR="005F12F8" w:rsidRPr="00775072" w:rsidRDefault="001E2064" w:rsidP="005F12F8">
      <w:pPr>
        <w:keepNext/>
        <w:keepLines/>
        <w:widowControl/>
        <w:jc w:val="center"/>
        <w:outlineLvl w:val="0"/>
        <w:rPr>
          <w:rFonts w:eastAsia="Times New Roman" w:cs="Times New Roman"/>
          <w:b/>
          <w:bCs/>
          <w:sz w:val="20"/>
          <w:szCs w:val="20"/>
        </w:rPr>
      </w:pPr>
      <w:r w:rsidRPr="00775072">
        <w:rPr>
          <w:rFonts w:eastAsia="Times New Roman" w:cs="Times New Roman"/>
          <w:b/>
          <w:sz w:val="20"/>
          <w:szCs w:val="20"/>
        </w:rPr>
        <w:t xml:space="preserve">Indicadores del </w:t>
      </w:r>
      <w:r w:rsidR="005F12F8" w:rsidRPr="00775072">
        <w:rPr>
          <w:rFonts w:eastAsia="Times New Roman" w:cs="Times New Roman"/>
          <w:b/>
          <w:sz w:val="20"/>
          <w:szCs w:val="20"/>
        </w:rPr>
        <w:t>desempeño</w:t>
      </w:r>
      <w:r w:rsidRPr="00775072">
        <w:rPr>
          <w:rFonts w:eastAsia="Times New Roman" w:cs="Times New Roman"/>
          <w:b/>
          <w:sz w:val="20"/>
          <w:szCs w:val="20"/>
        </w:rPr>
        <w:t xml:space="preserve"> (PI)</w:t>
      </w:r>
      <w:r w:rsidR="005F12F8" w:rsidRPr="00775072">
        <w:rPr>
          <w:rFonts w:eastAsia="Times New Roman" w:cs="Times New Roman"/>
          <w:b/>
          <w:sz w:val="20"/>
          <w:szCs w:val="20"/>
        </w:rPr>
        <w:t xml:space="preserve"> para los objetivos de ordenación</w:t>
      </w:r>
    </w:p>
    <w:p w14:paraId="37802E29" w14:textId="77777777" w:rsidR="005F12F8" w:rsidRPr="00775072" w:rsidRDefault="005F12F8" w:rsidP="005F12F8">
      <w:pPr>
        <w:keepNext/>
        <w:keepLines/>
        <w:widowControl/>
        <w:jc w:val="both"/>
        <w:outlineLvl w:val="0"/>
        <w:rPr>
          <w:rFonts w:eastAsia="Times New Roman" w:cs="Times New Roman"/>
          <w:b/>
          <w:bCs/>
          <w:sz w:val="20"/>
          <w:szCs w:val="20"/>
        </w:rPr>
      </w:pPr>
    </w:p>
    <w:p w14:paraId="4B77A85F" w14:textId="021BD290" w:rsidR="005F12F8" w:rsidRPr="00775072" w:rsidRDefault="005F12F8" w:rsidP="005F12F8">
      <w:pPr>
        <w:widowControl/>
        <w:jc w:val="both"/>
        <w:rPr>
          <w:rFonts w:eastAsia="Calibri" w:cs="Times New Roman"/>
          <w:sz w:val="20"/>
          <w:szCs w:val="20"/>
        </w:rPr>
      </w:pPr>
      <w:r w:rsidRPr="00775072">
        <w:rPr>
          <w:rFonts w:eastAsia="Times New Roman" w:cs="Times New Roman"/>
          <w:sz w:val="20"/>
          <w:szCs w:val="20"/>
        </w:rPr>
        <w:t>Los indicadores de desempeño</w:t>
      </w:r>
      <w:r w:rsidR="001E2064" w:rsidRPr="00775072">
        <w:rPr>
          <w:rFonts w:eastAsia="Times New Roman" w:cs="Times New Roman"/>
          <w:sz w:val="20"/>
          <w:szCs w:val="20"/>
        </w:rPr>
        <w:t xml:space="preserve"> (PI)</w:t>
      </w:r>
      <w:r w:rsidRPr="00775072">
        <w:rPr>
          <w:rFonts w:eastAsia="Times New Roman" w:cs="Times New Roman"/>
          <w:sz w:val="20"/>
          <w:szCs w:val="20"/>
        </w:rPr>
        <w:t xml:space="preserve"> se calculan basándose en 80 simulaciones para cada uno de los nueve modelos operativos (OM) para una proyección de 30 años en el marco de un procedimiento de ordenación candidato (CMP).</w:t>
      </w:r>
    </w:p>
    <w:p w14:paraId="4883174F" w14:textId="77777777" w:rsidR="005F12F8" w:rsidRPr="00775072" w:rsidRDefault="005F12F8" w:rsidP="005F12F8">
      <w:pPr>
        <w:widowControl/>
        <w:jc w:val="both"/>
        <w:rPr>
          <w:rFonts w:eastAsia="Calibri" w:cs="Times New Roman"/>
          <w:sz w:val="20"/>
          <w:szCs w:val="20"/>
        </w:rPr>
      </w:pPr>
    </w:p>
    <w:tbl>
      <w:tblPr>
        <w:tblW w:w="8926" w:type="dxa"/>
        <w:tblCellMar>
          <w:left w:w="0" w:type="dxa"/>
          <w:right w:w="0" w:type="dxa"/>
        </w:tblCellMar>
        <w:tblLook w:val="0600" w:firstRow="0" w:lastRow="0" w:firstColumn="0" w:lastColumn="0" w:noHBand="1" w:noVBand="1"/>
      </w:tblPr>
      <w:tblGrid>
        <w:gridCol w:w="3960"/>
        <w:gridCol w:w="4966"/>
      </w:tblGrid>
      <w:tr w:rsidR="005F12F8" w:rsidRPr="00775072" w14:paraId="369BB04C" w14:textId="77777777" w:rsidTr="00FC01CE">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68220086" w14:textId="77777777" w:rsidR="005F12F8" w:rsidRPr="00775072" w:rsidRDefault="005F12F8" w:rsidP="00FC01CE">
            <w:pPr>
              <w:widowControl/>
              <w:jc w:val="center"/>
              <w:textAlignment w:val="top"/>
              <w:rPr>
                <w:rFonts w:eastAsia="Times New Roman" w:cs="Arial"/>
                <w:sz w:val="20"/>
                <w:szCs w:val="20"/>
              </w:rPr>
            </w:pPr>
            <w:r w:rsidRPr="00775072">
              <w:rPr>
                <w:rFonts w:eastAsia="Times New Roman" w:cs="Times New Roman"/>
                <w:b/>
                <w:i/>
                <w:color w:val="000000"/>
                <w:sz w:val="20"/>
                <w:szCs w:val="20"/>
              </w:rPr>
              <w:t>Objetivos de ordenación</w:t>
            </w:r>
          </w:p>
        </w:tc>
        <w:tc>
          <w:tcPr>
            <w:tcW w:w="496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7B7AF1D0" w14:textId="77777777" w:rsidR="005F12F8" w:rsidRPr="00775072" w:rsidRDefault="005F12F8" w:rsidP="00FC01CE">
            <w:pPr>
              <w:widowControl/>
              <w:jc w:val="center"/>
              <w:textAlignment w:val="top"/>
              <w:rPr>
                <w:rFonts w:eastAsia="Times New Roman" w:cs="Arial"/>
                <w:sz w:val="20"/>
                <w:szCs w:val="20"/>
              </w:rPr>
            </w:pPr>
            <w:r w:rsidRPr="00775072">
              <w:rPr>
                <w:rFonts w:eastAsia="Times New Roman" w:cs="Times New Roman"/>
                <w:b/>
                <w:i/>
                <w:color w:val="000000"/>
                <w:sz w:val="20"/>
                <w:szCs w:val="20"/>
              </w:rPr>
              <w:t>PI clave correspondientes</w:t>
            </w:r>
          </w:p>
        </w:tc>
      </w:tr>
      <w:tr w:rsidR="005F12F8" w:rsidRPr="00775072" w14:paraId="7CF8FD7B" w14:textId="77777777" w:rsidTr="00FC01CE">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0DC737A4"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b/>
                <w:color w:val="000000"/>
                <w:sz w:val="20"/>
                <w:szCs w:val="20"/>
              </w:rPr>
              <w:t>Estado</w:t>
            </w:r>
          </w:p>
          <w:p w14:paraId="2EAE54DD"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color w:val="000000"/>
                <w:sz w:val="20"/>
                <w:szCs w:val="20"/>
              </w:rPr>
              <w:t>El stock debería tener un 60 % o más de probabilidades de situarse en el cuadrante verde de la matriz de Kobe.</w:t>
            </w:r>
          </w:p>
        </w:tc>
        <w:tc>
          <w:tcPr>
            <w:tcW w:w="496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70FA644B"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b/>
                <w:color w:val="000000"/>
                <w:sz w:val="20"/>
                <w:szCs w:val="20"/>
              </w:rPr>
              <w:t>PGK</w:t>
            </w:r>
            <w:r w:rsidRPr="00775072">
              <w:rPr>
                <w:rFonts w:eastAsia="Times New Roman" w:cs="Times New Roman"/>
                <w:b/>
                <w:color w:val="000000"/>
                <w:sz w:val="20"/>
                <w:szCs w:val="20"/>
                <w:vertAlign w:val="subscript"/>
              </w:rPr>
              <w:t>SHORT</w:t>
            </w:r>
            <w:r w:rsidRPr="00775072">
              <w:rPr>
                <w:rFonts w:eastAsia="Times New Roman" w:cs="Times New Roman"/>
                <w:color w:val="000000"/>
                <w:sz w:val="20"/>
                <w:szCs w:val="20"/>
              </w:rPr>
              <w:t>: Probabilidad de situarse en el cuadrante verde de Kobe (es decir, SB≥SB</w:t>
            </w:r>
            <w:r w:rsidRPr="00775072">
              <w:rPr>
                <w:rFonts w:eastAsia="Times New Roman" w:cs="Times New Roman"/>
                <w:color w:val="000000"/>
                <w:sz w:val="20"/>
                <w:szCs w:val="20"/>
                <w:vertAlign w:val="subscript"/>
              </w:rPr>
              <w:t>RMS</w:t>
            </w:r>
            <w:r w:rsidRPr="00775072">
              <w:rPr>
                <w:rFonts w:eastAsia="Times New Roman" w:cs="Times New Roman"/>
                <w:color w:val="000000"/>
                <w:sz w:val="20"/>
                <w:szCs w:val="20"/>
              </w:rPr>
              <w:t xml:space="preserve"> y F&lt;F</w:t>
            </w:r>
            <w:r w:rsidRPr="00775072">
              <w:rPr>
                <w:rFonts w:eastAsia="Times New Roman" w:cs="Times New Roman"/>
                <w:color w:val="000000"/>
                <w:sz w:val="20"/>
                <w:szCs w:val="20"/>
                <w:vertAlign w:val="subscript"/>
              </w:rPr>
              <w:t>RMS</w:t>
            </w:r>
            <w:r w:rsidRPr="00775072">
              <w:rPr>
                <w:rFonts w:eastAsia="Times New Roman" w:cs="Times New Roman"/>
                <w:color w:val="000000"/>
                <w:sz w:val="20"/>
                <w:szCs w:val="20"/>
              </w:rPr>
              <w:t>) en los años 1-10</w:t>
            </w:r>
          </w:p>
          <w:p w14:paraId="50E6926C"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b/>
                <w:color w:val="000000"/>
                <w:sz w:val="20"/>
                <w:szCs w:val="20"/>
              </w:rPr>
              <w:t>PGK</w:t>
            </w:r>
            <w:r w:rsidRPr="00775072">
              <w:rPr>
                <w:rFonts w:eastAsia="Times New Roman" w:cs="Times New Roman"/>
                <w:b/>
                <w:color w:val="000000"/>
                <w:sz w:val="20"/>
                <w:szCs w:val="20"/>
                <w:vertAlign w:val="subscript"/>
              </w:rPr>
              <w:t>MED</w:t>
            </w:r>
            <w:r w:rsidRPr="00775072">
              <w:rPr>
                <w:rFonts w:eastAsia="Times New Roman" w:cs="Times New Roman"/>
                <w:color w:val="000000"/>
                <w:sz w:val="20"/>
                <w:szCs w:val="20"/>
              </w:rPr>
              <w:t>: Probabilidad de situarse en el cuadrante verde de Kobe (es decir, SB≥SB</w:t>
            </w:r>
            <w:r w:rsidRPr="00775072">
              <w:rPr>
                <w:rFonts w:eastAsia="Times New Roman" w:cs="Times New Roman"/>
                <w:color w:val="000000"/>
                <w:sz w:val="20"/>
                <w:szCs w:val="20"/>
                <w:vertAlign w:val="subscript"/>
              </w:rPr>
              <w:t>RMS</w:t>
            </w:r>
            <w:r w:rsidRPr="00775072">
              <w:rPr>
                <w:rFonts w:eastAsia="Times New Roman" w:cs="Times New Roman"/>
                <w:color w:val="000000"/>
                <w:sz w:val="20"/>
                <w:szCs w:val="20"/>
              </w:rPr>
              <w:t xml:space="preserve"> y F&lt;F</w:t>
            </w:r>
            <w:r w:rsidRPr="00775072">
              <w:rPr>
                <w:rFonts w:eastAsia="Times New Roman" w:cs="Times New Roman"/>
                <w:color w:val="000000"/>
                <w:sz w:val="20"/>
                <w:szCs w:val="20"/>
                <w:vertAlign w:val="subscript"/>
              </w:rPr>
              <w:t>RMS</w:t>
            </w:r>
            <w:r w:rsidRPr="00775072">
              <w:rPr>
                <w:rFonts w:eastAsia="Times New Roman" w:cs="Times New Roman"/>
                <w:color w:val="000000"/>
                <w:sz w:val="20"/>
                <w:szCs w:val="20"/>
              </w:rPr>
              <w:t>) en los años 11-20</w:t>
            </w:r>
          </w:p>
          <w:p w14:paraId="388C18C5"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b/>
                <w:color w:val="000000"/>
                <w:sz w:val="20"/>
                <w:szCs w:val="20"/>
              </w:rPr>
              <w:t>PGK</w:t>
            </w:r>
            <w:r w:rsidRPr="00775072">
              <w:rPr>
                <w:rFonts w:eastAsia="Times New Roman" w:cs="Times New Roman"/>
                <w:b/>
                <w:color w:val="000000"/>
                <w:sz w:val="20"/>
                <w:szCs w:val="20"/>
                <w:vertAlign w:val="subscript"/>
              </w:rPr>
              <w:t>ALL</w:t>
            </w:r>
            <w:r w:rsidRPr="00775072">
              <w:rPr>
                <w:rFonts w:eastAsia="Times New Roman" w:cs="Times New Roman"/>
                <w:color w:val="000000"/>
                <w:sz w:val="20"/>
                <w:szCs w:val="20"/>
              </w:rPr>
              <w:t>: Probabilidad de situarse en el cuadrante verde de Kobe (es decir, SB≥SB</w:t>
            </w:r>
            <w:r w:rsidRPr="00775072">
              <w:rPr>
                <w:rFonts w:eastAsia="Times New Roman" w:cs="Times New Roman"/>
                <w:color w:val="000000"/>
                <w:sz w:val="20"/>
                <w:szCs w:val="20"/>
                <w:vertAlign w:val="subscript"/>
              </w:rPr>
              <w:t>RMS</w:t>
            </w:r>
            <w:r w:rsidRPr="00775072">
              <w:rPr>
                <w:rFonts w:eastAsia="Times New Roman" w:cs="Times New Roman"/>
                <w:color w:val="000000"/>
                <w:sz w:val="20"/>
                <w:szCs w:val="20"/>
              </w:rPr>
              <w:t xml:space="preserve"> y F&lt;F</w:t>
            </w:r>
            <w:r w:rsidRPr="00775072">
              <w:rPr>
                <w:rFonts w:eastAsia="Times New Roman" w:cs="Times New Roman"/>
                <w:color w:val="000000"/>
                <w:sz w:val="20"/>
                <w:szCs w:val="20"/>
                <w:vertAlign w:val="subscript"/>
              </w:rPr>
              <w:t>RMS</w:t>
            </w:r>
            <w:r w:rsidRPr="00775072">
              <w:rPr>
                <w:rFonts w:eastAsia="Times New Roman" w:cs="Times New Roman"/>
                <w:color w:val="000000"/>
                <w:sz w:val="20"/>
                <w:szCs w:val="20"/>
              </w:rPr>
              <w:t>) en los años 1-30</w:t>
            </w:r>
          </w:p>
          <w:p w14:paraId="719F07BE"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b/>
                <w:color w:val="000000"/>
                <w:sz w:val="20"/>
                <w:szCs w:val="20"/>
              </w:rPr>
              <w:t>PNOF:</w:t>
            </w:r>
            <w:r w:rsidRPr="00775072">
              <w:rPr>
                <w:rFonts w:eastAsia="Times New Roman" w:cs="Times New Roman"/>
                <w:color w:val="000000"/>
                <w:sz w:val="20"/>
                <w:szCs w:val="20"/>
              </w:rPr>
              <w:t xml:space="preserve"> Probabilidad de no sobrepesca (F&lt;F</w:t>
            </w:r>
            <w:r w:rsidRPr="00775072">
              <w:rPr>
                <w:rFonts w:eastAsia="Times New Roman" w:cs="Times New Roman"/>
                <w:color w:val="000000"/>
                <w:sz w:val="20"/>
                <w:szCs w:val="20"/>
                <w:vertAlign w:val="subscript"/>
              </w:rPr>
              <w:t>RMS</w:t>
            </w:r>
            <w:r w:rsidRPr="00775072">
              <w:rPr>
                <w:rFonts w:eastAsia="Times New Roman" w:cs="Times New Roman"/>
                <w:color w:val="000000"/>
                <w:sz w:val="20"/>
                <w:szCs w:val="20"/>
              </w:rPr>
              <w:t>) durante los años 1-30</w:t>
            </w:r>
          </w:p>
        </w:tc>
      </w:tr>
      <w:tr w:rsidR="005F12F8" w:rsidRPr="00775072" w14:paraId="0CAB8296" w14:textId="77777777" w:rsidTr="00FC01CE">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77214274"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b/>
                <w:color w:val="000000"/>
                <w:sz w:val="20"/>
                <w:szCs w:val="20"/>
              </w:rPr>
              <w:t>Seguridad</w:t>
            </w:r>
          </w:p>
          <w:p w14:paraId="51FF5633" w14:textId="0215133D"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color w:val="000000"/>
                <w:sz w:val="20"/>
                <w:szCs w:val="20"/>
              </w:rPr>
              <w:t>Debería haber un 15 % o menos de probabilidades de que el stock se sitúe por debajo de B</w:t>
            </w:r>
            <w:r w:rsidRPr="00775072">
              <w:rPr>
                <w:rFonts w:eastAsia="Times New Roman" w:cs="Times New Roman"/>
                <w:color w:val="000000"/>
                <w:sz w:val="20"/>
                <w:szCs w:val="20"/>
                <w:vertAlign w:val="subscript"/>
              </w:rPr>
              <w:t xml:space="preserve">LIM </w:t>
            </w:r>
            <w:r w:rsidRPr="00775072">
              <w:rPr>
                <w:rFonts w:eastAsia="Times New Roman" w:cs="Times New Roman"/>
                <w:color w:val="000000"/>
                <w:sz w:val="20"/>
                <w:szCs w:val="20"/>
              </w:rPr>
              <w:t>(0,4*B</w:t>
            </w:r>
            <w:r w:rsidRPr="00775072">
              <w:rPr>
                <w:rFonts w:eastAsia="Times New Roman" w:cs="Times New Roman"/>
                <w:color w:val="000000"/>
                <w:sz w:val="20"/>
                <w:szCs w:val="20"/>
                <w:vertAlign w:val="subscript"/>
              </w:rPr>
              <w:t>RMS</w:t>
            </w:r>
            <w:r w:rsidRPr="00775072">
              <w:rPr>
                <w:rFonts w:eastAsia="Times New Roman" w:cs="Times New Roman"/>
                <w:color w:val="000000"/>
                <w:sz w:val="20"/>
                <w:szCs w:val="20"/>
              </w:rPr>
              <w:t xml:space="preserve">) en cualquier </w:t>
            </w:r>
            <w:r w:rsidR="00854BF5" w:rsidRPr="00775072">
              <w:rPr>
                <w:rFonts w:eastAsia="Times New Roman" w:cs="Times New Roman"/>
                <w:color w:val="000000"/>
                <w:sz w:val="20"/>
                <w:szCs w:val="20"/>
              </w:rPr>
              <w:t>momento</w:t>
            </w:r>
            <w:r w:rsidRPr="00775072">
              <w:rPr>
                <w:rFonts w:eastAsia="Times New Roman" w:cs="Times New Roman"/>
                <w:color w:val="000000"/>
                <w:sz w:val="20"/>
                <w:szCs w:val="20"/>
              </w:rPr>
              <w:t xml:space="preserve"> del periodo de evaluación de 30 años.</w:t>
            </w:r>
          </w:p>
        </w:tc>
        <w:tc>
          <w:tcPr>
            <w:tcW w:w="496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4B9AB852" w14:textId="3A9FBB4D"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b/>
                <w:color w:val="000000"/>
                <w:sz w:val="20"/>
                <w:szCs w:val="20"/>
              </w:rPr>
              <w:t>LRP</w:t>
            </w:r>
            <w:r w:rsidRPr="00775072">
              <w:rPr>
                <w:rFonts w:eastAsia="Times New Roman" w:cs="Times New Roman"/>
                <w:b/>
                <w:color w:val="000000"/>
                <w:sz w:val="20"/>
                <w:szCs w:val="20"/>
                <w:vertAlign w:val="subscript"/>
              </w:rPr>
              <w:t>ALL</w:t>
            </w:r>
            <w:r w:rsidRPr="00775072">
              <w:rPr>
                <w:rFonts w:eastAsia="Times New Roman" w:cs="Times New Roman"/>
                <w:color w:val="000000"/>
                <w:sz w:val="20"/>
                <w:szCs w:val="20"/>
              </w:rPr>
              <w:t>: Probabilidad de sobrepasar el punto de referencia límite (a saber, SB&lt;0,4*SB</w:t>
            </w:r>
            <w:r w:rsidRPr="00775072">
              <w:rPr>
                <w:rFonts w:eastAsia="Times New Roman" w:cs="Times New Roman"/>
                <w:color w:val="000000"/>
                <w:sz w:val="20"/>
                <w:szCs w:val="20"/>
                <w:vertAlign w:val="subscript"/>
              </w:rPr>
              <w:t>RMS</w:t>
            </w:r>
            <w:r w:rsidRPr="00775072">
              <w:rPr>
                <w:rFonts w:eastAsia="Times New Roman" w:cs="Times New Roman"/>
                <w:color w:val="000000"/>
                <w:sz w:val="20"/>
                <w:szCs w:val="20"/>
              </w:rPr>
              <w:t xml:space="preserve">) durante </w:t>
            </w:r>
            <w:r w:rsidR="00854BF5" w:rsidRPr="00775072">
              <w:rPr>
                <w:rFonts w:eastAsia="Times New Roman" w:cs="Times New Roman"/>
                <w:color w:val="000000"/>
                <w:sz w:val="20"/>
                <w:szCs w:val="20"/>
              </w:rPr>
              <w:t>cualquiera de los</w:t>
            </w:r>
            <w:r w:rsidRPr="00775072">
              <w:rPr>
                <w:rFonts w:eastAsia="Times New Roman" w:cs="Times New Roman"/>
                <w:color w:val="000000"/>
                <w:sz w:val="20"/>
                <w:szCs w:val="20"/>
              </w:rPr>
              <w:t xml:space="preserve"> años 1-30</w:t>
            </w:r>
          </w:p>
          <w:p w14:paraId="099DFACF" w14:textId="77777777" w:rsidR="005F12F8" w:rsidRPr="00775072" w:rsidRDefault="005F12F8" w:rsidP="00FC01CE">
            <w:pPr>
              <w:widowControl/>
              <w:jc w:val="both"/>
              <w:textAlignment w:val="top"/>
              <w:rPr>
                <w:rFonts w:eastAsia="Times New Roman" w:cs="Arial"/>
                <w:sz w:val="20"/>
                <w:szCs w:val="20"/>
              </w:rPr>
            </w:pPr>
          </w:p>
        </w:tc>
      </w:tr>
      <w:tr w:rsidR="005F12F8" w:rsidRPr="00775072" w14:paraId="34B0FCE7" w14:textId="77777777" w:rsidTr="00FC01CE">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2ABD6E7D"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b/>
                <w:color w:val="000000"/>
                <w:sz w:val="20"/>
                <w:szCs w:val="20"/>
              </w:rPr>
              <w:t>Rendimiento</w:t>
            </w:r>
          </w:p>
          <w:p w14:paraId="40447B84"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color w:val="000000"/>
                <w:sz w:val="20"/>
                <w:szCs w:val="20"/>
              </w:rPr>
              <w:t>Maximizar los niveles de captura totales.</w:t>
            </w:r>
          </w:p>
        </w:tc>
        <w:tc>
          <w:tcPr>
            <w:tcW w:w="496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1E434315"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b/>
                <w:color w:val="000000"/>
                <w:sz w:val="20"/>
                <w:szCs w:val="20"/>
              </w:rPr>
              <w:t>TAC1</w:t>
            </w:r>
            <w:r w:rsidRPr="00775072">
              <w:rPr>
                <w:rFonts w:eastAsia="Times New Roman" w:cs="Times New Roman"/>
                <w:color w:val="000000"/>
                <w:sz w:val="20"/>
                <w:szCs w:val="20"/>
              </w:rPr>
              <w:t>: TAC en el primer ciclo de ordenación (2025-2027)</w:t>
            </w:r>
          </w:p>
          <w:p w14:paraId="15714516" w14:textId="77777777" w:rsidR="005F12F8" w:rsidRPr="00775072" w:rsidRDefault="005F12F8" w:rsidP="00FC01CE">
            <w:pPr>
              <w:widowControl/>
              <w:jc w:val="both"/>
              <w:textAlignment w:val="top"/>
              <w:rPr>
                <w:rFonts w:eastAsia="Times New Roman" w:cs="Arial"/>
                <w:sz w:val="20"/>
                <w:szCs w:val="20"/>
              </w:rPr>
            </w:pPr>
            <w:proofErr w:type="spellStart"/>
            <w:r w:rsidRPr="00775072">
              <w:rPr>
                <w:rFonts w:eastAsia="Times New Roman" w:cs="Times New Roman"/>
                <w:b/>
                <w:color w:val="000000"/>
                <w:sz w:val="20"/>
                <w:szCs w:val="20"/>
              </w:rPr>
              <w:t>AvTAC</w:t>
            </w:r>
            <w:r w:rsidRPr="00775072">
              <w:rPr>
                <w:rFonts w:eastAsia="Times New Roman" w:cs="Times New Roman"/>
                <w:b/>
                <w:color w:val="000000"/>
                <w:sz w:val="20"/>
                <w:szCs w:val="20"/>
                <w:vertAlign w:val="subscript"/>
              </w:rPr>
              <w:t>SHORT</w:t>
            </w:r>
            <w:proofErr w:type="spellEnd"/>
            <w:r w:rsidRPr="00775072">
              <w:rPr>
                <w:rFonts w:eastAsia="Times New Roman" w:cs="Times New Roman"/>
                <w:color w:val="000000"/>
                <w:sz w:val="20"/>
                <w:szCs w:val="20"/>
              </w:rPr>
              <w:t>: Mediana del TAC (t) durante los años 1-10</w:t>
            </w:r>
          </w:p>
          <w:p w14:paraId="35742945" w14:textId="77777777" w:rsidR="005F12F8" w:rsidRPr="00775072" w:rsidRDefault="005F12F8" w:rsidP="00FC01CE">
            <w:pPr>
              <w:widowControl/>
              <w:jc w:val="both"/>
              <w:textAlignment w:val="top"/>
              <w:rPr>
                <w:rFonts w:eastAsia="Times New Roman" w:cs="Arial"/>
                <w:sz w:val="20"/>
                <w:szCs w:val="20"/>
              </w:rPr>
            </w:pPr>
            <w:proofErr w:type="spellStart"/>
            <w:r w:rsidRPr="00775072">
              <w:rPr>
                <w:rFonts w:eastAsia="Times New Roman" w:cs="Times New Roman"/>
                <w:b/>
                <w:color w:val="000000"/>
                <w:sz w:val="20"/>
                <w:szCs w:val="20"/>
              </w:rPr>
              <w:t>AvTAC</w:t>
            </w:r>
            <w:r w:rsidRPr="00775072">
              <w:rPr>
                <w:rFonts w:eastAsia="Times New Roman" w:cs="Times New Roman"/>
                <w:b/>
                <w:color w:val="000000"/>
                <w:sz w:val="20"/>
                <w:szCs w:val="20"/>
                <w:vertAlign w:val="subscript"/>
              </w:rPr>
              <w:t>MED</w:t>
            </w:r>
            <w:proofErr w:type="spellEnd"/>
            <w:r w:rsidRPr="00775072">
              <w:rPr>
                <w:rFonts w:eastAsia="Times New Roman" w:cs="Times New Roman"/>
                <w:color w:val="000000"/>
                <w:sz w:val="20"/>
                <w:szCs w:val="20"/>
              </w:rPr>
              <w:t>: Mediana del TAC (t) durante los años 11-20</w:t>
            </w:r>
          </w:p>
          <w:p w14:paraId="44601275" w14:textId="77777777" w:rsidR="005F12F8" w:rsidRPr="00775072" w:rsidRDefault="005F12F8" w:rsidP="00FC01CE">
            <w:pPr>
              <w:widowControl/>
              <w:jc w:val="both"/>
              <w:textAlignment w:val="top"/>
              <w:rPr>
                <w:rFonts w:eastAsia="Times New Roman" w:cs="Arial"/>
                <w:sz w:val="20"/>
                <w:szCs w:val="20"/>
              </w:rPr>
            </w:pPr>
            <w:proofErr w:type="spellStart"/>
            <w:r w:rsidRPr="00775072">
              <w:rPr>
                <w:rFonts w:eastAsia="Times New Roman" w:cs="Times New Roman"/>
                <w:b/>
                <w:color w:val="000000"/>
                <w:sz w:val="20"/>
                <w:szCs w:val="20"/>
              </w:rPr>
              <w:t>AvTAC</w:t>
            </w:r>
            <w:r w:rsidRPr="00775072">
              <w:rPr>
                <w:rFonts w:eastAsia="Times New Roman" w:cs="Times New Roman"/>
                <w:b/>
                <w:color w:val="000000"/>
                <w:sz w:val="20"/>
                <w:szCs w:val="20"/>
                <w:vertAlign w:val="subscript"/>
              </w:rPr>
              <w:t>LONG</w:t>
            </w:r>
            <w:proofErr w:type="spellEnd"/>
            <w:r w:rsidRPr="00775072">
              <w:rPr>
                <w:rFonts w:eastAsia="Times New Roman" w:cs="Times New Roman"/>
                <w:color w:val="000000"/>
                <w:sz w:val="20"/>
                <w:szCs w:val="20"/>
              </w:rPr>
              <w:t>: Mediana del TAC (t) durante los años 21-30</w:t>
            </w:r>
          </w:p>
        </w:tc>
      </w:tr>
      <w:tr w:rsidR="005F12F8" w:rsidRPr="00775072" w14:paraId="0ECF24CD" w14:textId="77777777" w:rsidTr="00FC01CE">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04E30110"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b/>
                <w:color w:val="000000"/>
                <w:sz w:val="20"/>
                <w:szCs w:val="20"/>
              </w:rPr>
              <w:t>Estabilidad</w:t>
            </w:r>
          </w:p>
          <w:p w14:paraId="13AC7FCF" w14:textId="77777777" w:rsidR="005F12F8" w:rsidRPr="00775072" w:rsidRDefault="005F12F8" w:rsidP="00FC01CE">
            <w:pPr>
              <w:widowControl/>
              <w:jc w:val="both"/>
              <w:textAlignment w:val="top"/>
              <w:rPr>
                <w:rFonts w:eastAsia="Times New Roman" w:cs="Arial"/>
                <w:sz w:val="20"/>
                <w:szCs w:val="20"/>
              </w:rPr>
            </w:pPr>
            <w:r w:rsidRPr="00775072">
              <w:rPr>
                <w:rFonts w:eastAsia="Times New Roman" w:cs="Times New Roman"/>
                <w:color w:val="000000"/>
                <w:sz w:val="20"/>
                <w:szCs w:val="20"/>
              </w:rPr>
              <w:t xml:space="preserve">Los cambios en el TAC se reducirán al mínimo, en consonancia con las especificaciones del MP descritas en el </w:t>
            </w:r>
            <w:r w:rsidRPr="00775072">
              <w:rPr>
                <w:rFonts w:eastAsia="Times New Roman" w:cs="Times New Roman"/>
                <w:b/>
                <w:bCs/>
                <w:color w:val="000000"/>
                <w:sz w:val="20"/>
                <w:szCs w:val="20"/>
              </w:rPr>
              <w:t>Anexo 1</w:t>
            </w:r>
            <w:r w:rsidRPr="00775072">
              <w:rPr>
                <w:rFonts w:eastAsia="Times New Roman" w:cs="Times New Roman"/>
                <w:color w:val="000000"/>
                <w:sz w:val="20"/>
                <w:szCs w:val="20"/>
              </w:rPr>
              <w:t>.</w:t>
            </w:r>
          </w:p>
        </w:tc>
        <w:tc>
          <w:tcPr>
            <w:tcW w:w="496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5BAFD621" w14:textId="77777777" w:rsidR="005F12F8" w:rsidRPr="00775072" w:rsidRDefault="005F12F8" w:rsidP="00FC01CE">
            <w:pPr>
              <w:widowControl/>
              <w:jc w:val="both"/>
              <w:textAlignment w:val="top"/>
              <w:rPr>
                <w:rFonts w:eastAsia="Times New Roman" w:cs="Arial"/>
                <w:sz w:val="20"/>
                <w:szCs w:val="20"/>
              </w:rPr>
            </w:pPr>
            <w:proofErr w:type="spellStart"/>
            <w:r w:rsidRPr="00775072">
              <w:rPr>
                <w:rFonts w:eastAsia="Times New Roman" w:cs="Times New Roman"/>
                <w:b/>
                <w:color w:val="000000"/>
                <w:sz w:val="20"/>
                <w:szCs w:val="20"/>
              </w:rPr>
              <w:t>VarC</w:t>
            </w:r>
            <w:proofErr w:type="spellEnd"/>
            <w:r w:rsidRPr="00775072">
              <w:rPr>
                <w:rFonts w:eastAsia="Times New Roman" w:cs="Times New Roman"/>
                <w:color w:val="000000"/>
                <w:sz w:val="20"/>
                <w:szCs w:val="20"/>
              </w:rPr>
              <w:t>: Media de la variación del TAC (%) entre ciclos de ordenación en los años 1-30</w:t>
            </w:r>
          </w:p>
          <w:p w14:paraId="03B69718" w14:textId="77777777" w:rsidR="005F12F8" w:rsidRPr="00775072" w:rsidRDefault="005F12F8" w:rsidP="00FC01CE">
            <w:pPr>
              <w:widowControl/>
              <w:jc w:val="both"/>
              <w:textAlignment w:val="top"/>
              <w:rPr>
                <w:rFonts w:eastAsia="Times New Roman" w:cs="Arial"/>
                <w:sz w:val="20"/>
                <w:szCs w:val="20"/>
              </w:rPr>
            </w:pPr>
          </w:p>
        </w:tc>
      </w:tr>
    </w:tbl>
    <w:p w14:paraId="3BC37EFA" w14:textId="77777777" w:rsidR="005F12F8" w:rsidRPr="00775072" w:rsidRDefault="005F12F8" w:rsidP="005F12F8">
      <w:pPr>
        <w:widowControl/>
        <w:jc w:val="both"/>
        <w:rPr>
          <w:rFonts w:eastAsia="Times New Roman" w:cs="Times New Roman"/>
          <w:sz w:val="20"/>
          <w:szCs w:val="20"/>
        </w:rPr>
      </w:pPr>
      <w:r w:rsidRPr="00775072">
        <w:rPr>
          <w:rFonts w:eastAsia="Times New Roman" w:cs="Times New Roman"/>
          <w:sz w:val="20"/>
          <w:szCs w:val="20"/>
        </w:rPr>
        <w:br w:type="page"/>
      </w:r>
    </w:p>
    <w:p w14:paraId="55EB00A1" w14:textId="77777777" w:rsidR="005F12F8" w:rsidRPr="00775072" w:rsidRDefault="005F12F8" w:rsidP="005F12F8">
      <w:pPr>
        <w:ind w:right="2"/>
        <w:jc w:val="right"/>
        <w:rPr>
          <w:b/>
          <w:sz w:val="20"/>
          <w:szCs w:val="20"/>
        </w:rPr>
      </w:pPr>
      <w:r w:rsidRPr="00775072">
        <w:rPr>
          <w:b/>
          <w:sz w:val="20"/>
        </w:rPr>
        <w:lastRenderedPageBreak/>
        <w:t>Anexo 3</w:t>
      </w:r>
    </w:p>
    <w:p w14:paraId="33840917" w14:textId="77777777" w:rsidR="005F12F8" w:rsidRPr="00775072" w:rsidRDefault="005F12F8" w:rsidP="005F12F8">
      <w:pPr>
        <w:ind w:right="180"/>
        <w:jc w:val="center"/>
        <w:rPr>
          <w:b/>
          <w:sz w:val="20"/>
          <w:szCs w:val="20"/>
        </w:rPr>
      </w:pPr>
      <w:r w:rsidRPr="00775072">
        <w:rPr>
          <w:b/>
          <w:sz w:val="20"/>
        </w:rPr>
        <w:t xml:space="preserve"> </w:t>
      </w:r>
    </w:p>
    <w:p w14:paraId="6B5D80B5" w14:textId="47F085CD" w:rsidR="005F12F8" w:rsidRPr="00775072" w:rsidRDefault="005F12F8" w:rsidP="005F12F8">
      <w:pPr>
        <w:ind w:right="-20"/>
        <w:jc w:val="center"/>
        <w:rPr>
          <w:b/>
          <w:sz w:val="20"/>
          <w:szCs w:val="20"/>
        </w:rPr>
      </w:pPr>
      <w:r w:rsidRPr="00775072">
        <w:rPr>
          <w:b/>
          <w:sz w:val="20"/>
        </w:rPr>
        <w:t>Calendario para la implementación del procedimiento de ordenación</w:t>
      </w:r>
      <w:r w:rsidR="00854BF5" w:rsidRPr="00775072">
        <w:rPr>
          <w:b/>
          <w:sz w:val="20"/>
        </w:rPr>
        <w:t xml:space="preserve"> (MP)</w:t>
      </w:r>
    </w:p>
    <w:p w14:paraId="7D1F9949" w14:textId="77777777" w:rsidR="005F12F8" w:rsidRPr="00775072" w:rsidRDefault="005F12F8" w:rsidP="005F12F8">
      <w:pPr>
        <w:ind w:left="80" w:right="180"/>
        <w:jc w:val="center"/>
        <w:rPr>
          <w:b/>
          <w:sz w:val="20"/>
          <w:szCs w:val="20"/>
        </w:rPr>
      </w:pPr>
      <w:r w:rsidRPr="00775072">
        <w:rPr>
          <w:b/>
          <w:sz w:val="20"/>
        </w:rPr>
        <w:t xml:space="preserve"> </w:t>
      </w:r>
    </w:p>
    <w:p w14:paraId="40487756" w14:textId="77777777" w:rsidR="005F12F8" w:rsidRPr="00775072" w:rsidRDefault="005F12F8" w:rsidP="005F12F8">
      <w:pPr>
        <w:jc w:val="both"/>
        <w:rPr>
          <w:sz w:val="20"/>
          <w:szCs w:val="20"/>
        </w:rPr>
      </w:pPr>
      <w:r w:rsidRPr="00775072">
        <w:rPr>
          <w:sz w:val="20"/>
        </w:rPr>
        <w:t>Ciclo de ordenación de tres años</w:t>
      </w:r>
    </w:p>
    <w:p w14:paraId="3716F4C9" w14:textId="77777777" w:rsidR="005F12F8" w:rsidRPr="00775072" w:rsidRDefault="005F12F8" w:rsidP="005F12F8">
      <w:pPr>
        <w:widowControl/>
        <w:tabs>
          <w:tab w:val="left" w:pos="426"/>
          <w:tab w:val="left" w:pos="709"/>
          <w:tab w:val="left" w:pos="993"/>
        </w:tabs>
        <w:autoSpaceDE w:val="0"/>
        <w:autoSpaceDN w:val="0"/>
        <w:adjustRightInd w:val="0"/>
        <w:spacing w:line="240" w:lineRule="exact"/>
        <w:jc w:val="both"/>
        <w:rPr>
          <w:rFonts w:asciiTheme="majorHAnsi" w:eastAsia="Times New Roman" w:hAnsiTheme="majorHAnsi" w:cs="Times New Roman"/>
          <w:sz w:val="20"/>
          <w:szCs w:val="24"/>
        </w:rPr>
      </w:pPr>
    </w:p>
    <w:tbl>
      <w:tblPr>
        <w:tblW w:w="8810" w:type="dxa"/>
        <w:tblLayout w:type="fixed"/>
        <w:tblCellMar>
          <w:left w:w="0" w:type="dxa"/>
          <w:right w:w="0" w:type="dxa"/>
        </w:tblCellMar>
        <w:tblLook w:val="0600" w:firstRow="0" w:lastRow="0" w:firstColumn="0" w:lastColumn="0" w:noHBand="1" w:noVBand="1"/>
      </w:tblPr>
      <w:tblGrid>
        <w:gridCol w:w="620"/>
        <w:gridCol w:w="1170"/>
        <w:gridCol w:w="752"/>
        <w:gridCol w:w="1134"/>
        <w:gridCol w:w="992"/>
        <w:gridCol w:w="709"/>
        <w:gridCol w:w="1093"/>
        <w:gridCol w:w="990"/>
        <w:gridCol w:w="1350"/>
      </w:tblGrid>
      <w:tr w:rsidR="005F12F8" w:rsidRPr="00775072" w14:paraId="3D818C90" w14:textId="77777777" w:rsidTr="00FC01CE">
        <w:trPr>
          <w:trHeight w:val="428"/>
        </w:trPr>
        <w:tc>
          <w:tcPr>
            <w:tcW w:w="179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6B994FF" w14:textId="77777777" w:rsidR="005F12F8" w:rsidRPr="00775072" w:rsidRDefault="005F12F8" w:rsidP="00FC01CE">
            <w:pPr>
              <w:widowControl/>
              <w:rPr>
                <w:rFonts w:eastAsia="Times New Roman" w:cs="Times New Roman"/>
                <w:sz w:val="18"/>
                <w:szCs w:val="18"/>
              </w:rPr>
            </w:pPr>
            <w:r w:rsidRPr="00775072">
              <w:rPr>
                <w:sz w:val="18"/>
              </w:rPr>
              <w:t> </w:t>
            </w:r>
          </w:p>
          <w:p w14:paraId="1895A32D" w14:textId="77777777" w:rsidR="005F12F8" w:rsidRPr="00775072" w:rsidRDefault="005F12F8" w:rsidP="00FC01CE">
            <w:pPr>
              <w:widowControl/>
              <w:rPr>
                <w:rFonts w:eastAsia="Times New Roman" w:cs="Times New Roman"/>
                <w:sz w:val="18"/>
                <w:szCs w:val="18"/>
              </w:rPr>
            </w:pPr>
            <w:r w:rsidRPr="00775072">
              <w:rPr>
                <w:sz w:val="18"/>
              </w:rPr>
              <w:t> </w:t>
            </w:r>
          </w:p>
        </w:tc>
        <w:tc>
          <w:tcPr>
            <w:tcW w:w="4680" w:type="dxa"/>
            <w:gridSpan w:val="5"/>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FA1B317" w14:textId="77777777" w:rsidR="005F12F8" w:rsidRPr="00775072" w:rsidRDefault="005F12F8" w:rsidP="00FC01CE">
            <w:pPr>
              <w:widowControl/>
              <w:jc w:val="center"/>
              <w:rPr>
                <w:rFonts w:eastAsia="Times New Roman" w:cs="Times New Roman"/>
                <w:sz w:val="18"/>
                <w:szCs w:val="18"/>
              </w:rPr>
            </w:pPr>
            <w:r w:rsidRPr="00775072">
              <w:rPr>
                <w:b/>
                <w:i/>
                <w:sz w:val="18"/>
              </w:rPr>
              <w:t>Actividad</w:t>
            </w: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960469B" w14:textId="73B28A2B" w:rsidR="005F12F8" w:rsidRPr="00775072" w:rsidRDefault="00854BF5" w:rsidP="00FC01CE">
            <w:pPr>
              <w:widowControl/>
              <w:jc w:val="center"/>
              <w:rPr>
                <w:rFonts w:eastAsia="Times New Roman" w:cs="Times New Roman"/>
                <w:sz w:val="18"/>
                <w:szCs w:val="18"/>
              </w:rPr>
            </w:pPr>
            <w:r w:rsidRPr="00775072">
              <w:rPr>
                <w:b/>
                <w:i/>
                <w:sz w:val="18"/>
              </w:rPr>
              <w:t>Entradas de datos</w:t>
            </w:r>
          </w:p>
        </w:tc>
      </w:tr>
      <w:tr w:rsidR="005F12F8" w:rsidRPr="00775072" w14:paraId="42BE9DCE" w14:textId="77777777" w:rsidTr="00FC01CE">
        <w:trPr>
          <w:trHeight w:val="581"/>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DFA4B80" w14:textId="77777777" w:rsidR="005F12F8" w:rsidRPr="00775072" w:rsidRDefault="005F12F8" w:rsidP="00FC01CE">
            <w:pPr>
              <w:widowControl/>
              <w:jc w:val="center"/>
              <w:rPr>
                <w:rFonts w:eastAsia="Times New Roman" w:cs="Times New Roman"/>
                <w:i/>
                <w:iCs/>
                <w:sz w:val="18"/>
                <w:szCs w:val="18"/>
              </w:rPr>
            </w:pPr>
            <w:r w:rsidRPr="00775072">
              <w:rPr>
                <w:i/>
                <w:sz w:val="18"/>
              </w:rPr>
              <w:t>Año</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62F4982" w14:textId="77777777" w:rsidR="005F12F8" w:rsidRPr="00775072" w:rsidRDefault="005F12F8" w:rsidP="00FC01CE">
            <w:pPr>
              <w:widowControl/>
              <w:jc w:val="center"/>
              <w:rPr>
                <w:rFonts w:eastAsia="Times New Roman" w:cs="Times New Roman"/>
                <w:i/>
                <w:iCs/>
                <w:sz w:val="18"/>
                <w:szCs w:val="18"/>
              </w:rPr>
            </w:pPr>
            <w:r w:rsidRPr="00775072">
              <w:rPr>
                <w:i/>
                <w:sz w:val="18"/>
              </w:rPr>
              <w:t>Ciclo de ordenación</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F240288" w14:textId="77777777" w:rsidR="005F12F8" w:rsidRPr="00775072" w:rsidRDefault="005F12F8" w:rsidP="00FC01CE">
            <w:pPr>
              <w:widowControl/>
              <w:jc w:val="center"/>
              <w:rPr>
                <w:rFonts w:eastAsia="Times New Roman" w:cs="Times New Roman"/>
                <w:i/>
                <w:iCs/>
                <w:sz w:val="18"/>
                <w:szCs w:val="18"/>
              </w:rPr>
            </w:pPr>
            <w:r w:rsidRPr="00775072">
              <w:rPr>
                <w:i/>
                <w:sz w:val="18"/>
              </w:rPr>
              <w:t>Ejecución del</w:t>
            </w:r>
          </w:p>
          <w:p w14:paraId="7381CA15" w14:textId="77777777" w:rsidR="005F12F8" w:rsidRPr="00775072" w:rsidRDefault="005F12F8" w:rsidP="00FC01CE">
            <w:pPr>
              <w:widowControl/>
              <w:jc w:val="center"/>
              <w:rPr>
                <w:rFonts w:eastAsia="Times New Roman" w:cs="Times New Roman"/>
                <w:i/>
                <w:iCs/>
                <w:sz w:val="18"/>
                <w:szCs w:val="18"/>
              </w:rPr>
            </w:pPr>
            <w:r w:rsidRPr="00775072">
              <w:rPr>
                <w:i/>
                <w:sz w:val="18"/>
              </w:rPr>
              <w:t>MP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5328E0D" w14:textId="77777777" w:rsidR="005F12F8" w:rsidRPr="00775072" w:rsidRDefault="005F12F8" w:rsidP="00FC01CE">
            <w:pPr>
              <w:widowControl/>
              <w:jc w:val="center"/>
              <w:rPr>
                <w:rFonts w:eastAsia="Times New Roman" w:cs="Times New Roman"/>
                <w:i/>
                <w:iCs/>
                <w:sz w:val="18"/>
                <w:szCs w:val="18"/>
              </w:rPr>
            </w:pPr>
            <w:r w:rsidRPr="00775072">
              <w:rPr>
                <w:i/>
                <w:sz w:val="18"/>
              </w:rPr>
              <w:t>Asesoramiento sobre MP implementado</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F805D78" w14:textId="77777777" w:rsidR="005F12F8" w:rsidRPr="00775072" w:rsidRDefault="005F12F8" w:rsidP="00FC01CE">
            <w:pPr>
              <w:widowControl/>
              <w:jc w:val="center"/>
              <w:rPr>
                <w:rFonts w:eastAsia="Times New Roman" w:cs="Times New Roman"/>
                <w:i/>
                <w:iCs/>
                <w:sz w:val="18"/>
                <w:szCs w:val="18"/>
              </w:rPr>
            </w:pPr>
            <w:r w:rsidRPr="00775072">
              <w:rPr>
                <w:i/>
                <w:sz w:val="18"/>
              </w:rPr>
              <w:t>Evaluación de stock</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A8E88C7" w14:textId="77777777" w:rsidR="005F12F8" w:rsidRPr="00775072" w:rsidRDefault="005F12F8" w:rsidP="00FC01CE">
            <w:pPr>
              <w:widowControl/>
              <w:jc w:val="center"/>
              <w:rPr>
                <w:rFonts w:eastAsia="Times New Roman" w:cs="Times New Roman"/>
                <w:i/>
                <w:iCs/>
                <w:sz w:val="18"/>
                <w:szCs w:val="18"/>
              </w:rPr>
            </w:pPr>
            <w:r w:rsidRPr="00775072">
              <w:rPr>
                <w:i/>
                <w:sz w:val="18"/>
              </w:rPr>
              <w:t>Revisión de la MSE</w:t>
            </w: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9221F5F" w14:textId="77777777" w:rsidR="005F12F8" w:rsidRPr="00775072" w:rsidRDefault="005F12F8" w:rsidP="00FC01CE">
            <w:pPr>
              <w:widowControl/>
              <w:jc w:val="center"/>
              <w:rPr>
                <w:rFonts w:eastAsia="Times New Roman" w:cs="Times New Roman"/>
                <w:i/>
                <w:iCs/>
                <w:sz w:val="18"/>
                <w:szCs w:val="18"/>
              </w:rPr>
            </w:pPr>
            <w:r w:rsidRPr="00775072">
              <w:rPr>
                <w:i/>
                <w:sz w:val="18"/>
              </w:rPr>
              <w:t>Evaluación de EC</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D1A5AA1" w14:textId="77777777" w:rsidR="005F12F8" w:rsidRPr="00775072" w:rsidRDefault="005F12F8" w:rsidP="00FC01CE">
            <w:pPr>
              <w:widowControl/>
              <w:jc w:val="center"/>
              <w:rPr>
                <w:rFonts w:eastAsia="Times New Roman" w:cs="Times New Roman"/>
                <w:i/>
                <w:iCs/>
                <w:sz w:val="18"/>
                <w:szCs w:val="18"/>
              </w:rPr>
            </w:pPr>
            <w:r w:rsidRPr="00775072">
              <w:rPr>
                <w:i/>
                <w:sz w:val="18"/>
              </w:rPr>
              <w:t>Índice combinado*</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713812B" w14:textId="77777777" w:rsidR="005F12F8" w:rsidRPr="00775072" w:rsidRDefault="005F12F8" w:rsidP="00FC01CE">
            <w:pPr>
              <w:widowControl/>
              <w:jc w:val="center"/>
              <w:rPr>
                <w:i/>
                <w:sz w:val="18"/>
              </w:rPr>
            </w:pPr>
            <w:r w:rsidRPr="00775072">
              <w:rPr>
                <w:i/>
                <w:sz w:val="18"/>
              </w:rPr>
              <w:t>Indicadores</w:t>
            </w:r>
          </w:p>
          <w:p w14:paraId="524F2EAE" w14:textId="77777777" w:rsidR="005F12F8" w:rsidRPr="00775072" w:rsidRDefault="005F12F8" w:rsidP="00FC01CE">
            <w:pPr>
              <w:widowControl/>
              <w:jc w:val="center"/>
              <w:rPr>
                <w:rFonts w:eastAsia="Times New Roman" w:cs="Times New Roman"/>
                <w:i/>
                <w:iCs/>
                <w:sz w:val="18"/>
                <w:szCs w:val="18"/>
              </w:rPr>
            </w:pPr>
            <w:r w:rsidRPr="00775072">
              <w:rPr>
                <w:i/>
                <w:sz w:val="18"/>
              </w:rPr>
              <w:t>de EC</w:t>
            </w:r>
          </w:p>
        </w:tc>
      </w:tr>
      <w:tr w:rsidR="005F12F8" w:rsidRPr="00775072" w14:paraId="05D9E5D6"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5B8C473" w14:textId="77777777" w:rsidR="005F12F8" w:rsidRPr="00775072" w:rsidRDefault="005F12F8" w:rsidP="00FC01CE">
            <w:pPr>
              <w:widowControl/>
              <w:jc w:val="center"/>
              <w:rPr>
                <w:rFonts w:eastAsia="Times New Roman" w:cs="Times New Roman"/>
                <w:sz w:val="18"/>
                <w:szCs w:val="18"/>
              </w:rPr>
            </w:pPr>
            <w:r w:rsidRPr="00775072">
              <w:rPr>
                <w:sz w:val="18"/>
              </w:rPr>
              <w:t>2024</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C5536BC" w14:textId="77777777" w:rsidR="005F12F8" w:rsidRPr="00775072"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C21A4A9"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1B6C37C" w14:textId="77777777" w:rsidR="005F12F8" w:rsidRPr="00775072"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B762896" w14:textId="77777777" w:rsidR="005F12F8" w:rsidRPr="00775072"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EFFF9B3" w14:textId="77777777" w:rsidR="005F12F8" w:rsidRPr="00775072"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D1B47EE" w14:textId="77777777" w:rsidR="005F12F8" w:rsidRPr="00775072" w:rsidRDefault="005F12F8" w:rsidP="00FC01CE">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AA351B2"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6820A82" w14:textId="77777777" w:rsidR="005F12F8" w:rsidRPr="00775072" w:rsidRDefault="005F12F8" w:rsidP="00FC01CE">
            <w:pPr>
              <w:widowControl/>
              <w:jc w:val="center"/>
              <w:rPr>
                <w:rFonts w:eastAsia="Times New Roman" w:cs="Times New Roman"/>
                <w:sz w:val="18"/>
                <w:szCs w:val="18"/>
              </w:rPr>
            </w:pPr>
          </w:p>
        </w:tc>
      </w:tr>
      <w:tr w:rsidR="005F12F8" w:rsidRPr="00775072" w14:paraId="3FB12C94"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352F698" w14:textId="77777777" w:rsidR="005F12F8" w:rsidRPr="00775072" w:rsidRDefault="005F12F8" w:rsidP="00FC01CE">
            <w:pPr>
              <w:widowControl/>
              <w:jc w:val="center"/>
              <w:rPr>
                <w:rFonts w:eastAsia="Times New Roman" w:cs="Times New Roman"/>
                <w:sz w:val="18"/>
                <w:szCs w:val="18"/>
              </w:rPr>
            </w:pPr>
            <w:r w:rsidRPr="00775072">
              <w:rPr>
                <w:sz w:val="18"/>
              </w:rPr>
              <w:t>2025</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0CAF35E" w14:textId="77777777" w:rsidR="005F12F8" w:rsidRPr="00775072" w:rsidRDefault="005F12F8" w:rsidP="00FC01CE">
            <w:pPr>
              <w:widowControl/>
              <w:jc w:val="center"/>
              <w:rPr>
                <w:rFonts w:eastAsia="Times New Roman" w:cs="Times New Roman"/>
                <w:sz w:val="18"/>
                <w:szCs w:val="18"/>
              </w:rPr>
            </w:pPr>
            <w:r w:rsidRPr="00775072">
              <w:rPr>
                <w:sz w:val="18"/>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4E7484C" w14:textId="77777777" w:rsidR="005F12F8" w:rsidRPr="00775072"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7CD5BDC"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C49CF02" w14:textId="77777777" w:rsidR="005F12F8" w:rsidRPr="00775072"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697292A" w14:textId="77777777" w:rsidR="005F12F8" w:rsidRPr="00775072"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012F4E4"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249B75B" w14:textId="77777777" w:rsidR="005F12F8" w:rsidRPr="00775072"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10BE086"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r>
      <w:tr w:rsidR="005F12F8" w:rsidRPr="00775072" w14:paraId="2D8595D3"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B07F094" w14:textId="77777777" w:rsidR="005F12F8" w:rsidRPr="00775072" w:rsidRDefault="005F12F8" w:rsidP="00FC01CE">
            <w:pPr>
              <w:widowControl/>
              <w:jc w:val="center"/>
              <w:rPr>
                <w:rFonts w:eastAsia="Times New Roman" w:cs="Times New Roman"/>
                <w:sz w:val="18"/>
                <w:szCs w:val="18"/>
              </w:rPr>
            </w:pPr>
            <w:r w:rsidRPr="00775072">
              <w:rPr>
                <w:sz w:val="18"/>
              </w:rPr>
              <w:t>2026</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4AA50F4B" w14:textId="77777777" w:rsidR="005F12F8" w:rsidRPr="00775072"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9488C8F" w14:textId="77777777" w:rsidR="005F12F8" w:rsidRPr="00775072"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F451B66" w14:textId="77777777" w:rsidR="005F12F8" w:rsidRPr="00775072"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938DC8B" w14:textId="77777777" w:rsidR="005F12F8" w:rsidRPr="00775072"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57174B8" w14:textId="77777777" w:rsidR="005F12F8" w:rsidRPr="00775072"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C97A7D6"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10E9348" w14:textId="77777777" w:rsidR="005F12F8" w:rsidRPr="00775072"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735297D"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r>
      <w:tr w:rsidR="005F12F8" w:rsidRPr="00775072" w14:paraId="292F14B4"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8D18B54" w14:textId="77777777" w:rsidR="005F12F8" w:rsidRPr="00775072" w:rsidRDefault="005F12F8" w:rsidP="00FC01CE">
            <w:pPr>
              <w:widowControl/>
              <w:jc w:val="center"/>
              <w:rPr>
                <w:rFonts w:eastAsia="Times New Roman" w:cs="Times New Roman"/>
                <w:sz w:val="18"/>
                <w:szCs w:val="18"/>
              </w:rPr>
            </w:pPr>
            <w:r w:rsidRPr="00775072">
              <w:rPr>
                <w:sz w:val="18"/>
              </w:rPr>
              <w:t>2027</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19DB00E4" w14:textId="77777777" w:rsidR="005F12F8" w:rsidRPr="00775072"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1BDE98C"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DB5549B" w14:textId="77777777" w:rsidR="005F12F8" w:rsidRPr="00775072"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07BB9B7" w14:textId="77777777" w:rsidR="005F12F8" w:rsidRPr="00775072"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590988C" w14:textId="77777777" w:rsidR="005F12F8" w:rsidRPr="00775072"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738D807"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AC43B9D"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52FE348"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r>
      <w:tr w:rsidR="005F12F8" w:rsidRPr="00775072" w14:paraId="6E70861C"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E3A052D" w14:textId="77777777" w:rsidR="005F12F8" w:rsidRPr="00775072" w:rsidRDefault="005F12F8" w:rsidP="00FC01CE">
            <w:pPr>
              <w:widowControl/>
              <w:jc w:val="center"/>
              <w:rPr>
                <w:rFonts w:eastAsia="Times New Roman" w:cs="Times New Roman"/>
                <w:sz w:val="18"/>
                <w:szCs w:val="18"/>
              </w:rPr>
            </w:pPr>
            <w:r w:rsidRPr="00775072">
              <w:rPr>
                <w:sz w:val="18"/>
              </w:rPr>
              <w:t>2028</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2E54345" w14:textId="77777777" w:rsidR="005F12F8" w:rsidRPr="00775072" w:rsidRDefault="005F12F8" w:rsidP="00FC01CE">
            <w:pPr>
              <w:widowControl/>
              <w:jc w:val="center"/>
              <w:rPr>
                <w:rFonts w:eastAsia="Times New Roman" w:cs="Times New Roman"/>
                <w:sz w:val="18"/>
                <w:szCs w:val="18"/>
              </w:rPr>
            </w:pPr>
            <w:r w:rsidRPr="00775072">
              <w:rPr>
                <w:sz w:val="18"/>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052A98D" w14:textId="77777777" w:rsidR="005F12F8" w:rsidRPr="00775072"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E3F46E3"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C8F42EF" w14:textId="673BCBDD" w:rsidR="005F12F8" w:rsidRPr="00775072"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F07CE2C" w14:textId="77777777" w:rsidR="005F12F8" w:rsidRPr="00775072"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97D57DB"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8A05FA6" w14:textId="77777777" w:rsidR="005F12F8" w:rsidRPr="00775072"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B823D25"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r>
      <w:tr w:rsidR="005F12F8" w:rsidRPr="00775072" w14:paraId="252BAB7F" w14:textId="77777777" w:rsidTr="00FC01CE">
        <w:trPr>
          <w:trHeight w:val="457"/>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DD5DFEC" w14:textId="77777777" w:rsidR="005F12F8" w:rsidRPr="00775072" w:rsidRDefault="005F12F8" w:rsidP="00FC01CE">
            <w:pPr>
              <w:widowControl/>
              <w:jc w:val="center"/>
              <w:rPr>
                <w:rFonts w:eastAsia="Times New Roman" w:cs="Times New Roman"/>
                <w:sz w:val="18"/>
                <w:szCs w:val="18"/>
              </w:rPr>
            </w:pPr>
            <w:r w:rsidRPr="00775072">
              <w:rPr>
                <w:sz w:val="18"/>
              </w:rPr>
              <w:t>2029</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40FC5566" w14:textId="77777777" w:rsidR="005F12F8" w:rsidRPr="00775072"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B64FCDA" w14:textId="77777777" w:rsidR="005F12F8" w:rsidRPr="00775072"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C450605" w14:textId="77777777" w:rsidR="005F12F8" w:rsidRPr="00775072"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F04CAF3" w14:textId="736629E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5EAC403" w14:textId="7C08D398" w:rsidR="005F12F8" w:rsidRPr="00775072"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A6E8AF9"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DD62ACD" w14:textId="77777777" w:rsidR="005F12F8" w:rsidRPr="00775072"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C34EB17"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r>
      <w:tr w:rsidR="005F12F8" w:rsidRPr="00775072" w14:paraId="0F8A5C5F"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75EEE52" w14:textId="77777777" w:rsidR="005F12F8" w:rsidRPr="00775072" w:rsidRDefault="005F12F8" w:rsidP="00FC01CE">
            <w:pPr>
              <w:widowControl/>
              <w:jc w:val="center"/>
              <w:rPr>
                <w:rFonts w:eastAsia="Times New Roman" w:cs="Times New Roman"/>
                <w:sz w:val="18"/>
                <w:szCs w:val="18"/>
              </w:rPr>
            </w:pPr>
            <w:r w:rsidRPr="00775072">
              <w:rPr>
                <w:sz w:val="18"/>
              </w:rPr>
              <w:t>2030</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2FE988B2" w14:textId="77777777" w:rsidR="005F12F8" w:rsidRPr="00775072"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D2DE464"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49F8DFE" w14:textId="77777777" w:rsidR="005F12F8" w:rsidRPr="00775072"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81735EC" w14:textId="77777777" w:rsidR="005F12F8" w:rsidRPr="00775072"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D7C60BE" w14:textId="2B24CFD2"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7985A34"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AC93610"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42BCDFE"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r>
      <w:tr w:rsidR="005F12F8" w:rsidRPr="00775072" w14:paraId="5ACEAEA3" w14:textId="77777777" w:rsidTr="00FC01CE">
        <w:trPr>
          <w:trHeight w:val="417"/>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A066CD9" w14:textId="77777777" w:rsidR="005F12F8" w:rsidRPr="00775072" w:rsidRDefault="005F12F8" w:rsidP="00FC01CE">
            <w:pPr>
              <w:widowControl/>
              <w:jc w:val="center"/>
              <w:rPr>
                <w:rFonts w:eastAsia="Times New Roman" w:cs="Times New Roman"/>
                <w:sz w:val="18"/>
                <w:szCs w:val="18"/>
              </w:rPr>
            </w:pPr>
            <w:r w:rsidRPr="00775072">
              <w:rPr>
                <w:sz w:val="18"/>
              </w:rPr>
              <w:t>2031</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38A8D7B" w14:textId="77777777" w:rsidR="005F12F8" w:rsidRPr="00775072" w:rsidRDefault="005F12F8" w:rsidP="00FC01CE">
            <w:pPr>
              <w:widowControl/>
              <w:jc w:val="center"/>
              <w:rPr>
                <w:rFonts w:eastAsia="Times New Roman" w:cs="Times New Roman"/>
                <w:sz w:val="18"/>
                <w:szCs w:val="18"/>
              </w:rPr>
            </w:pPr>
            <w:r w:rsidRPr="00775072">
              <w:rPr>
                <w:sz w:val="18"/>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562A0EB" w14:textId="77777777" w:rsidR="005F12F8" w:rsidRPr="00775072"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3C42D50"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80B3D04" w14:textId="77777777" w:rsidR="005F12F8" w:rsidRPr="00775072"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2308BF5" w14:textId="77777777" w:rsidR="005F12F8" w:rsidRPr="00775072"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B76171D"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C617698" w14:textId="77777777" w:rsidR="005F12F8" w:rsidRPr="00775072"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20F94DC"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r>
      <w:tr w:rsidR="005F12F8" w:rsidRPr="00775072" w14:paraId="6D0B5517"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60E80A6" w14:textId="77777777" w:rsidR="005F12F8" w:rsidRPr="00775072" w:rsidRDefault="005F12F8" w:rsidP="00FC01CE">
            <w:pPr>
              <w:widowControl/>
              <w:jc w:val="center"/>
              <w:rPr>
                <w:rFonts w:eastAsia="Times New Roman" w:cs="Times New Roman"/>
                <w:sz w:val="18"/>
                <w:szCs w:val="18"/>
              </w:rPr>
            </w:pPr>
            <w:r w:rsidRPr="00775072">
              <w:rPr>
                <w:sz w:val="18"/>
              </w:rPr>
              <w:t>2032</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56A4D8D" w14:textId="77777777" w:rsidR="005F12F8" w:rsidRPr="00775072"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A2DED9E" w14:textId="77777777" w:rsidR="005F12F8" w:rsidRPr="00775072" w:rsidRDefault="005F12F8" w:rsidP="00FC01CE">
            <w:pPr>
              <w:widowControl/>
              <w:jc w:val="center"/>
              <w:rPr>
                <w:rFonts w:eastAsia="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F01A69B" w14:textId="77777777" w:rsidR="005F12F8" w:rsidRPr="00775072"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D616AD6" w14:textId="77777777" w:rsidR="005F12F8" w:rsidRPr="00775072"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D4C8E79" w14:textId="77777777" w:rsidR="005F12F8" w:rsidRPr="00775072"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D02A606"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9A82DF0" w14:textId="77777777" w:rsidR="005F12F8" w:rsidRPr="00775072" w:rsidRDefault="005F12F8" w:rsidP="00FC01CE">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3F73078"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r>
      <w:tr w:rsidR="005F12F8" w:rsidRPr="00775072" w14:paraId="755BB271" w14:textId="77777777" w:rsidTr="00FC01CE">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6CC49F7" w14:textId="77777777" w:rsidR="005F12F8" w:rsidRPr="00775072" w:rsidRDefault="005F12F8" w:rsidP="00FC01CE">
            <w:pPr>
              <w:widowControl/>
              <w:jc w:val="center"/>
              <w:rPr>
                <w:rFonts w:eastAsia="Times New Roman" w:cs="Times New Roman"/>
                <w:sz w:val="18"/>
                <w:szCs w:val="18"/>
              </w:rPr>
            </w:pPr>
            <w:r w:rsidRPr="00775072">
              <w:rPr>
                <w:sz w:val="18"/>
              </w:rPr>
              <w:t>2033</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463E7740" w14:textId="77777777" w:rsidR="005F12F8" w:rsidRPr="00775072" w:rsidRDefault="005F12F8" w:rsidP="00FC01CE">
            <w:pPr>
              <w:widowControl/>
              <w:jc w:val="center"/>
              <w:rPr>
                <w:rFonts w:eastAsia="Times New Roman" w:cs="Times New Roman"/>
                <w:sz w:val="18"/>
                <w:szCs w:val="18"/>
              </w:rPr>
            </w:pP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571A904"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46DE554" w14:textId="77777777" w:rsidR="005F12F8" w:rsidRPr="00775072" w:rsidRDefault="005F12F8" w:rsidP="00FC01CE">
            <w:pPr>
              <w:widowControl/>
              <w:jc w:val="center"/>
              <w:rPr>
                <w:rFonts w:eastAsia="Times New Roman" w:cs="Times New Roman"/>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703B06B" w14:textId="77777777" w:rsidR="005F12F8" w:rsidRPr="00775072" w:rsidRDefault="005F12F8" w:rsidP="00FC01CE">
            <w:pPr>
              <w:widowControl/>
              <w:jc w:val="center"/>
              <w:rPr>
                <w:rFonts w:eastAsia="Times New Roman" w:cs="Times New Roman"/>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393B7BD" w14:textId="77777777" w:rsidR="005F12F8" w:rsidRPr="00775072" w:rsidRDefault="005F12F8" w:rsidP="00FC01CE">
            <w:pPr>
              <w:widowControl/>
              <w:jc w:val="center"/>
              <w:rPr>
                <w:rFonts w:eastAsia="Times New Roman" w:cs="Times New Roman"/>
                <w:sz w:val="18"/>
                <w:szCs w:val="18"/>
              </w:rPr>
            </w:pPr>
          </w:p>
        </w:tc>
        <w:tc>
          <w:tcPr>
            <w:tcW w:w="109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4FC9058"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83A7321"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55FC028" w14:textId="77777777" w:rsidR="005F12F8" w:rsidRPr="00775072" w:rsidRDefault="005F12F8" w:rsidP="00FC01CE">
            <w:pPr>
              <w:widowControl/>
              <w:jc w:val="center"/>
              <w:rPr>
                <w:rFonts w:eastAsia="Times New Roman" w:cs="Times New Roman"/>
                <w:sz w:val="18"/>
                <w:szCs w:val="18"/>
              </w:rPr>
            </w:pPr>
            <w:r w:rsidRPr="00775072">
              <w:rPr>
                <w:rFonts w:eastAsia="Times New Roman" w:cs="Times New Roman"/>
                <w:sz w:val="18"/>
                <w:szCs w:val="18"/>
              </w:rPr>
              <w:t>x</w:t>
            </w:r>
          </w:p>
        </w:tc>
      </w:tr>
    </w:tbl>
    <w:p w14:paraId="59D99940" w14:textId="7CE35837" w:rsidR="005F12F8" w:rsidRPr="00775072" w:rsidRDefault="005F12F8" w:rsidP="005F12F8">
      <w:pPr>
        <w:jc w:val="both"/>
        <w:rPr>
          <w:sz w:val="16"/>
          <w:szCs w:val="16"/>
        </w:rPr>
      </w:pPr>
      <w:r w:rsidRPr="00775072">
        <w:rPr>
          <w:sz w:val="16"/>
        </w:rPr>
        <w:t xml:space="preserve">*El índice combinado </w:t>
      </w:r>
      <w:r w:rsidR="00854BF5" w:rsidRPr="00775072">
        <w:rPr>
          <w:sz w:val="16"/>
        </w:rPr>
        <w:t>puede</w:t>
      </w:r>
      <w:r w:rsidRPr="00775072">
        <w:rPr>
          <w:sz w:val="16"/>
        </w:rPr>
        <w:t xml:space="preserve"> actualizarse cada año, en función de los requisitos establecidos en el </w:t>
      </w:r>
      <w:r w:rsidR="00854BF5" w:rsidRPr="00775072">
        <w:rPr>
          <w:sz w:val="16"/>
        </w:rPr>
        <w:t>protocolo de circunstancias de excepcionales (ECP)</w:t>
      </w:r>
      <w:r w:rsidRPr="00775072">
        <w:rPr>
          <w:sz w:val="16"/>
        </w:rPr>
        <w:t>.</w:t>
      </w:r>
    </w:p>
    <w:p w14:paraId="0BD9245D" w14:textId="77777777" w:rsidR="005F12F8" w:rsidRPr="00775072" w:rsidRDefault="005F12F8" w:rsidP="005F12F8"/>
    <w:p w14:paraId="23242020" w14:textId="77777777" w:rsidR="005F12F8" w:rsidRPr="00775072" w:rsidRDefault="005F12F8" w:rsidP="005F12F8">
      <w:pPr>
        <w:pBdr>
          <w:top w:val="nil"/>
          <w:left w:val="nil"/>
          <w:bottom w:val="nil"/>
          <w:right w:val="nil"/>
          <w:between w:val="nil"/>
        </w:pBdr>
        <w:tabs>
          <w:tab w:val="left" w:pos="836"/>
          <w:tab w:val="left" w:pos="838"/>
        </w:tabs>
        <w:ind w:left="426" w:right="123"/>
        <w:jc w:val="both"/>
        <w:rPr>
          <w:color w:val="000000"/>
          <w:sz w:val="20"/>
          <w:szCs w:val="20"/>
        </w:rPr>
      </w:pPr>
    </w:p>
    <w:p w14:paraId="5B6B1F41" w14:textId="77777777" w:rsidR="002949E9" w:rsidRPr="00775072" w:rsidRDefault="002949E9" w:rsidP="002949E9">
      <w:pPr>
        <w:pBdr>
          <w:top w:val="nil"/>
          <w:left w:val="nil"/>
          <w:bottom w:val="nil"/>
          <w:right w:val="nil"/>
          <w:between w:val="nil"/>
        </w:pBdr>
        <w:rPr>
          <w:color w:val="000000"/>
          <w:sz w:val="20"/>
          <w:szCs w:val="20"/>
        </w:rPr>
      </w:pPr>
    </w:p>
    <w:sectPr w:rsidR="002949E9" w:rsidRPr="00775072" w:rsidSect="00DB56BB">
      <w:footerReference w:type="default" r:id="rId10"/>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08F91" w14:textId="77777777" w:rsidR="009E5020" w:rsidRDefault="009E5020" w:rsidP="002949E9">
      <w:r>
        <w:separator/>
      </w:r>
    </w:p>
  </w:endnote>
  <w:endnote w:type="continuationSeparator" w:id="0">
    <w:p w14:paraId="1355220B" w14:textId="77777777" w:rsidR="009E5020" w:rsidRDefault="009E5020" w:rsidP="002949E9">
      <w:r>
        <w:continuationSeparator/>
      </w:r>
    </w:p>
  </w:endnote>
  <w:endnote w:type="continuationNotice" w:id="1">
    <w:p w14:paraId="7591453B" w14:textId="77777777" w:rsidR="009E5020" w:rsidRDefault="009E5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D691" w14:textId="4DCB02E6" w:rsidR="00DB56BB" w:rsidRPr="00DB56BB" w:rsidRDefault="00775072" w:rsidP="00DB56BB">
    <w:pPr>
      <w:widowControl/>
      <w:tabs>
        <w:tab w:val="center" w:pos="4535"/>
        <w:tab w:val="center" w:pos="4680"/>
        <w:tab w:val="left" w:pos="6150"/>
        <w:tab w:val="right" w:pos="9360"/>
      </w:tabs>
      <w:jc w:val="center"/>
      <w:rPr>
        <w:rFonts w:eastAsia="Calibri" w:cs="Calibri"/>
        <w:sz w:val="20"/>
      </w:rPr>
    </w:pPr>
    <w:sdt>
      <w:sdtPr>
        <w:rPr>
          <w:rFonts w:ascii="Calibri" w:eastAsia="Calibri" w:hAnsi="Calibri" w:cs="Calibri"/>
          <w:sz w:val="20"/>
          <w:szCs w:val="20"/>
        </w:rPr>
        <w:id w:val="857621591"/>
        <w:docPartObj>
          <w:docPartGallery w:val="Page Numbers (Top of Page)"/>
          <w:docPartUnique/>
        </w:docPartObj>
      </w:sdtPr>
      <w:sdtEndPr/>
      <w:sdtContent>
        <w:r w:rsidR="00DB56BB" w:rsidRPr="00DB56BB">
          <w:rPr>
            <w:rFonts w:eastAsia="Calibri" w:cs="Calibri"/>
            <w:sz w:val="20"/>
          </w:rPr>
          <w:fldChar w:fldCharType="begin"/>
        </w:r>
        <w:r w:rsidR="00DB56BB" w:rsidRPr="00DB56BB">
          <w:rPr>
            <w:rFonts w:eastAsia="Calibri" w:cs="Calibri"/>
            <w:sz w:val="20"/>
          </w:rPr>
          <w:instrText xml:space="preserve"> PAGE </w:instrText>
        </w:r>
        <w:r w:rsidR="00DB56BB" w:rsidRPr="00DB56BB">
          <w:rPr>
            <w:rFonts w:eastAsia="Calibri" w:cs="Calibri"/>
            <w:sz w:val="20"/>
          </w:rPr>
          <w:fldChar w:fldCharType="separate"/>
        </w:r>
        <w:r w:rsidR="00DB56BB" w:rsidRPr="00DB56BB">
          <w:rPr>
            <w:rFonts w:eastAsia="Calibri" w:cs="Calibri"/>
            <w:sz w:val="20"/>
          </w:rPr>
          <w:t>1</w:t>
        </w:r>
        <w:r w:rsidR="00DB56BB" w:rsidRPr="00DB56BB">
          <w:rPr>
            <w:rFonts w:eastAsia="Calibri" w:cs="Calibri"/>
            <w:sz w:val="20"/>
          </w:rPr>
          <w:fldChar w:fldCharType="end"/>
        </w:r>
        <w:r w:rsidR="00DB56BB">
          <w:rPr>
            <w:sz w:val="20"/>
          </w:rPr>
          <w:t xml:space="preserve"> </w:t>
        </w:r>
      </w:sdtContent>
    </w:sdt>
  </w:p>
  <w:p w14:paraId="550859FC" w14:textId="77777777" w:rsidR="00DB56BB" w:rsidRDefault="00DB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76163" w14:textId="77777777" w:rsidR="009E5020" w:rsidRDefault="009E5020" w:rsidP="002949E9">
      <w:r>
        <w:separator/>
      </w:r>
    </w:p>
  </w:footnote>
  <w:footnote w:type="continuationSeparator" w:id="0">
    <w:p w14:paraId="448CEF0A" w14:textId="77777777" w:rsidR="009E5020" w:rsidRDefault="009E5020" w:rsidP="002949E9">
      <w:r>
        <w:continuationSeparator/>
      </w:r>
    </w:p>
  </w:footnote>
  <w:footnote w:type="continuationNotice" w:id="1">
    <w:p w14:paraId="3EC0257C" w14:textId="77777777" w:rsidR="009E5020" w:rsidRDefault="009E5020"/>
  </w:footnote>
  <w:footnote w:id="2">
    <w:p w14:paraId="1F27DCCA" w14:textId="657D3F99" w:rsidR="002949E9" w:rsidRPr="00CF76C3" w:rsidRDefault="002949E9" w:rsidP="002949E9">
      <w:pPr>
        <w:rPr>
          <w:sz w:val="16"/>
          <w:szCs w:val="16"/>
        </w:rPr>
      </w:pPr>
      <w:r w:rsidRPr="00CF76C3">
        <w:rPr>
          <w:sz w:val="16"/>
          <w:szCs w:val="16"/>
          <w:vertAlign w:val="superscript"/>
        </w:rPr>
        <w:footnoteRef/>
      </w:r>
      <w:r w:rsidRPr="00CF76C3">
        <w:rPr>
          <w:sz w:val="16"/>
        </w:rPr>
        <w:t xml:space="preserve"> El punto de referencia límite (LRP) provisional utilizado en la MSE fue B</w:t>
      </w:r>
      <w:r w:rsidRPr="00CF76C3">
        <w:rPr>
          <w:sz w:val="16"/>
          <w:vertAlign w:val="subscript"/>
        </w:rPr>
        <w:t>LIM</w:t>
      </w:r>
      <w:r w:rsidRPr="00CF76C3">
        <w:rPr>
          <w:sz w:val="16"/>
        </w:rPr>
        <w:t xml:space="preserve"> = 0,4*B</w:t>
      </w:r>
      <w:r w:rsidR="004F1AB8" w:rsidRPr="00CF76C3">
        <w:rPr>
          <w:sz w:val="16"/>
          <w:vertAlign w:val="subscript"/>
        </w:rPr>
        <w:t>RMS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1"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num w:numId="1" w16cid:durableId="642202381">
    <w:abstractNumId w:val="0"/>
  </w:num>
  <w:num w:numId="2" w16cid:durableId="203156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E9"/>
    <w:rsid w:val="000061BE"/>
    <w:rsid w:val="00020E25"/>
    <w:rsid w:val="00025101"/>
    <w:rsid w:val="00033C0B"/>
    <w:rsid w:val="0004266D"/>
    <w:rsid w:val="000432C0"/>
    <w:rsid w:val="0005603A"/>
    <w:rsid w:val="000655E7"/>
    <w:rsid w:val="00084D8F"/>
    <w:rsid w:val="00090FDF"/>
    <w:rsid w:val="000B7E8F"/>
    <w:rsid w:val="000D55D8"/>
    <w:rsid w:val="000E5BA7"/>
    <w:rsid w:val="000E6EA0"/>
    <w:rsid w:val="00104B24"/>
    <w:rsid w:val="00107DF1"/>
    <w:rsid w:val="00172F6B"/>
    <w:rsid w:val="001A3C1B"/>
    <w:rsid w:val="001B1F0D"/>
    <w:rsid w:val="001B46AE"/>
    <w:rsid w:val="001C60BA"/>
    <w:rsid w:val="001E2064"/>
    <w:rsid w:val="001F4D75"/>
    <w:rsid w:val="00256A90"/>
    <w:rsid w:val="0027396B"/>
    <w:rsid w:val="002949E9"/>
    <w:rsid w:val="00297CAF"/>
    <w:rsid w:val="002A279C"/>
    <w:rsid w:val="002A78EC"/>
    <w:rsid w:val="002D0F68"/>
    <w:rsid w:val="003107A6"/>
    <w:rsid w:val="00314357"/>
    <w:rsid w:val="00316E65"/>
    <w:rsid w:val="00344BDF"/>
    <w:rsid w:val="00361AD4"/>
    <w:rsid w:val="00384DF5"/>
    <w:rsid w:val="0038601A"/>
    <w:rsid w:val="003C190B"/>
    <w:rsid w:val="003D4062"/>
    <w:rsid w:val="003E217D"/>
    <w:rsid w:val="004060C4"/>
    <w:rsid w:val="00412128"/>
    <w:rsid w:val="004144E3"/>
    <w:rsid w:val="004665A4"/>
    <w:rsid w:val="00470149"/>
    <w:rsid w:val="00483EB4"/>
    <w:rsid w:val="004F1AB8"/>
    <w:rsid w:val="005045AE"/>
    <w:rsid w:val="005067B4"/>
    <w:rsid w:val="005152FF"/>
    <w:rsid w:val="0051662C"/>
    <w:rsid w:val="00517CD3"/>
    <w:rsid w:val="00523F1A"/>
    <w:rsid w:val="005304ED"/>
    <w:rsid w:val="00533935"/>
    <w:rsid w:val="00534471"/>
    <w:rsid w:val="005770D1"/>
    <w:rsid w:val="005A7293"/>
    <w:rsid w:val="005B0CB7"/>
    <w:rsid w:val="005F12F8"/>
    <w:rsid w:val="006107C0"/>
    <w:rsid w:val="00613EE8"/>
    <w:rsid w:val="00616984"/>
    <w:rsid w:val="006173FF"/>
    <w:rsid w:val="006450E6"/>
    <w:rsid w:val="006523B3"/>
    <w:rsid w:val="00662259"/>
    <w:rsid w:val="00663B45"/>
    <w:rsid w:val="006950C3"/>
    <w:rsid w:val="006B7D77"/>
    <w:rsid w:val="006C7B0F"/>
    <w:rsid w:val="006C7DE3"/>
    <w:rsid w:val="006F33A8"/>
    <w:rsid w:val="00703E86"/>
    <w:rsid w:val="00721102"/>
    <w:rsid w:val="00775072"/>
    <w:rsid w:val="0078073D"/>
    <w:rsid w:val="007930FF"/>
    <w:rsid w:val="0079595C"/>
    <w:rsid w:val="00854BF5"/>
    <w:rsid w:val="00870392"/>
    <w:rsid w:val="0087503A"/>
    <w:rsid w:val="00875523"/>
    <w:rsid w:val="00877A9B"/>
    <w:rsid w:val="008A249E"/>
    <w:rsid w:val="008B3AE2"/>
    <w:rsid w:val="008B5E46"/>
    <w:rsid w:val="008C3B1B"/>
    <w:rsid w:val="008D4073"/>
    <w:rsid w:val="008D6800"/>
    <w:rsid w:val="008E6868"/>
    <w:rsid w:val="00936710"/>
    <w:rsid w:val="00957D85"/>
    <w:rsid w:val="009C052F"/>
    <w:rsid w:val="009E5020"/>
    <w:rsid w:val="009F2EBC"/>
    <w:rsid w:val="009F59E3"/>
    <w:rsid w:val="00A07CC8"/>
    <w:rsid w:val="00A164AF"/>
    <w:rsid w:val="00A23D22"/>
    <w:rsid w:val="00A44255"/>
    <w:rsid w:val="00A74E03"/>
    <w:rsid w:val="00A8023E"/>
    <w:rsid w:val="00AB4FE0"/>
    <w:rsid w:val="00AC77AB"/>
    <w:rsid w:val="00AD4954"/>
    <w:rsid w:val="00AF37B2"/>
    <w:rsid w:val="00AF6847"/>
    <w:rsid w:val="00B63537"/>
    <w:rsid w:val="00BC16A6"/>
    <w:rsid w:val="00C02F1B"/>
    <w:rsid w:val="00C65DCB"/>
    <w:rsid w:val="00C74CAB"/>
    <w:rsid w:val="00C8642C"/>
    <w:rsid w:val="00CB2D8E"/>
    <w:rsid w:val="00CB473F"/>
    <w:rsid w:val="00CF76C3"/>
    <w:rsid w:val="00D24A57"/>
    <w:rsid w:val="00D25840"/>
    <w:rsid w:val="00D852EC"/>
    <w:rsid w:val="00D9727B"/>
    <w:rsid w:val="00DB56BB"/>
    <w:rsid w:val="00DD08AA"/>
    <w:rsid w:val="00DE197B"/>
    <w:rsid w:val="00DF26BF"/>
    <w:rsid w:val="00E021DC"/>
    <w:rsid w:val="00E35D5E"/>
    <w:rsid w:val="00E424DC"/>
    <w:rsid w:val="00E7125C"/>
    <w:rsid w:val="00EB13C6"/>
    <w:rsid w:val="00EF72AD"/>
    <w:rsid w:val="00F456B3"/>
    <w:rsid w:val="00F47841"/>
    <w:rsid w:val="00F701B1"/>
    <w:rsid w:val="00FA554F"/>
    <w:rsid w:val="00FB38E1"/>
    <w:rsid w:val="00FC5E24"/>
    <w:rsid w:val="00FD0A46"/>
    <w:rsid w:val="00FF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CA41"/>
  <w15:chartTrackingRefBased/>
  <w15:docId w15:val="{A630C0CC-C10E-4F5A-B103-776AE47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56B3"/>
    <w:pPr>
      <w:widowControl w:val="0"/>
      <w:spacing w:after="0" w:line="240" w:lineRule="auto"/>
    </w:pPr>
    <w:rPr>
      <w:rFonts w:ascii="Cambria" w:eastAsia="Cambria" w:hAnsi="Cambria" w:cs="Cambr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949E9"/>
    <w:rPr>
      <w:sz w:val="20"/>
      <w:szCs w:val="20"/>
    </w:rPr>
  </w:style>
  <w:style w:type="character" w:customStyle="1" w:styleId="CommentTextChar">
    <w:name w:val="Comment Text Char"/>
    <w:basedOn w:val="DefaultParagraphFont"/>
    <w:link w:val="CommentText"/>
    <w:uiPriority w:val="99"/>
    <w:rsid w:val="002949E9"/>
    <w:rPr>
      <w:rFonts w:ascii="Cambria" w:eastAsia="Cambria" w:hAnsi="Cambria" w:cs="Cambria"/>
      <w:kern w:val="0"/>
      <w:sz w:val="20"/>
      <w:szCs w:val="20"/>
      <w14:ligatures w14:val="none"/>
    </w:rPr>
  </w:style>
  <w:style w:type="character" w:styleId="CommentReference">
    <w:name w:val="annotation reference"/>
    <w:basedOn w:val="DefaultParagraphFont"/>
    <w:uiPriority w:val="99"/>
    <w:unhideWhenUsed/>
    <w:rsid w:val="002949E9"/>
    <w:rPr>
      <w:sz w:val="16"/>
      <w:szCs w:val="16"/>
    </w:rPr>
  </w:style>
  <w:style w:type="paragraph" w:styleId="ListParagraph">
    <w:name w:val="List Paragraph"/>
    <w:basedOn w:val="Normal"/>
    <w:uiPriority w:val="34"/>
    <w:qFormat/>
    <w:rsid w:val="00D25840"/>
    <w:pPr>
      <w:ind w:left="720"/>
      <w:contextualSpacing/>
    </w:pPr>
  </w:style>
  <w:style w:type="paragraph" w:styleId="Header">
    <w:name w:val="header"/>
    <w:basedOn w:val="Normal"/>
    <w:link w:val="HeaderChar"/>
    <w:uiPriority w:val="99"/>
    <w:unhideWhenUsed/>
    <w:rsid w:val="00E424DC"/>
    <w:pPr>
      <w:tabs>
        <w:tab w:val="center" w:pos="4680"/>
        <w:tab w:val="right" w:pos="9360"/>
      </w:tabs>
    </w:pPr>
  </w:style>
  <w:style w:type="character" w:customStyle="1" w:styleId="HeaderChar">
    <w:name w:val="Header Char"/>
    <w:basedOn w:val="DefaultParagraphFont"/>
    <w:link w:val="Header"/>
    <w:uiPriority w:val="99"/>
    <w:rsid w:val="00E424DC"/>
    <w:rPr>
      <w:rFonts w:ascii="Cambria" w:eastAsia="Cambria" w:hAnsi="Cambria" w:cs="Cambria"/>
      <w:kern w:val="0"/>
      <w14:ligatures w14:val="none"/>
    </w:rPr>
  </w:style>
  <w:style w:type="paragraph" w:styleId="Footer">
    <w:name w:val="footer"/>
    <w:basedOn w:val="Normal"/>
    <w:link w:val="FooterChar"/>
    <w:uiPriority w:val="99"/>
    <w:unhideWhenUsed/>
    <w:rsid w:val="00E424DC"/>
    <w:pPr>
      <w:tabs>
        <w:tab w:val="center" w:pos="4680"/>
        <w:tab w:val="right" w:pos="9360"/>
      </w:tabs>
    </w:pPr>
  </w:style>
  <w:style w:type="character" w:customStyle="1" w:styleId="FooterChar">
    <w:name w:val="Footer Char"/>
    <w:basedOn w:val="DefaultParagraphFont"/>
    <w:link w:val="Footer"/>
    <w:uiPriority w:val="99"/>
    <w:rsid w:val="00E424DC"/>
    <w:rPr>
      <w:rFonts w:ascii="Cambria" w:eastAsia="Cambria" w:hAnsi="Cambria" w:cs="Cambria"/>
      <w:kern w:val="0"/>
      <w14:ligatures w14:val="none"/>
    </w:rPr>
  </w:style>
  <w:style w:type="paragraph" w:customStyle="1" w:styleId="RECOMENDACIon">
    <w:name w:val="RECOMENDACIon"/>
    <w:basedOn w:val="Normal"/>
    <w:link w:val="RECOMENDACIonChar"/>
    <w:qFormat/>
    <w:rsid w:val="00F456B3"/>
    <w:pPr>
      <w:widowControl/>
      <w:pBdr>
        <w:top w:val="double" w:sz="4" w:space="4" w:color="auto"/>
        <w:left w:val="double" w:sz="4" w:space="4" w:color="auto"/>
        <w:bottom w:val="double" w:sz="4" w:space="4" w:color="auto"/>
        <w:right w:val="double" w:sz="4" w:space="4" w:color="auto"/>
      </w:pBdr>
      <w:tabs>
        <w:tab w:val="left" w:pos="8505"/>
      </w:tabs>
      <w:autoSpaceDE w:val="0"/>
      <w:autoSpaceDN w:val="0"/>
      <w:adjustRightInd w:val="0"/>
      <w:jc w:val="center"/>
    </w:pPr>
    <w:rPr>
      <w:rFonts w:eastAsia="Times New Roman" w:cs="Times New Roman"/>
      <w:b/>
      <w:sz w:val="20"/>
      <w:szCs w:val="20"/>
      <w:lang w:eastAsia="es-ES"/>
    </w:rPr>
  </w:style>
  <w:style w:type="character" w:customStyle="1" w:styleId="RECOMENDACIonChar">
    <w:name w:val="RECOMENDACIon Char"/>
    <w:link w:val="RECOMENDACIon"/>
    <w:rsid w:val="00F456B3"/>
    <w:rPr>
      <w:rFonts w:ascii="Cambria" w:eastAsia="Times New Roman" w:hAnsi="Cambria" w:cs="Times New Roman"/>
      <w:b/>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D3BD685113C148AF4C77EF7E4D2711" ma:contentTypeVersion="17" ma:contentTypeDescription="Crée un document." ma:contentTypeScope="" ma:versionID="43df4ffe03b43975900059db2168eda5">
  <xsd:schema xmlns:xsd="http://www.w3.org/2001/XMLSchema" xmlns:xs="http://www.w3.org/2001/XMLSchema" xmlns:p="http://schemas.microsoft.com/office/2006/metadata/properties" xmlns:ns2="ff83d01f-2b88-4333-bc0d-535fe37c590d" xmlns:ns3="72eafacb-3c3b-4a28-93d0-3dfb234c35ed" targetNamespace="http://schemas.microsoft.com/office/2006/metadata/properties" ma:root="true" ma:fieldsID="15c6ede475ca5f2a8308af45f5c08bbd" ns2:_="" ns3:_="">
    <xsd:import namespace="ff83d01f-2b88-4333-bc0d-535fe37c590d"/>
    <xsd:import namespace="72eafacb-3c3b-4a28-93d0-3dfb234c35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Archiv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3d01f-2b88-4333-bc0d-535fe37c5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rchived" ma:index="23" nillable="true" ma:displayName="Archived" ma:default="0" ma:format="Dropdown" ma:internalName="Archived">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afacb-3c3b-4a28-93d0-3dfb234c35e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8251c082-66b3-4fd8-b093-56d6f04128d0}" ma:internalName="TaxCatchAll" ma:showField="CatchAllData" ma:web="72eafacb-3c3b-4a28-93d0-3dfb234c3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chived xmlns="ff83d01f-2b88-4333-bc0d-535fe37c590d">false</Archived>
    <TaxCatchAll xmlns="72eafacb-3c3b-4a28-93d0-3dfb234c35ed" xsi:nil="true"/>
    <lcf76f155ced4ddcb4097134ff3c332f xmlns="ff83d01f-2b88-4333-bc0d-535fe37c59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08AF8-CB24-46F8-8A44-68CCD5AD5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3d01f-2b88-4333-bc0d-535fe37c590d"/>
    <ds:schemaRef ds:uri="72eafacb-3c3b-4a28-93d0-3dfb234c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20E4D-9D75-447E-A411-B21CF448EF2F}">
  <ds:schemaRefs>
    <ds:schemaRef ds:uri="http://schemas.microsoft.com/office/2006/metadata/properties"/>
    <ds:schemaRef ds:uri="http://schemas.microsoft.com/office/infopath/2007/PartnerControls"/>
    <ds:schemaRef ds:uri="ff83d01f-2b88-4333-bc0d-535fe37c590d"/>
    <ds:schemaRef ds:uri="72eafacb-3c3b-4a28-93d0-3dfb234c35ed"/>
  </ds:schemaRefs>
</ds:datastoreItem>
</file>

<file path=customXml/itemProps3.xml><?xml version="1.0" encoding="utf-8"?>
<ds:datastoreItem xmlns:ds="http://schemas.openxmlformats.org/officeDocument/2006/customXml" ds:itemID="{BB966578-7760-4D90-A3D0-BA4AC1480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3710</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Cossette, Frederic (he, him / il, lui) (DFO/MPO)</dc:creator>
  <cp:keywords/>
  <dc:description/>
  <cp:lastModifiedBy>autor</cp:lastModifiedBy>
  <cp:revision>23</cp:revision>
  <dcterms:created xsi:type="dcterms:W3CDTF">2024-11-17T17:19:00Z</dcterms:created>
  <dcterms:modified xsi:type="dcterms:W3CDTF">2024-12-04T09:16:00Z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0x010100FDD3BD685113C148AF4C77EF7E4D2711</vt:lpwstr>
  </property>
  <property fmtid="{D5CDD505-2E9C-101B-9397-08002B2CF9AE}" pid="3" name="MediaServiceImageTags">
    <vt:lpwstr/>
  </property>
</Properties>
</file>