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B42CB" w14:textId="1A7B7DC7" w:rsidR="00C753FE" w:rsidRPr="00475173" w:rsidRDefault="00C753FE" w:rsidP="00C753FE">
      <w:pPr>
        <w:widowControl/>
        <w:pBdr>
          <w:top w:val="double" w:sz="4" w:space="4" w:color="auto"/>
          <w:left w:val="double" w:sz="4" w:space="4" w:color="auto"/>
          <w:bottom w:val="double" w:sz="4" w:space="4" w:color="auto"/>
          <w:right w:val="double" w:sz="4" w:space="4" w:color="auto"/>
        </w:pBdr>
        <w:tabs>
          <w:tab w:val="left" w:pos="8505"/>
        </w:tabs>
        <w:adjustRightInd w:val="0"/>
        <w:rPr>
          <w:b/>
          <w:sz w:val="20"/>
          <w:szCs w:val="20"/>
        </w:rPr>
      </w:pPr>
      <w:r w:rsidRPr="00475173">
        <w:rPr>
          <w:b/>
          <w:sz w:val="20"/>
          <w:szCs w:val="20"/>
        </w:rPr>
        <w:t>24-09</w:t>
      </w:r>
      <w:r w:rsidRPr="00475173">
        <w:rPr>
          <w:b/>
          <w:sz w:val="20"/>
          <w:szCs w:val="20"/>
        </w:rPr>
        <w:tab/>
        <w:t>ALB</w:t>
      </w:r>
    </w:p>
    <w:p w14:paraId="1DE2D15B" w14:textId="4BE4531E" w:rsidR="0093508A" w:rsidRPr="00475173" w:rsidRDefault="00C753FE" w:rsidP="00C753FE">
      <w:pPr>
        <w:widowControl/>
        <w:pBdr>
          <w:top w:val="double" w:sz="4" w:space="4" w:color="auto"/>
          <w:left w:val="double" w:sz="4" w:space="4" w:color="auto"/>
          <w:bottom w:val="double" w:sz="4" w:space="4" w:color="auto"/>
          <w:right w:val="double" w:sz="4" w:space="4" w:color="auto"/>
        </w:pBdr>
        <w:tabs>
          <w:tab w:val="left" w:pos="8505"/>
        </w:tabs>
        <w:adjustRightInd w:val="0"/>
        <w:jc w:val="center"/>
        <w:rPr>
          <w:b/>
          <w:sz w:val="20"/>
          <w:szCs w:val="20"/>
        </w:rPr>
      </w:pPr>
      <w:r w:rsidRPr="00475173">
        <w:rPr>
          <w:b/>
          <w:sz w:val="20"/>
          <w:szCs w:val="20"/>
        </w:rPr>
        <w:t xml:space="preserve">RESOLUCIÓN DE ICCAT SOBRE EL DESARROLLO DE OBJETIVOS OPERATIVOS </w:t>
      </w:r>
      <w:r w:rsidR="00F14E38" w:rsidRPr="00475173">
        <w:rPr>
          <w:b/>
          <w:sz w:val="20"/>
          <w:szCs w:val="20"/>
        </w:rPr>
        <w:br/>
      </w:r>
      <w:r w:rsidRPr="00475173">
        <w:rPr>
          <w:b/>
          <w:sz w:val="20"/>
          <w:szCs w:val="20"/>
        </w:rPr>
        <w:t>DE ORDENACIÓN INICIALES PARA EL ATÚN BLANCO DEL ATLÁNTICO SUR</w:t>
      </w:r>
    </w:p>
    <w:p w14:paraId="21865944" w14:textId="77777777" w:rsidR="0093508A" w:rsidRPr="00475173" w:rsidRDefault="0093508A" w:rsidP="00C753FE">
      <w:pPr>
        <w:jc w:val="center"/>
        <w:rPr>
          <w:sz w:val="20"/>
          <w:szCs w:val="20"/>
        </w:rPr>
      </w:pPr>
    </w:p>
    <w:p w14:paraId="4416ACBC" w14:textId="77777777" w:rsidR="0093508A" w:rsidRPr="00475173" w:rsidRDefault="0093508A" w:rsidP="0093508A">
      <w:pPr>
        <w:rPr>
          <w:sz w:val="20"/>
          <w:szCs w:val="20"/>
        </w:rPr>
      </w:pPr>
    </w:p>
    <w:p w14:paraId="460CE258" w14:textId="0B4F4F11" w:rsidR="0093508A" w:rsidRPr="00475173" w:rsidRDefault="0093508A" w:rsidP="00F14E38">
      <w:pPr>
        <w:ind w:firstLine="426"/>
        <w:jc w:val="both"/>
        <w:rPr>
          <w:i/>
          <w:sz w:val="20"/>
          <w:szCs w:val="20"/>
        </w:rPr>
      </w:pPr>
      <w:r w:rsidRPr="00475173">
        <w:rPr>
          <w:i/>
          <w:iCs/>
          <w:sz w:val="20"/>
          <w:szCs w:val="20"/>
        </w:rPr>
        <w:t>RECORDANDO</w:t>
      </w:r>
      <w:r w:rsidRPr="00475173">
        <w:rPr>
          <w:sz w:val="20"/>
          <w:szCs w:val="20"/>
        </w:rPr>
        <w:t xml:space="preserve"> la intención de la Comisión de adoptar procedimientos de </w:t>
      </w:r>
      <w:r w:rsidR="001A3095" w:rsidRPr="00475173">
        <w:rPr>
          <w:sz w:val="20"/>
          <w:szCs w:val="20"/>
        </w:rPr>
        <w:t>ordenación</w:t>
      </w:r>
      <w:r w:rsidRPr="00475173">
        <w:rPr>
          <w:sz w:val="20"/>
          <w:szCs w:val="20"/>
        </w:rPr>
        <w:t xml:space="preserve"> (MP) probados mediante la </w:t>
      </w:r>
      <w:r w:rsidR="007645D9" w:rsidRPr="00475173">
        <w:rPr>
          <w:sz w:val="20"/>
          <w:szCs w:val="20"/>
        </w:rPr>
        <w:t>e</w:t>
      </w:r>
      <w:r w:rsidRPr="00475173">
        <w:rPr>
          <w:sz w:val="20"/>
          <w:szCs w:val="20"/>
        </w:rPr>
        <w:t>valuación de estrategias de ordenación (MSE</w:t>
      </w:r>
      <w:r w:rsidR="00E93B4F" w:rsidRPr="00475173">
        <w:rPr>
          <w:sz w:val="20"/>
          <w:szCs w:val="20"/>
          <w:vertAlign w:val="superscript"/>
        </w:rPr>
        <w:footnoteReference w:id="1"/>
      </w:r>
      <w:r w:rsidRPr="00475173">
        <w:rPr>
          <w:sz w:val="20"/>
          <w:szCs w:val="20"/>
        </w:rPr>
        <w:t>) para gestionar las pesquerías de forma más eficaz frente a las incertidumbres identificadas;</w:t>
      </w:r>
    </w:p>
    <w:p w14:paraId="775426F4" w14:textId="77777777" w:rsidR="0093508A" w:rsidRPr="00475173" w:rsidRDefault="0093508A" w:rsidP="0093508A">
      <w:pPr>
        <w:rPr>
          <w:i/>
          <w:sz w:val="20"/>
          <w:szCs w:val="20"/>
        </w:rPr>
      </w:pPr>
    </w:p>
    <w:p w14:paraId="72674870" w14:textId="77777777" w:rsidR="0093508A" w:rsidRPr="00475173" w:rsidRDefault="0093508A" w:rsidP="00F14E38">
      <w:pPr>
        <w:ind w:firstLine="426"/>
        <w:jc w:val="both"/>
        <w:rPr>
          <w:sz w:val="20"/>
          <w:szCs w:val="20"/>
        </w:rPr>
      </w:pPr>
      <w:r w:rsidRPr="00475173">
        <w:rPr>
          <w:i/>
          <w:iCs/>
          <w:sz w:val="20"/>
          <w:szCs w:val="20"/>
        </w:rPr>
        <w:t>RECORDANDO</w:t>
      </w:r>
      <w:r w:rsidRPr="00475173">
        <w:rPr>
          <w:sz w:val="20"/>
          <w:szCs w:val="20"/>
        </w:rPr>
        <w:t xml:space="preserve"> la aplicación del enfoque precautorio de conformidad con las normas internacionales pertinentes tal y como se establece en la </w:t>
      </w:r>
      <w:r w:rsidRPr="00475173">
        <w:rPr>
          <w:i/>
          <w:iCs/>
          <w:sz w:val="20"/>
          <w:szCs w:val="20"/>
        </w:rPr>
        <w:t xml:space="preserve">Resolución de ICCAT sobre el uso del enfoque precautorio en la implementación de las medidas de conservación y ordenación de ICCAT </w:t>
      </w:r>
      <w:r w:rsidRPr="00475173">
        <w:rPr>
          <w:sz w:val="20"/>
          <w:szCs w:val="20"/>
        </w:rPr>
        <w:t>(Res. 15-12);</w:t>
      </w:r>
    </w:p>
    <w:p w14:paraId="7F52DCCE" w14:textId="77777777" w:rsidR="0093508A" w:rsidRPr="00475173" w:rsidRDefault="0093508A" w:rsidP="0093508A">
      <w:pPr>
        <w:rPr>
          <w:sz w:val="20"/>
          <w:szCs w:val="20"/>
        </w:rPr>
      </w:pPr>
    </w:p>
    <w:p w14:paraId="28EDCF3C" w14:textId="534F4BF4" w:rsidR="0093508A" w:rsidRPr="00475173" w:rsidRDefault="0093508A" w:rsidP="00F14E38">
      <w:pPr>
        <w:ind w:firstLine="426"/>
        <w:jc w:val="both"/>
        <w:rPr>
          <w:sz w:val="20"/>
          <w:szCs w:val="20"/>
        </w:rPr>
      </w:pPr>
      <w:r w:rsidRPr="00475173">
        <w:rPr>
          <w:i/>
          <w:sz w:val="20"/>
          <w:szCs w:val="20"/>
        </w:rPr>
        <w:t>TENIENDO EN CUENTA</w:t>
      </w:r>
      <w:r w:rsidRPr="00475173">
        <w:rPr>
          <w:sz w:val="20"/>
          <w:szCs w:val="20"/>
        </w:rPr>
        <w:t xml:space="preserve"> los esfuerzos para una ordenación sostenible del stock de atún blanco del Atlántico sur, de un modo coherente con los objetivos del Convenio y con la </w:t>
      </w:r>
      <w:r w:rsidRPr="00475173">
        <w:rPr>
          <w:i/>
          <w:sz w:val="20"/>
          <w:szCs w:val="20"/>
        </w:rPr>
        <w:t>Recomendación de ICCAT sobre los principios de toma de decisiones para las medidas de conservación y ordenación de ICCAT</w:t>
      </w:r>
      <w:r w:rsidRPr="00475173">
        <w:rPr>
          <w:sz w:val="20"/>
          <w:szCs w:val="20"/>
        </w:rPr>
        <w:t xml:space="preserve"> (Rec. 11-13);</w:t>
      </w:r>
    </w:p>
    <w:p w14:paraId="46340923" w14:textId="77777777" w:rsidR="0093508A" w:rsidRPr="00475173" w:rsidRDefault="0093508A" w:rsidP="0093508A">
      <w:pPr>
        <w:rPr>
          <w:sz w:val="20"/>
          <w:szCs w:val="20"/>
        </w:rPr>
      </w:pPr>
    </w:p>
    <w:p w14:paraId="554F6379" w14:textId="6DF251A1" w:rsidR="0093508A" w:rsidRPr="00475173" w:rsidRDefault="0093508A" w:rsidP="00F14E38">
      <w:pPr>
        <w:ind w:firstLine="426"/>
        <w:jc w:val="both"/>
        <w:rPr>
          <w:sz w:val="20"/>
          <w:szCs w:val="20"/>
        </w:rPr>
      </w:pPr>
      <w:r w:rsidRPr="00475173">
        <w:rPr>
          <w:i/>
          <w:sz w:val="20"/>
          <w:szCs w:val="20"/>
        </w:rPr>
        <w:t>CONSTATANDO</w:t>
      </w:r>
      <w:r w:rsidRPr="00475173">
        <w:rPr>
          <w:sz w:val="20"/>
          <w:szCs w:val="20"/>
        </w:rPr>
        <w:t xml:space="preserve"> la conclusión de la evaluación de stock de 2020 del Comité Permanente de Estadísticas e Investigación (SCRS) de ICCAT que indicaba que es muy probable que el stock de atún blanco del Atlántico sur se sitúe en el cuadrante verde del diagrama de Kobe, lo que indica que el stock no está sobrepescado ni </w:t>
      </w:r>
      <w:r w:rsidR="005012AD" w:rsidRPr="00475173">
        <w:rPr>
          <w:sz w:val="20"/>
          <w:szCs w:val="20"/>
        </w:rPr>
        <w:t xml:space="preserve">es objeto de </w:t>
      </w:r>
      <w:r w:rsidRPr="00475173">
        <w:rPr>
          <w:sz w:val="20"/>
          <w:szCs w:val="20"/>
        </w:rPr>
        <w:t>sobrepesca;</w:t>
      </w:r>
    </w:p>
    <w:p w14:paraId="3B2002C0" w14:textId="77777777" w:rsidR="00F274E3" w:rsidRPr="00475173" w:rsidRDefault="00F274E3" w:rsidP="00AD17CB">
      <w:pPr>
        <w:ind w:firstLine="720"/>
        <w:jc w:val="both"/>
        <w:rPr>
          <w:sz w:val="20"/>
          <w:szCs w:val="20"/>
        </w:rPr>
      </w:pPr>
    </w:p>
    <w:p w14:paraId="31F66D59" w14:textId="1EAE169C" w:rsidR="00F274E3" w:rsidRPr="00475173" w:rsidRDefault="00F274E3" w:rsidP="00F14E38">
      <w:pPr>
        <w:ind w:firstLine="426"/>
        <w:jc w:val="both"/>
        <w:rPr>
          <w:sz w:val="20"/>
          <w:szCs w:val="20"/>
        </w:rPr>
      </w:pPr>
      <w:r w:rsidRPr="00475173">
        <w:rPr>
          <w:i/>
          <w:iCs/>
          <w:sz w:val="20"/>
          <w:szCs w:val="20"/>
        </w:rPr>
        <w:t>OBSERVANDO</w:t>
      </w:r>
      <w:r w:rsidRPr="00475173">
        <w:rPr>
          <w:sz w:val="20"/>
          <w:szCs w:val="20"/>
        </w:rPr>
        <w:t xml:space="preserve"> que el objetivo del Convenio es mantener las poblaciones de túnidos y especies afines en niveles que permitan la captura máxima sostenible (normalmente denominada rendimiento máximo sostenible (RMS));</w:t>
      </w:r>
    </w:p>
    <w:p w14:paraId="61A7F80A" w14:textId="77777777" w:rsidR="0093508A" w:rsidRPr="00475173" w:rsidRDefault="0093508A" w:rsidP="00AD17CB">
      <w:pPr>
        <w:jc w:val="both"/>
        <w:rPr>
          <w:sz w:val="20"/>
          <w:szCs w:val="20"/>
        </w:rPr>
      </w:pPr>
    </w:p>
    <w:p w14:paraId="03E384BB" w14:textId="77777777" w:rsidR="0093508A" w:rsidRPr="00475173" w:rsidRDefault="0093508A" w:rsidP="00F14E38">
      <w:pPr>
        <w:ind w:firstLine="426"/>
        <w:jc w:val="both"/>
        <w:rPr>
          <w:sz w:val="20"/>
          <w:szCs w:val="20"/>
        </w:rPr>
      </w:pPr>
      <w:r w:rsidRPr="00475173">
        <w:rPr>
          <w:i/>
          <w:sz w:val="20"/>
          <w:szCs w:val="20"/>
        </w:rPr>
        <w:t>ENTENDIENDO</w:t>
      </w:r>
      <w:r w:rsidRPr="00475173">
        <w:rPr>
          <w:sz w:val="20"/>
          <w:szCs w:val="20"/>
        </w:rPr>
        <w:t xml:space="preserve"> que los objetivos conceptuales son objetivos aspiracionales de alto nivel que verbalizan una meta genérica deseada sin incluir detalles específicos sobre una meta medible o un plazo de realización, mientras que los objetivos operativos son un componente fundamental clave de cualquier MSE y proporcionan metas específicas y medibles, con probabilidades asociadas de alcanzar esas metas en plazos determinados;</w:t>
      </w:r>
    </w:p>
    <w:p w14:paraId="0E660A7A" w14:textId="77777777" w:rsidR="00CA1A23" w:rsidRPr="00475173" w:rsidRDefault="00CA1A23" w:rsidP="00AD17CB">
      <w:pPr>
        <w:ind w:firstLine="720"/>
        <w:jc w:val="both"/>
        <w:rPr>
          <w:sz w:val="20"/>
          <w:szCs w:val="20"/>
        </w:rPr>
      </w:pPr>
    </w:p>
    <w:p w14:paraId="29EED89C" w14:textId="02FD8FF3" w:rsidR="00CA1A23" w:rsidRPr="00475173" w:rsidRDefault="00CA1A23" w:rsidP="00F14E38">
      <w:pPr>
        <w:ind w:firstLine="426"/>
        <w:jc w:val="both"/>
        <w:rPr>
          <w:sz w:val="20"/>
          <w:szCs w:val="20"/>
        </w:rPr>
      </w:pPr>
      <w:r w:rsidRPr="00475173">
        <w:rPr>
          <w:i/>
          <w:iCs/>
          <w:sz w:val="20"/>
          <w:szCs w:val="20"/>
        </w:rPr>
        <w:t>RECONOCIENDO</w:t>
      </w:r>
      <w:r w:rsidRPr="00475173">
        <w:rPr>
          <w:sz w:val="20"/>
          <w:szCs w:val="20"/>
        </w:rPr>
        <w:t xml:space="preserve"> los importantes progresos realizados en los trabajos de la MSE para aquellas especies prioritarias identificadas en la </w:t>
      </w:r>
      <w:r w:rsidRPr="00475173">
        <w:rPr>
          <w:i/>
          <w:iCs/>
          <w:sz w:val="20"/>
          <w:szCs w:val="20"/>
        </w:rPr>
        <w:t xml:space="preserve">Recomendación de ICCAT sobre el desarrollo de normas de control de </w:t>
      </w:r>
      <w:r w:rsidR="001F0695" w:rsidRPr="00475173">
        <w:rPr>
          <w:i/>
          <w:iCs/>
          <w:sz w:val="20"/>
          <w:szCs w:val="20"/>
        </w:rPr>
        <w:t xml:space="preserve">las </w:t>
      </w:r>
      <w:r w:rsidRPr="00475173">
        <w:rPr>
          <w:i/>
          <w:iCs/>
          <w:sz w:val="20"/>
          <w:szCs w:val="20"/>
        </w:rPr>
        <w:t>capturas y de evaluación de estrategias de ordenación</w:t>
      </w:r>
      <w:r w:rsidRPr="00475173">
        <w:rPr>
          <w:sz w:val="20"/>
          <w:szCs w:val="20"/>
        </w:rPr>
        <w:t xml:space="preserve"> (Rec. 15-07);</w:t>
      </w:r>
    </w:p>
    <w:p w14:paraId="4A67BF64" w14:textId="77777777" w:rsidR="0093508A" w:rsidRPr="00475173" w:rsidRDefault="0093508A" w:rsidP="0093508A">
      <w:pPr>
        <w:rPr>
          <w:sz w:val="20"/>
          <w:szCs w:val="20"/>
        </w:rPr>
      </w:pPr>
    </w:p>
    <w:p w14:paraId="092647C8" w14:textId="5609D4B9" w:rsidR="0093508A" w:rsidRPr="00475173" w:rsidRDefault="0093508A" w:rsidP="00F14E38">
      <w:pPr>
        <w:ind w:firstLine="426"/>
        <w:jc w:val="both"/>
        <w:rPr>
          <w:sz w:val="20"/>
          <w:szCs w:val="20"/>
        </w:rPr>
      </w:pPr>
      <w:r w:rsidRPr="00475173">
        <w:rPr>
          <w:i/>
          <w:sz w:val="20"/>
          <w:szCs w:val="20"/>
        </w:rPr>
        <w:t>CONSIDERANDO</w:t>
      </w:r>
      <w:r w:rsidRPr="00475173">
        <w:rPr>
          <w:sz w:val="20"/>
          <w:szCs w:val="20"/>
        </w:rPr>
        <w:t xml:space="preserve"> que la Comisión </w:t>
      </w:r>
      <w:r w:rsidR="00A374F2" w:rsidRPr="00475173">
        <w:rPr>
          <w:sz w:val="20"/>
          <w:szCs w:val="20"/>
        </w:rPr>
        <w:t xml:space="preserve">desea </w:t>
      </w:r>
      <w:r w:rsidRPr="00475173">
        <w:rPr>
          <w:sz w:val="20"/>
          <w:szCs w:val="20"/>
        </w:rPr>
        <w:t>adoptar un MP para el atún blanco del Atlántico sur</w:t>
      </w:r>
      <w:r w:rsidR="00AD17CB" w:rsidRPr="00475173">
        <w:rPr>
          <w:sz w:val="20"/>
          <w:szCs w:val="20"/>
        </w:rPr>
        <w:t xml:space="preserve"> </w:t>
      </w:r>
      <w:r w:rsidR="00AD3324" w:rsidRPr="00475173">
        <w:rPr>
          <w:sz w:val="20"/>
          <w:szCs w:val="20"/>
        </w:rPr>
        <w:t>a más tardar en</w:t>
      </w:r>
      <w:r w:rsidR="007045B8" w:rsidRPr="00475173">
        <w:rPr>
          <w:sz w:val="20"/>
          <w:szCs w:val="20"/>
        </w:rPr>
        <w:t xml:space="preserve"> </w:t>
      </w:r>
      <w:r w:rsidR="00D229B1" w:rsidRPr="00475173">
        <w:rPr>
          <w:sz w:val="20"/>
          <w:szCs w:val="20"/>
        </w:rPr>
        <w:t>2029</w:t>
      </w:r>
      <w:r w:rsidRPr="00475173">
        <w:rPr>
          <w:sz w:val="20"/>
          <w:szCs w:val="20"/>
        </w:rPr>
        <w:t>;</w:t>
      </w:r>
    </w:p>
    <w:p w14:paraId="1C9C7F14" w14:textId="77777777" w:rsidR="0093508A" w:rsidRPr="00475173" w:rsidRDefault="0093508A" w:rsidP="0093508A">
      <w:pPr>
        <w:rPr>
          <w:sz w:val="20"/>
          <w:szCs w:val="20"/>
        </w:rPr>
      </w:pPr>
    </w:p>
    <w:p w14:paraId="29E00C44" w14:textId="77777777" w:rsidR="00AD17CB" w:rsidRPr="00475173" w:rsidRDefault="0093508A" w:rsidP="00AD17CB">
      <w:pPr>
        <w:jc w:val="center"/>
        <w:rPr>
          <w:sz w:val="20"/>
          <w:szCs w:val="20"/>
        </w:rPr>
      </w:pPr>
      <w:r w:rsidRPr="00475173">
        <w:rPr>
          <w:sz w:val="20"/>
          <w:szCs w:val="20"/>
        </w:rPr>
        <w:t xml:space="preserve">LA COMISIÓN INTERNACIONAL PARA LA CONSERVACIÓN </w:t>
      </w:r>
    </w:p>
    <w:p w14:paraId="062808FC" w14:textId="0EF1FA8C" w:rsidR="0093508A" w:rsidRPr="00475173" w:rsidRDefault="0093508A" w:rsidP="00AD17CB">
      <w:pPr>
        <w:jc w:val="center"/>
        <w:rPr>
          <w:sz w:val="20"/>
          <w:szCs w:val="20"/>
        </w:rPr>
      </w:pPr>
      <w:r w:rsidRPr="00475173">
        <w:rPr>
          <w:sz w:val="20"/>
          <w:szCs w:val="20"/>
        </w:rPr>
        <w:t xml:space="preserve">DEL ATÚN ATLÁNTICO (ICCAT) </w:t>
      </w:r>
      <w:r w:rsidR="007045B8" w:rsidRPr="00475173">
        <w:rPr>
          <w:sz w:val="20"/>
          <w:szCs w:val="20"/>
        </w:rPr>
        <w:t>RESUELVE</w:t>
      </w:r>
      <w:r w:rsidRPr="00475173">
        <w:rPr>
          <w:sz w:val="20"/>
          <w:szCs w:val="20"/>
        </w:rPr>
        <w:t xml:space="preserve"> LO SIGUIENTE:</w:t>
      </w:r>
    </w:p>
    <w:p w14:paraId="48ED54C2" w14:textId="77777777" w:rsidR="0093508A" w:rsidRPr="00475173" w:rsidRDefault="0093508A" w:rsidP="0093508A">
      <w:pPr>
        <w:rPr>
          <w:sz w:val="20"/>
          <w:szCs w:val="20"/>
        </w:rPr>
      </w:pPr>
    </w:p>
    <w:p w14:paraId="53D96C91" w14:textId="134E3BCC" w:rsidR="0093508A" w:rsidRPr="00475173" w:rsidRDefault="0093508A" w:rsidP="00AB22BF">
      <w:pPr>
        <w:numPr>
          <w:ilvl w:val="0"/>
          <w:numId w:val="3"/>
        </w:numPr>
        <w:ind w:left="426"/>
        <w:jc w:val="both"/>
        <w:rPr>
          <w:sz w:val="20"/>
          <w:szCs w:val="20"/>
        </w:rPr>
      </w:pPr>
      <w:r w:rsidRPr="00475173">
        <w:rPr>
          <w:sz w:val="20"/>
          <w:szCs w:val="20"/>
        </w:rPr>
        <w:t xml:space="preserve">Deberían establecerse objetivos de ordenación para el atún blanco del Atlántico sur que sean coherentes con el objetivo del Convenio de mantener las poblaciones en o por encima de los niveles que </w:t>
      </w:r>
      <w:r w:rsidR="00F14E38" w:rsidRPr="00475173">
        <w:rPr>
          <w:sz w:val="20"/>
          <w:szCs w:val="20"/>
        </w:rPr>
        <w:t>permitan</w:t>
      </w:r>
      <w:r w:rsidRPr="00475173">
        <w:rPr>
          <w:sz w:val="20"/>
          <w:szCs w:val="20"/>
        </w:rPr>
        <w:t xml:space="preserve"> la captura máxima sostenible (normalmente denominada RMS).</w:t>
      </w:r>
    </w:p>
    <w:p w14:paraId="5726EB90" w14:textId="77777777" w:rsidR="0093508A" w:rsidRPr="00475173" w:rsidRDefault="0093508A" w:rsidP="00AB22BF">
      <w:pPr>
        <w:ind w:left="426"/>
        <w:rPr>
          <w:sz w:val="20"/>
          <w:szCs w:val="20"/>
        </w:rPr>
      </w:pPr>
    </w:p>
    <w:p w14:paraId="0B27DAF1" w14:textId="6F87334C" w:rsidR="0093508A" w:rsidRPr="00475173" w:rsidRDefault="0093508A" w:rsidP="00AB22BF">
      <w:pPr>
        <w:numPr>
          <w:ilvl w:val="0"/>
          <w:numId w:val="3"/>
        </w:numPr>
        <w:ind w:left="426"/>
        <w:jc w:val="both"/>
        <w:rPr>
          <w:sz w:val="20"/>
          <w:szCs w:val="20"/>
        </w:rPr>
      </w:pPr>
      <w:r w:rsidRPr="00475173">
        <w:rPr>
          <w:sz w:val="20"/>
          <w:szCs w:val="20"/>
        </w:rPr>
        <w:t xml:space="preserve">Para facilitar el desarrollo de una MSE para el atún blanco del Atlántico sur, deberían considerarse los siguientes objetivos </w:t>
      </w:r>
      <w:r w:rsidR="003A0620" w:rsidRPr="00475173">
        <w:rPr>
          <w:sz w:val="20"/>
          <w:szCs w:val="20"/>
        </w:rPr>
        <w:t>operativos</w:t>
      </w:r>
      <w:r w:rsidRPr="00475173">
        <w:rPr>
          <w:sz w:val="20"/>
          <w:szCs w:val="20"/>
        </w:rPr>
        <w:t xml:space="preserve"> de ordenación</w:t>
      </w:r>
      <w:r w:rsidR="003A0620" w:rsidRPr="00475173">
        <w:rPr>
          <w:sz w:val="20"/>
          <w:szCs w:val="20"/>
        </w:rPr>
        <w:t xml:space="preserve"> iniciales</w:t>
      </w:r>
      <w:r w:rsidRPr="00475173">
        <w:rPr>
          <w:sz w:val="20"/>
          <w:szCs w:val="20"/>
        </w:rPr>
        <w:t>:</w:t>
      </w:r>
    </w:p>
    <w:p w14:paraId="13070B0C" w14:textId="77777777" w:rsidR="0093508A" w:rsidRPr="00475173" w:rsidRDefault="0093508A" w:rsidP="0093508A">
      <w:pPr>
        <w:rPr>
          <w:sz w:val="20"/>
          <w:szCs w:val="20"/>
        </w:rPr>
      </w:pPr>
    </w:p>
    <w:p w14:paraId="103F8761" w14:textId="77777777" w:rsidR="0093508A" w:rsidRPr="00475173" w:rsidRDefault="0093508A" w:rsidP="00AB22BF">
      <w:pPr>
        <w:numPr>
          <w:ilvl w:val="1"/>
          <w:numId w:val="3"/>
        </w:numPr>
        <w:ind w:left="851"/>
        <w:rPr>
          <w:sz w:val="20"/>
          <w:szCs w:val="20"/>
        </w:rPr>
      </w:pPr>
      <w:r w:rsidRPr="00475173">
        <w:rPr>
          <w:sz w:val="20"/>
          <w:szCs w:val="20"/>
        </w:rPr>
        <w:t>Estado del stock</w:t>
      </w:r>
    </w:p>
    <w:p w14:paraId="70395AAB" w14:textId="77777777" w:rsidR="0093508A" w:rsidRPr="00475173" w:rsidRDefault="0093508A" w:rsidP="0093508A">
      <w:pPr>
        <w:rPr>
          <w:sz w:val="20"/>
          <w:szCs w:val="20"/>
        </w:rPr>
      </w:pPr>
    </w:p>
    <w:p w14:paraId="585498E0" w14:textId="357C6191" w:rsidR="005C66C1" w:rsidRPr="00475173" w:rsidRDefault="0093508A" w:rsidP="00AB22BF">
      <w:pPr>
        <w:numPr>
          <w:ilvl w:val="2"/>
          <w:numId w:val="3"/>
        </w:numPr>
        <w:ind w:left="1276"/>
        <w:jc w:val="both"/>
        <w:rPr>
          <w:sz w:val="20"/>
          <w:szCs w:val="20"/>
        </w:rPr>
      </w:pPr>
      <w:r w:rsidRPr="00475173">
        <w:rPr>
          <w:sz w:val="20"/>
          <w:szCs w:val="20"/>
        </w:rPr>
        <w:t xml:space="preserve">El stock debería tener una probabilidad del </w:t>
      </w:r>
      <w:r w:rsidR="003A0620" w:rsidRPr="00475173">
        <w:rPr>
          <w:sz w:val="20"/>
          <w:szCs w:val="20"/>
        </w:rPr>
        <w:t>60</w:t>
      </w:r>
      <w:r w:rsidRPr="00475173">
        <w:rPr>
          <w:sz w:val="20"/>
          <w:szCs w:val="20"/>
        </w:rPr>
        <w:t xml:space="preserve"> % o superior de situarse en el cuadrante verde de la matriz de Kobe </w:t>
      </w:r>
      <w:r w:rsidR="000C7049" w:rsidRPr="00475173">
        <w:rPr>
          <w:sz w:val="20"/>
          <w:szCs w:val="20"/>
        </w:rPr>
        <w:t>durante</w:t>
      </w:r>
      <w:r w:rsidRPr="00475173">
        <w:rPr>
          <w:sz w:val="20"/>
          <w:szCs w:val="20"/>
        </w:rPr>
        <w:t xml:space="preserve"> </w:t>
      </w:r>
      <w:r w:rsidR="00C67953" w:rsidRPr="00475173">
        <w:rPr>
          <w:sz w:val="20"/>
          <w:szCs w:val="20"/>
        </w:rPr>
        <w:t>un periodo</w:t>
      </w:r>
      <w:r w:rsidRPr="00475173">
        <w:rPr>
          <w:sz w:val="20"/>
          <w:szCs w:val="20"/>
        </w:rPr>
        <w:t xml:space="preserve"> de proyección de </w:t>
      </w:r>
      <w:r w:rsidR="000C7049" w:rsidRPr="00475173">
        <w:rPr>
          <w:sz w:val="20"/>
          <w:szCs w:val="20"/>
        </w:rPr>
        <w:t>30 años.</w:t>
      </w:r>
    </w:p>
    <w:p w14:paraId="57ED9BDA" w14:textId="77777777" w:rsidR="00EA5CEA" w:rsidRPr="00475173" w:rsidRDefault="00EA5CEA" w:rsidP="00AB22BF">
      <w:pPr>
        <w:numPr>
          <w:ilvl w:val="2"/>
          <w:numId w:val="3"/>
        </w:numPr>
        <w:ind w:left="1276"/>
        <w:jc w:val="both"/>
        <w:rPr>
          <w:sz w:val="20"/>
          <w:szCs w:val="20"/>
        </w:rPr>
      </w:pPr>
    </w:p>
    <w:p w14:paraId="7166FD80" w14:textId="77777777" w:rsidR="00F14E38" w:rsidRPr="00475173" w:rsidRDefault="00F14E38" w:rsidP="00F14E38">
      <w:pPr>
        <w:ind w:left="1276"/>
        <w:jc w:val="both"/>
        <w:rPr>
          <w:sz w:val="20"/>
          <w:szCs w:val="20"/>
        </w:rPr>
      </w:pPr>
    </w:p>
    <w:p w14:paraId="3995BD58" w14:textId="77777777" w:rsidR="0093508A" w:rsidRPr="00475173" w:rsidRDefault="0093508A" w:rsidP="00D47ECE">
      <w:pPr>
        <w:numPr>
          <w:ilvl w:val="1"/>
          <w:numId w:val="3"/>
        </w:numPr>
        <w:ind w:left="851"/>
        <w:rPr>
          <w:sz w:val="20"/>
          <w:szCs w:val="20"/>
        </w:rPr>
      </w:pPr>
      <w:r w:rsidRPr="00475173">
        <w:rPr>
          <w:sz w:val="20"/>
          <w:szCs w:val="20"/>
        </w:rPr>
        <w:lastRenderedPageBreak/>
        <w:t>Seguridad</w:t>
      </w:r>
    </w:p>
    <w:p w14:paraId="408DBE59" w14:textId="77777777" w:rsidR="0093508A" w:rsidRPr="00475173" w:rsidRDefault="0093508A" w:rsidP="0093508A">
      <w:pPr>
        <w:rPr>
          <w:sz w:val="20"/>
          <w:szCs w:val="20"/>
        </w:rPr>
      </w:pPr>
    </w:p>
    <w:p w14:paraId="18CC2CF5" w14:textId="464D1066" w:rsidR="0093508A" w:rsidRPr="00475173" w:rsidRDefault="0093508A" w:rsidP="00D47ECE">
      <w:pPr>
        <w:numPr>
          <w:ilvl w:val="2"/>
          <w:numId w:val="3"/>
        </w:numPr>
        <w:ind w:left="1276"/>
        <w:rPr>
          <w:sz w:val="20"/>
          <w:szCs w:val="20"/>
        </w:rPr>
      </w:pPr>
      <w:r w:rsidRPr="00475173">
        <w:rPr>
          <w:sz w:val="20"/>
          <w:szCs w:val="20"/>
        </w:rPr>
        <w:t xml:space="preserve">Debería haber una probabilidad no superior al </w:t>
      </w:r>
      <w:r w:rsidR="00EF027D" w:rsidRPr="00475173">
        <w:rPr>
          <w:sz w:val="20"/>
          <w:szCs w:val="20"/>
        </w:rPr>
        <w:t>15</w:t>
      </w:r>
      <w:r w:rsidRPr="00475173">
        <w:rPr>
          <w:sz w:val="20"/>
          <w:szCs w:val="20"/>
        </w:rPr>
        <w:t> % de que el stock se sitúe por debajo de B</w:t>
      </w:r>
      <w:r w:rsidRPr="00475173">
        <w:rPr>
          <w:sz w:val="20"/>
          <w:szCs w:val="20"/>
          <w:vertAlign w:val="subscript"/>
        </w:rPr>
        <w:t>LIM</w:t>
      </w:r>
      <w:r w:rsidRPr="00475173">
        <w:rPr>
          <w:sz w:val="20"/>
          <w:szCs w:val="20"/>
          <w:vertAlign w:val="superscript"/>
        </w:rPr>
        <w:t>1</w:t>
      </w:r>
      <w:r w:rsidRPr="00475173">
        <w:rPr>
          <w:sz w:val="20"/>
          <w:szCs w:val="20"/>
        </w:rPr>
        <w:t xml:space="preserve"> en cualquier momento durante </w:t>
      </w:r>
      <w:r w:rsidR="00A9198C" w:rsidRPr="00475173">
        <w:rPr>
          <w:sz w:val="20"/>
          <w:szCs w:val="20"/>
        </w:rPr>
        <w:t>el periodo</w:t>
      </w:r>
      <w:r w:rsidRPr="00475173">
        <w:rPr>
          <w:sz w:val="20"/>
          <w:szCs w:val="20"/>
        </w:rPr>
        <w:t xml:space="preserve"> de proyección de </w:t>
      </w:r>
      <w:r w:rsidR="00EF027D" w:rsidRPr="00475173">
        <w:rPr>
          <w:sz w:val="20"/>
          <w:szCs w:val="20"/>
        </w:rPr>
        <w:t>30</w:t>
      </w:r>
      <w:r w:rsidRPr="00475173">
        <w:rPr>
          <w:sz w:val="20"/>
          <w:szCs w:val="20"/>
        </w:rPr>
        <w:t xml:space="preserve"> años.</w:t>
      </w:r>
    </w:p>
    <w:p w14:paraId="6BE57790" w14:textId="77777777" w:rsidR="0093508A" w:rsidRPr="00475173" w:rsidRDefault="0093508A" w:rsidP="0093508A">
      <w:pPr>
        <w:rPr>
          <w:sz w:val="20"/>
          <w:szCs w:val="20"/>
        </w:rPr>
      </w:pPr>
    </w:p>
    <w:p w14:paraId="5D28B0DE" w14:textId="77777777" w:rsidR="0093508A" w:rsidRPr="00475173" w:rsidRDefault="0093508A" w:rsidP="00D47ECE">
      <w:pPr>
        <w:numPr>
          <w:ilvl w:val="1"/>
          <w:numId w:val="3"/>
        </w:numPr>
        <w:ind w:left="851"/>
        <w:rPr>
          <w:sz w:val="20"/>
          <w:szCs w:val="20"/>
        </w:rPr>
      </w:pPr>
      <w:r w:rsidRPr="00475173">
        <w:rPr>
          <w:sz w:val="20"/>
          <w:szCs w:val="20"/>
        </w:rPr>
        <w:t>Rendimiento</w:t>
      </w:r>
    </w:p>
    <w:p w14:paraId="7D1621AA" w14:textId="77777777" w:rsidR="0093508A" w:rsidRPr="00475173" w:rsidRDefault="0093508A" w:rsidP="0093508A">
      <w:pPr>
        <w:rPr>
          <w:sz w:val="20"/>
          <w:szCs w:val="20"/>
        </w:rPr>
      </w:pPr>
    </w:p>
    <w:p w14:paraId="551681F9" w14:textId="0C979BA5" w:rsidR="0093508A" w:rsidRPr="00475173" w:rsidRDefault="0093508A" w:rsidP="00D47ECE">
      <w:pPr>
        <w:numPr>
          <w:ilvl w:val="2"/>
          <w:numId w:val="3"/>
        </w:numPr>
        <w:ind w:left="1276"/>
        <w:rPr>
          <w:sz w:val="20"/>
          <w:szCs w:val="20"/>
        </w:rPr>
      </w:pPr>
      <w:r w:rsidRPr="00475173">
        <w:rPr>
          <w:sz w:val="20"/>
          <w:szCs w:val="20"/>
        </w:rPr>
        <w:t>Maximizar los niveles globales de capturas; y</w:t>
      </w:r>
    </w:p>
    <w:p w14:paraId="5B851A2D" w14:textId="77777777" w:rsidR="0093508A" w:rsidRPr="00475173" w:rsidRDefault="0093508A" w:rsidP="0093508A">
      <w:pPr>
        <w:rPr>
          <w:sz w:val="20"/>
          <w:szCs w:val="20"/>
        </w:rPr>
      </w:pPr>
    </w:p>
    <w:p w14:paraId="1C4A1FB2" w14:textId="77777777" w:rsidR="0093508A" w:rsidRPr="00475173" w:rsidRDefault="0093508A" w:rsidP="00D47ECE">
      <w:pPr>
        <w:numPr>
          <w:ilvl w:val="1"/>
          <w:numId w:val="3"/>
        </w:numPr>
        <w:ind w:left="851"/>
        <w:rPr>
          <w:sz w:val="20"/>
          <w:szCs w:val="20"/>
        </w:rPr>
      </w:pPr>
      <w:r w:rsidRPr="00475173">
        <w:rPr>
          <w:sz w:val="20"/>
          <w:szCs w:val="20"/>
        </w:rPr>
        <w:t>Estabilidad</w:t>
      </w:r>
    </w:p>
    <w:p w14:paraId="62AE9FFE" w14:textId="77777777" w:rsidR="0093508A" w:rsidRPr="00475173" w:rsidRDefault="0093508A" w:rsidP="0093508A">
      <w:pPr>
        <w:rPr>
          <w:sz w:val="20"/>
          <w:szCs w:val="20"/>
        </w:rPr>
      </w:pPr>
    </w:p>
    <w:p w14:paraId="603CB32E" w14:textId="5011E373" w:rsidR="0093508A" w:rsidRPr="00475173" w:rsidRDefault="0093508A" w:rsidP="00D47ECE">
      <w:pPr>
        <w:numPr>
          <w:ilvl w:val="2"/>
          <w:numId w:val="3"/>
        </w:numPr>
        <w:ind w:left="1276"/>
        <w:jc w:val="both"/>
        <w:rPr>
          <w:sz w:val="20"/>
          <w:szCs w:val="20"/>
        </w:rPr>
      </w:pPr>
      <w:r w:rsidRPr="00475173">
        <w:rPr>
          <w:sz w:val="20"/>
          <w:szCs w:val="20"/>
        </w:rPr>
        <w:t>Cualquier cambio en el</w:t>
      </w:r>
      <w:r w:rsidR="00F14E38" w:rsidRPr="00475173">
        <w:rPr>
          <w:sz w:val="20"/>
          <w:szCs w:val="20"/>
        </w:rPr>
        <w:t xml:space="preserve"> total admisible de capturas (</w:t>
      </w:r>
      <w:r w:rsidRPr="00475173">
        <w:rPr>
          <w:sz w:val="20"/>
          <w:szCs w:val="20"/>
        </w:rPr>
        <w:t>TAC</w:t>
      </w:r>
      <w:r w:rsidR="00F14E38" w:rsidRPr="00475173">
        <w:rPr>
          <w:sz w:val="20"/>
          <w:szCs w:val="20"/>
        </w:rPr>
        <w:t>)</w:t>
      </w:r>
      <w:r w:rsidRPr="00475173">
        <w:rPr>
          <w:sz w:val="20"/>
          <w:szCs w:val="20"/>
        </w:rPr>
        <w:t xml:space="preserve"> entre periodos de ordenación debería ser de un </w:t>
      </w:r>
      <w:r w:rsidR="00C5612B" w:rsidRPr="00475173">
        <w:rPr>
          <w:sz w:val="20"/>
          <w:szCs w:val="20"/>
        </w:rPr>
        <w:t>2</w:t>
      </w:r>
      <w:r w:rsidR="00D17CD5" w:rsidRPr="00475173">
        <w:rPr>
          <w:sz w:val="20"/>
          <w:szCs w:val="20"/>
        </w:rPr>
        <w:t>0 </w:t>
      </w:r>
      <w:r w:rsidRPr="00475173">
        <w:rPr>
          <w:sz w:val="20"/>
          <w:szCs w:val="20"/>
        </w:rPr>
        <w:t>% o inferior.</w:t>
      </w:r>
      <w:r w:rsidR="001C392E" w:rsidRPr="00475173">
        <w:rPr>
          <w:rStyle w:val="FootnoteReference"/>
          <w:sz w:val="20"/>
          <w:szCs w:val="20"/>
        </w:rPr>
        <w:footnoteReference w:id="2"/>
      </w:r>
    </w:p>
    <w:p w14:paraId="13B2D8BC" w14:textId="77777777" w:rsidR="0093508A" w:rsidRPr="00475173" w:rsidRDefault="0093508A" w:rsidP="00B8152E">
      <w:pPr>
        <w:jc w:val="both"/>
        <w:rPr>
          <w:sz w:val="20"/>
          <w:szCs w:val="20"/>
        </w:rPr>
      </w:pPr>
    </w:p>
    <w:p w14:paraId="4408239E" w14:textId="7F1D13E5" w:rsidR="00D229B1" w:rsidRPr="00475173" w:rsidRDefault="00D229B1" w:rsidP="00D47ECE">
      <w:pPr>
        <w:pStyle w:val="ListParagraph"/>
        <w:numPr>
          <w:ilvl w:val="0"/>
          <w:numId w:val="3"/>
        </w:numPr>
        <w:ind w:left="426"/>
        <w:jc w:val="both"/>
        <w:rPr>
          <w:sz w:val="20"/>
          <w:szCs w:val="20"/>
        </w:rPr>
      </w:pPr>
      <w:r w:rsidRPr="00475173">
        <w:rPr>
          <w:sz w:val="20"/>
          <w:szCs w:val="20"/>
        </w:rPr>
        <w:t>El SCRS debería utilizar un ciclo de ordenación de tres años para el desarrollo inicial de la MSE.</w:t>
      </w:r>
    </w:p>
    <w:p w14:paraId="3121152C" w14:textId="77777777" w:rsidR="00D229B1" w:rsidRPr="00475173" w:rsidRDefault="00D229B1" w:rsidP="00D47ECE">
      <w:pPr>
        <w:pStyle w:val="ListParagraph"/>
        <w:ind w:left="426"/>
        <w:jc w:val="both"/>
        <w:rPr>
          <w:sz w:val="20"/>
          <w:szCs w:val="20"/>
        </w:rPr>
      </w:pPr>
    </w:p>
    <w:p w14:paraId="4F3162C9" w14:textId="0C707F54" w:rsidR="0093508A" w:rsidRPr="00475173" w:rsidRDefault="00890179" w:rsidP="00D47ECE">
      <w:pPr>
        <w:numPr>
          <w:ilvl w:val="0"/>
          <w:numId w:val="3"/>
        </w:numPr>
        <w:ind w:left="426"/>
        <w:jc w:val="both"/>
        <w:rPr>
          <w:sz w:val="20"/>
          <w:szCs w:val="20"/>
        </w:rPr>
      </w:pPr>
      <w:r w:rsidRPr="00475173">
        <w:rPr>
          <w:sz w:val="20"/>
          <w:szCs w:val="20"/>
        </w:rPr>
        <w:t>L</w:t>
      </w:r>
      <w:r w:rsidR="0093508A" w:rsidRPr="00475173">
        <w:rPr>
          <w:sz w:val="20"/>
          <w:szCs w:val="20"/>
        </w:rPr>
        <w:t xml:space="preserve">os objetivos </w:t>
      </w:r>
      <w:r w:rsidR="00DE5B0B" w:rsidRPr="00475173">
        <w:rPr>
          <w:sz w:val="20"/>
          <w:szCs w:val="20"/>
        </w:rPr>
        <w:t xml:space="preserve">operativos </w:t>
      </w:r>
      <w:r w:rsidR="0093508A" w:rsidRPr="00475173">
        <w:rPr>
          <w:sz w:val="20"/>
          <w:szCs w:val="20"/>
        </w:rPr>
        <w:t>de ordenación iniciales</w:t>
      </w:r>
      <w:r w:rsidR="002A5B05" w:rsidRPr="00475173">
        <w:rPr>
          <w:sz w:val="20"/>
          <w:szCs w:val="20"/>
        </w:rPr>
        <w:t xml:space="preserve"> (párrafo 2)</w:t>
      </w:r>
      <w:r w:rsidR="0093508A" w:rsidRPr="00475173">
        <w:rPr>
          <w:sz w:val="20"/>
          <w:szCs w:val="20"/>
        </w:rPr>
        <w:t xml:space="preserve"> </w:t>
      </w:r>
      <w:r w:rsidR="00F14E38" w:rsidRPr="00475173">
        <w:rPr>
          <w:sz w:val="20"/>
          <w:szCs w:val="20"/>
        </w:rPr>
        <w:t>pueden</w:t>
      </w:r>
      <w:r w:rsidR="00862730" w:rsidRPr="00475173">
        <w:rPr>
          <w:sz w:val="20"/>
          <w:szCs w:val="20"/>
        </w:rPr>
        <w:t xml:space="preserve"> ser rechazados,</w:t>
      </w:r>
      <w:r w:rsidR="0093508A" w:rsidRPr="00475173">
        <w:rPr>
          <w:sz w:val="20"/>
          <w:szCs w:val="20"/>
        </w:rPr>
        <w:t xml:space="preserve"> </w:t>
      </w:r>
      <w:r w:rsidR="00546E19" w:rsidRPr="00475173">
        <w:rPr>
          <w:sz w:val="20"/>
          <w:szCs w:val="20"/>
        </w:rPr>
        <w:t>modificados o complementados</w:t>
      </w:r>
      <w:r w:rsidR="0093508A" w:rsidRPr="00475173">
        <w:rPr>
          <w:sz w:val="20"/>
          <w:szCs w:val="20"/>
        </w:rPr>
        <w:t>, según proced</w:t>
      </w:r>
      <w:r w:rsidR="00B46A11" w:rsidRPr="00475173">
        <w:rPr>
          <w:sz w:val="20"/>
          <w:szCs w:val="20"/>
        </w:rPr>
        <w:t>a, por la Subcomisión 3</w:t>
      </w:r>
      <w:r w:rsidR="0093508A" w:rsidRPr="00475173">
        <w:rPr>
          <w:sz w:val="20"/>
          <w:szCs w:val="20"/>
        </w:rPr>
        <w:t xml:space="preserve">, y estos objetivos de ordenación iniciales se remitirán al Grupo de especies de atún blanco del SCRS para su </w:t>
      </w:r>
      <w:r w:rsidR="005863C5" w:rsidRPr="00475173">
        <w:rPr>
          <w:sz w:val="20"/>
          <w:szCs w:val="20"/>
        </w:rPr>
        <w:t>examen</w:t>
      </w:r>
      <w:r w:rsidR="0093508A" w:rsidRPr="00475173">
        <w:rPr>
          <w:sz w:val="20"/>
          <w:szCs w:val="20"/>
        </w:rPr>
        <w:t xml:space="preserve"> y evaluación mediante el proceso de la MSE.</w:t>
      </w:r>
    </w:p>
    <w:p w14:paraId="34A7A597" w14:textId="77777777" w:rsidR="0093508A" w:rsidRPr="00475173" w:rsidRDefault="0093508A" w:rsidP="00D47ECE">
      <w:pPr>
        <w:ind w:left="426"/>
        <w:jc w:val="both"/>
        <w:rPr>
          <w:sz w:val="20"/>
          <w:szCs w:val="20"/>
        </w:rPr>
      </w:pPr>
    </w:p>
    <w:p w14:paraId="1E887344" w14:textId="49064BED" w:rsidR="0093508A" w:rsidRPr="00475173" w:rsidRDefault="0093508A" w:rsidP="00D47ECE">
      <w:pPr>
        <w:numPr>
          <w:ilvl w:val="0"/>
          <w:numId w:val="3"/>
        </w:numPr>
        <w:ind w:left="426"/>
        <w:jc w:val="both"/>
        <w:rPr>
          <w:sz w:val="20"/>
          <w:szCs w:val="20"/>
        </w:rPr>
      </w:pPr>
      <w:r w:rsidRPr="00475173">
        <w:rPr>
          <w:sz w:val="20"/>
          <w:szCs w:val="20"/>
        </w:rPr>
        <w:t xml:space="preserve">La Subcomisión 3 presentará a la Comisión sus recomendaciones para los objetivos de ordenación finales para el atún blanco del Atlántico sur, teniendo en cuenta las aportaciones del SCRS como parte de la selección de un procedimiento de ordenación, </w:t>
      </w:r>
      <w:r w:rsidR="00911AF3" w:rsidRPr="00475173">
        <w:rPr>
          <w:sz w:val="20"/>
          <w:szCs w:val="20"/>
        </w:rPr>
        <w:t>a más tardar en</w:t>
      </w:r>
      <w:r w:rsidRPr="00475173">
        <w:rPr>
          <w:sz w:val="20"/>
          <w:szCs w:val="20"/>
        </w:rPr>
        <w:t xml:space="preserve"> su reunión anual de </w:t>
      </w:r>
      <w:r w:rsidR="00D229B1" w:rsidRPr="00475173">
        <w:rPr>
          <w:sz w:val="20"/>
          <w:szCs w:val="20"/>
        </w:rPr>
        <w:t>2029</w:t>
      </w:r>
      <w:r w:rsidRPr="00475173">
        <w:rPr>
          <w:sz w:val="20"/>
          <w:szCs w:val="20"/>
        </w:rPr>
        <w:t>.</w:t>
      </w:r>
    </w:p>
    <w:p w14:paraId="73BAB045" w14:textId="77777777" w:rsidR="0093508A" w:rsidRPr="00475173" w:rsidRDefault="0093508A" w:rsidP="0093508A">
      <w:pPr>
        <w:rPr>
          <w:sz w:val="20"/>
          <w:szCs w:val="20"/>
        </w:rPr>
      </w:pPr>
    </w:p>
    <w:p w14:paraId="7A921A67" w14:textId="77777777" w:rsidR="003E715F" w:rsidRPr="00475173" w:rsidRDefault="003E715F">
      <w:pPr>
        <w:rPr>
          <w:sz w:val="20"/>
          <w:szCs w:val="20"/>
        </w:rPr>
      </w:pPr>
    </w:p>
    <w:p w14:paraId="218E996E" w14:textId="77777777" w:rsidR="009034F4" w:rsidRPr="00475173" w:rsidRDefault="009034F4" w:rsidP="009034F4">
      <w:pPr>
        <w:rPr>
          <w:sz w:val="20"/>
          <w:szCs w:val="20"/>
        </w:rPr>
      </w:pPr>
    </w:p>
    <w:p w14:paraId="13ECC836" w14:textId="77777777" w:rsidR="009034F4" w:rsidRPr="00475173" w:rsidRDefault="009034F4" w:rsidP="009034F4">
      <w:pPr>
        <w:rPr>
          <w:sz w:val="20"/>
          <w:szCs w:val="20"/>
        </w:rPr>
      </w:pPr>
    </w:p>
    <w:p w14:paraId="360BDD7A" w14:textId="77777777" w:rsidR="009034F4" w:rsidRPr="00475173" w:rsidRDefault="009034F4" w:rsidP="009034F4">
      <w:pPr>
        <w:rPr>
          <w:sz w:val="20"/>
          <w:szCs w:val="20"/>
        </w:rPr>
      </w:pPr>
    </w:p>
    <w:p w14:paraId="25B77A4C" w14:textId="77777777" w:rsidR="009034F4" w:rsidRPr="00475173" w:rsidRDefault="009034F4" w:rsidP="009034F4">
      <w:pPr>
        <w:rPr>
          <w:sz w:val="20"/>
          <w:szCs w:val="20"/>
        </w:rPr>
      </w:pPr>
    </w:p>
    <w:p w14:paraId="21357034" w14:textId="77777777" w:rsidR="009034F4" w:rsidRPr="00475173" w:rsidRDefault="009034F4" w:rsidP="009034F4">
      <w:pPr>
        <w:rPr>
          <w:sz w:val="20"/>
          <w:szCs w:val="20"/>
        </w:rPr>
      </w:pPr>
    </w:p>
    <w:p w14:paraId="1638778B" w14:textId="77777777" w:rsidR="009034F4" w:rsidRPr="00475173" w:rsidRDefault="009034F4" w:rsidP="009034F4">
      <w:pPr>
        <w:rPr>
          <w:sz w:val="20"/>
          <w:szCs w:val="20"/>
        </w:rPr>
      </w:pPr>
    </w:p>
    <w:p w14:paraId="5CB44F74" w14:textId="77777777" w:rsidR="009034F4" w:rsidRPr="00475173" w:rsidRDefault="009034F4" w:rsidP="009034F4">
      <w:pPr>
        <w:rPr>
          <w:sz w:val="20"/>
          <w:szCs w:val="20"/>
        </w:rPr>
      </w:pPr>
    </w:p>
    <w:p w14:paraId="4D7B4656" w14:textId="77777777" w:rsidR="009034F4" w:rsidRPr="00475173" w:rsidRDefault="009034F4" w:rsidP="009034F4">
      <w:pPr>
        <w:rPr>
          <w:sz w:val="20"/>
          <w:szCs w:val="20"/>
        </w:rPr>
      </w:pPr>
    </w:p>
    <w:p w14:paraId="55D8EE5B" w14:textId="77777777" w:rsidR="009034F4" w:rsidRPr="00475173" w:rsidRDefault="009034F4" w:rsidP="009034F4">
      <w:pPr>
        <w:rPr>
          <w:sz w:val="20"/>
          <w:szCs w:val="20"/>
        </w:rPr>
      </w:pPr>
    </w:p>
    <w:p w14:paraId="0311354D" w14:textId="77777777" w:rsidR="009034F4" w:rsidRPr="00475173" w:rsidRDefault="009034F4" w:rsidP="009034F4">
      <w:pPr>
        <w:rPr>
          <w:sz w:val="20"/>
          <w:szCs w:val="20"/>
        </w:rPr>
      </w:pPr>
    </w:p>
    <w:p w14:paraId="31F46698" w14:textId="77777777" w:rsidR="009034F4" w:rsidRPr="00475173" w:rsidRDefault="009034F4" w:rsidP="009034F4">
      <w:pPr>
        <w:rPr>
          <w:sz w:val="20"/>
          <w:szCs w:val="20"/>
        </w:rPr>
      </w:pPr>
    </w:p>
    <w:p w14:paraId="0024A623" w14:textId="77777777" w:rsidR="009034F4" w:rsidRPr="00475173" w:rsidRDefault="009034F4" w:rsidP="009034F4">
      <w:pPr>
        <w:rPr>
          <w:sz w:val="20"/>
          <w:szCs w:val="20"/>
        </w:rPr>
      </w:pPr>
    </w:p>
    <w:p w14:paraId="213AF992" w14:textId="77777777" w:rsidR="009034F4" w:rsidRPr="00475173" w:rsidRDefault="009034F4" w:rsidP="009034F4">
      <w:pPr>
        <w:rPr>
          <w:sz w:val="20"/>
          <w:szCs w:val="20"/>
        </w:rPr>
      </w:pPr>
    </w:p>
    <w:p w14:paraId="01A77CB9" w14:textId="77777777" w:rsidR="009034F4" w:rsidRPr="00475173" w:rsidRDefault="009034F4" w:rsidP="009034F4">
      <w:pPr>
        <w:rPr>
          <w:sz w:val="20"/>
          <w:szCs w:val="20"/>
        </w:rPr>
      </w:pPr>
    </w:p>
    <w:p w14:paraId="6EB43136" w14:textId="77777777" w:rsidR="009034F4" w:rsidRPr="00475173" w:rsidRDefault="009034F4" w:rsidP="009034F4">
      <w:pPr>
        <w:rPr>
          <w:sz w:val="20"/>
          <w:szCs w:val="20"/>
        </w:rPr>
      </w:pPr>
    </w:p>
    <w:p w14:paraId="1544B562" w14:textId="77777777" w:rsidR="009034F4" w:rsidRPr="00475173" w:rsidRDefault="009034F4" w:rsidP="009034F4">
      <w:pPr>
        <w:rPr>
          <w:sz w:val="20"/>
          <w:szCs w:val="20"/>
        </w:rPr>
      </w:pPr>
    </w:p>
    <w:p w14:paraId="7E2DAF14" w14:textId="77777777" w:rsidR="009034F4" w:rsidRPr="00475173" w:rsidRDefault="009034F4" w:rsidP="009034F4">
      <w:pPr>
        <w:rPr>
          <w:sz w:val="20"/>
          <w:szCs w:val="20"/>
        </w:rPr>
      </w:pPr>
    </w:p>
    <w:p w14:paraId="2BE58269" w14:textId="77777777" w:rsidR="009034F4" w:rsidRPr="00475173" w:rsidRDefault="009034F4" w:rsidP="009034F4">
      <w:pPr>
        <w:rPr>
          <w:sz w:val="20"/>
          <w:szCs w:val="20"/>
        </w:rPr>
      </w:pPr>
    </w:p>
    <w:p w14:paraId="15E60A7E" w14:textId="77777777" w:rsidR="009034F4" w:rsidRPr="00475173" w:rsidRDefault="009034F4" w:rsidP="009034F4">
      <w:pPr>
        <w:rPr>
          <w:sz w:val="20"/>
          <w:szCs w:val="20"/>
        </w:rPr>
      </w:pPr>
    </w:p>
    <w:p w14:paraId="254B25CA" w14:textId="77777777" w:rsidR="009034F4" w:rsidRPr="00475173" w:rsidRDefault="009034F4" w:rsidP="009034F4">
      <w:pPr>
        <w:rPr>
          <w:sz w:val="20"/>
          <w:szCs w:val="20"/>
        </w:rPr>
      </w:pPr>
    </w:p>
    <w:p w14:paraId="3D6E4F18" w14:textId="77777777" w:rsidR="009034F4" w:rsidRPr="00475173" w:rsidRDefault="009034F4" w:rsidP="009034F4">
      <w:pPr>
        <w:rPr>
          <w:sz w:val="20"/>
          <w:szCs w:val="20"/>
        </w:rPr>
      </w:pPr>
    </w:p>
    <w:p w14:paraId="7F5E0074" w14:textId="77777777" w:rsidR="009034F4" w:rsidRPr="00475173" w:rsidRDefault="009034F4" w:rsidP="009034F4">
      <w:pPr>
        <w:rPr>
          <w:sz w:val="20"/>
          <w:szCs w:val="20"/>
        </w:rPr>
      </w:pPr>
    </w:p>
    <w:p w14:paraId="5BF6D8E3" w14:textId="27EB6A50" w:rsidR="009034F4" w:rsidRPr="00475173" w:rsidRDefault="009034F4" w:rsidP="009034F4">
      <w:pPr>
        <w:tabs>
          <w:tab w:val="left" w:pos="3480"/>
        </w:tabs>
        <w:rPr>
          <w:sz w:val="20"/>
          <w:szCs w:val="20"/>
        </w:rPr>
      </w:pPr>
      <w:r w:rsidRPr="00475173">
        <w:rPr>
          <w:sz w:val="20"/>
          <w:szCs w:val="20"/>
        </w:rPr>
        <w:tab/>
      </w:r>
    </w:p>
    <w:sectPr w:rsidR="009034F4" w:rsidRPr="00475173" w:rsidSect="005C66C1">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3090B" w14:textId="77777777" w:rsidR="006B5940" w:rsidRDefault="006B5940" w:rsidP="00141E96">
      <w:r>
        <w:separator/>
      </w:r>
    </w:p>
  </w:endnote>
  <w:endnote w:type="continuationSeparator" w:id="0">
    <w:p w14:paraId="4D6F07C8" w14:textId="77777777" w:rsidR="006B5940" w:rsidRDefault="006B5940" w:rsidP="0014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F515B" w14:textId="36AA7A7A" w:rsidR="005C66C1" w:rsidRPr="00F61754" w:rsidRDefault="00475173" w:rsidP="005C66C1">
    <w:pPr>
      <w:widowControl/>
      <w:tabs>
        <w:tab w:val="center" w:pos="4535"/>
        <w:tab w:val="center" w:pos="4680"/>
        <w:tab w:val="left" w:pos="6150"/>
        <w:tab w:val="right" w:pos="9360"/>
      </w:tabs>
      <w:autoSpaceDE/>
      <w:autoSpaceDN/>
      <w:jc w:val="center"/>
      <w:rPr>
        <w:rFonts w:eastAsia="Calibri" w:cs="Calibri"/>
        <w:sz w:val="20"/>
        <w:lang w:val="en-US"/>
      </w:rPr>
    </w:pPr>
    <w:sdt>
      <w:sdtPr>
        <w:rPr>
          <w:rFonts w:ascii="Calibri" w:eastAsia="Calibri" w:hAnsi="Calibri" w:cs="Calibri"/>
          <w:sz w:val="20"/>
          <w:szCs w:val="20"/>
          <w:lang w:val="en-US"/>
        </w:rPr>
        <w:id w:val="810910487"/>
        <w:docPartObj>
          <w:docPartGallery w:val="Page Numbers (Top of Page)"/>
          <w:docPartUnique/>
        </w:docPartObj>
      </w:sdtPr>
      <w:sdtEndPr/>
      <w:sdtContent>
        <w:r w:rsidR="005C66C1" w:rsidRPr="00F61754">
          <w:rPr>
            <w:rFonts w:eastAsia="Calibri" w:cs="Calibri"/>
            <w:sz w:val="20"/>
            <w:szCs w:val="20"/>
            <w:lang w:val="en-US"/>
          </w:rPr>
          <w:fldChar w:fldCharType="begin"/>
        </w:r>
        <w:r w:rsidR="005C66C1" w:rsidRPr="00F61754">
          <w:rPr>
            <w:rFonts w:eastAsia="Calibri" w:cs="Calibri"/>
            <w:sz w:val="20"/>
            <w:szCs w:val="20"/>
            <w:lang w:val="en-US"/>
          </w:rPr>
          <w:instrText xml:space="preserve"> PAGE </w:instrText>
        </w:r>
        <w:r w:rsidR="005C66C1" w:rsidRPr="00F61754">
          <w:rPr>
            <w:rFonts w:eastAsia="Calibri" w:cs="Calibri"/>
            <w:sz w:val="20"/>
            <w:szCs w:val="20"/>
            <w:lang w:val="en-US"/>
          </w:rPr>
          <w:fldChar w:fldCharType="separate"/>
        </w:r>
        <w:r w:rsidR="005C66C1">
          <w:rPr>
            <w:rFonts w:eastAsia="Calibri" w:cs="Calibri"/>
            <w:sz w:val="20"/>
            <w:szCs w:val="20"/>
            <w:lang w:val="en-US"/>
          </w:rPr>
          <w:t>1</w:t>
        </w:r>
        <w:r w:rsidR="005C66C1" w:rsidRPr="00F61754">
          <w:rPr>
            <w:rFonts w:eastAsia="Calibri" w:cs="Calibri"/>
            <w:sz w:val="20"/>
            <w:szCs w:val="20"/>
            <w:lang w:val="en-US"/>
          </w:rPr>
          <w:fldChar w:fldCharType="end"/>
        </w:r>
      </w:sdtContent>
    </w:sdt>
  </w:p>
  <w:p w14:paraId="5BFD8545" w14:textId="6BD577BA" w:rsidR="00141E96" w:rsidRDefault="005C66C1">
    <w:pPr>
      <w:pStyle w:val="BodyText"/>
      <w:spacing w:line="14" w:lineRule="auto"/>
    </w:pPr>
    <w: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FC95F" w14:textId="77777777" w:rsidR="006B5940" w:rsidRDefault="006B5940" w:rsidP="00141E96">
      <w:r>
        <w:separator/>
      </w:r>
    </w:p>
  </w:footnote>
  <w:footnote w:type="continuationSeparator" w:id="0">
    <w:p w14:paraId="59F4502D" w14:textId="77777777" w:rsidR="006B5940" w:rsidRDefault="006B5940" w:rsidP="00141E96">
      <w:r>
        <w:continuationSeparator/>
      </w:r>
    </w:p>
  </w:footnote>
  <w:footnote w:id="1">
    <w:p w14:paraId="409FF38D" w14:textId="51116647" w:rsidR="00E93B4F" w:rsidRPr="00D229B1" w:rsidRDefault="00AD17CB" w:rsidP="00F14E38">
      <w:pPr>
        <w:spacing w:before="70"/>
        <w:ind w:left="118"/>
        <w:jc w:val="both"/>
        <w:rPr>
          <w:sz w:val="16"/>
        </w:rPr>
      </w:pPr>
      <w:proofErr w:type="gramStart"/>
      <w:r w:rsidRPr="00D229B1">
        <w:rPr>
          <w:sz w:val="16"/>
          <w:vertAlign w:val="superscript"/>
        </w:rPr>
        <w:t>1</w:t>
      </w:r>
      <w:r w:rsidR="006B71D0" w:rsidRPr="00D229B1">
        <w:rPr>
          <w:sz w:val="16"/>
        </w:rPr>
        <w:t xml:space="preserve">  El</w:t>
      </w:r>
      <w:proofErr w:type="gramEnd"/>
      <w:r w:rsidR="006B71D0" w:rsidRPr="00D229B1">
        <w:rPr>
          <w:sz w:val="16"/>
        </w:rPr>
        <w:t xml:space="preserve"> SCRS debería utilizar el 40 % de la biomasa </w:t>
      </w:r>
      <w:r w:rsidR="00F14E38">
        <w:rPr>
          <w:sz w:val="16"/>
        </w:rPr>
        <w:t>del stock reproductor</w:t>
      </w:r>
      <w:r w:rsidR="0083602F" w:rsidRPr="00D229B1">
        <w:rPr>
          <w:sz w:val="16"/>
        </w:rPr>
        <w:t xml:space="preserve"> </w:t>
      </w:r>
      <w:r w:rsidR="00470D9C" w:rsidRPr="00D229B1">
        <w:rPr>
          <w:sz w:val="16"/>
        </w:rPr>
        <w:t>que permite</w:t>
      </w:r>
      <w:r w:rsidR="006B71D0" w:rsidRPr="00D229B1">
        <w:rPr>
          <w:sz w:val="16"/>
        </w:rPr>
        <w:t xml:space="preserve"> </w:t>
      </w:r>
      <w:r w:rsidR="00F14E38">
        <w:rPr>
          <w:sz w:val="16"/>
        </w:rPr>
        <w:t xml:space="preserve">el </w:t>
      </w:r>
      <w:r w:rsidR="00F14E38" w:rsidRPr="00D229B1">
        <w:rPr>
          <w:sz w:val="16"/>
        </w:rPr>
        <w:t>rendimiento máximo sostenible</w:t>
      </w:r>
      <w:r w:rsidR="00F14E38">
        <w:rPr>
          <w:sz w:val="16"/>
        </w:rPr>
        <w:t xml:space="preserve"> (RMS)</w:t>
      </w:r>
      <w:r w:rsidR="00F14E38" w:rsidRPr="00D229B1">
        <w:rPr>
          <w:sz w:val="16"/>
        </w:rPr>
        <w:t xml:space="preserve"> </w:t>
      </w:r>
      <w:r w:rsidR="006B71D0" w:rsidRPr="00D229B1">
        <w:rPr>
          <w:sz w:val="16"/>
        </w:rPr>
        <w:t>como B</w:t>
      </w:r>
      <w:r w:rsidR="006B71D0" w:rsidRPr="00D229B1">
        <w:rPr>
          <w:sz w:val="16"/>
          <w:vertAlign w:val="subscript"/>
        </w:rPr>
        <w:t>LIM</w:t>
      </w:r>
      <w:r w:rsidR="006B71D0" w:rsidRPr="00D229B1">
        <w:rPr>
          <w:sz w:val="16"/>
        </w:rPr>
        <w:t xml:space="preserve"> provisional para el atún blanco del Atlántico sur, o aconsejar un valor diferente, si procede.</w:t>
      </w:r>
    </w:p>
  </w:footnote>
  <w:footnote w:id="2">
    <w:p w14:paraId="1D6EA765" w14:textId="6BA8A38C" w:rsidR="001C392E" w:rsidRPr="00D229B1" w:rsidRDefault="001C392E">
      <w:pPr>
        <w:pStyle w:val="FootnoteText"/>
        <w:rPr>
          <w:sz w:val="16"/>
          <w:szCs w:val="16"/>
        </w:rPr>
      </w:pPr>
      <w:r w:rsidRPr="00D229B1">
        <w:rPr>
          <w:rStyle w:val="FootnoteReference"/>
          <w:sz w:val="16"/>
          <w:szCs w:val="16"/>
        </w:rPr>
        <w:footnoteRef/>
      </w:r>
      <w:r w:rsidRPr="00D229B1">
        <w:rPr>
          <w:sz w:val="16"/>
          <w:szCs w:val="16"/>
        </w:rPr>
        <w:t xml:space="preserve"> </w:t>
      </w:r>
      <w:r w:rsidR="009034F4" w:rsidRPr="00D229B1">
        <w:rPr>
          <w:sz w:val="16"/>
          <w:szCs w:val="16"/>
        </w:rPr>
        <w:t xml:space="preserve">  Los límites de estabilidad asimétricos pueden evaluarse en el marco de la MSE.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950489"/>
    <w:multiLevelType w:val="hybridMultilevel"/>
    <w:tmpl w:val="670E2210"/>
    <w:lvl w:ilvl="0" w:tplc="20FE1156">
      <w:start w:val="1"/>
      <w:numFmt w:val="decimal"/>
      <w:lvlText w:val="%1."/>
      <w:lvlJc w:val="left"/>
      <w:pPr>
        <w:ind w:left="544" w:hanging="427"/>
      </w:pPr>
      <w:rPr>
        <w:rFonts w:ascii="Cambria" w:eastAsia="Cambria" w:hAnsi="Cambria" w:cs="Cambria" w:hint="default"/>
        <w:w w:val="100"/>
        <w:sz w:val="20"/>
        <w:szCs w:val="20"/>
        <w:lang w:val="en-US" w:eastAsia="en-US" w:bidi="ar-SA"/>
      </w:rPr>
    </w:lvl>
    <w:lvl w:ilvl="1" w:tplc="8A1857A8">
      <w:start w:val="1"/>
      <w:numFmt w:val="lowerLetter"/>
      <w:lvlText w:val="%2."/>
      <w:lvlJc w:val="left"/>
      <w:pPr>
        <w:ind w:left="969" w:hanging="425"/>
      </w:pPr>
      <w:rPr>
        <w:rFonts w:ascii="Cambria" w:eastAsia="Cambria" w:hAnsi="Cambria" w:cs="Cambria" w:hint="default"/>
        <w:w w:val="100"/>
        <w:sz w:val="20"/>
        <w:szCs w:val="20"/>
        <w:lang w:val="en-US" w:eastAsia="en-US" w:bidi="ar-SA"/>
      </w:rPr>
    </w:lvl>
    <w:lvl w:ilvl="2" w:tplc="2BA24724">
      <w:numFmt w:val="bullet"/>
      <w:lvlText w:val="-"/>
      <w:lvlJc w:val="left"/>
      <w:pPr>
        <w:ind w:left="1394" w:hanging="425"/>
      </w:pPr>
      <w:rPr>
        <w:rFonts w:ascii="Calibri" w:eastAsia="Calibri" w:hAnsi="Calibri" w:cs="Calibri" w:hint="default"/>
        <w:w w:val="100"/>
        <w:sz w:val="20"/>
        <w:szCs w:val="20"/>
        <w:lang w:val="en-US" w:eastAsia="en-US" w:bidi="ar-SA"/>
      </w:rPr>
    </w:lvl>
    <w:lvl w:ilvl="3" w:tplc="7EB2E300">
      <w:numFmt w:val="bullet"/>
      <w:lvlText w:val="•"/>
      <w:lvlJc w:val="left"/>
      <w:pPr>
        <w:ind w:left="2388" w:hanging="425"/>
      </w:pPr>
      <w:rPr>
        <w:rFonts w:hint="default"/>
        <w:lang w:val="en-US" w:eastAsia="en-US" w:bidi="ar-SA"/>
      </w:rPr>
    </w:lvl>
    <w:lvl w:ilvl="4" w:tplc="33B2A486">
      <w:numFmt w:val="bullet"/>
      <w:lvlText w:val="•"/>
      <w:lvlJc w:val="left"/>
      <w:pPr>
        <w:ind w:left="3376" w:hanging="425"/>
      </w:pPr>
      <w:rPr>
        <w:rFonts w:hint="default"/>
        <w:lang w:val="en-US" w:eastAsia="en-US" w:bidi="ar-SA"/>
      </w:rPr>
    </w:lvl>
    <w:lvl w:ilvl="5" w:tplc="3C46BCD0">
      <w:numFmt w:val="bullet"/>
      <w:lvlText w:val="•"/>
      <w:lvlJc w:val="left"/>
      <w:pPr>
        <w:ind w:left="4364" w:hanging="425"/>
      </w:pPr>
      <w:rPr>
        <w:rFonts w:hint="default"/>
        <w:lang w:val="en-US" w:eastAsia="en-US" w:bidi="ar-SA"/>
      </w:rPr>
    </w:lvl>
    <w:lvl w:ilvl="6" w:tplc="170466D2">
      <w:numFmt w:val="bullet"/>
      <w:lvlText w:val="•"/>
      <w:lvlJc w:val="left"/>
      <w:pPr>
        <w:ind w:left="5353" w:hanging="425"/>
      </w:pPr>
      <w:rPr>
        <w:rFonts w:hint="default"/>
        <w:lang w:val="en-US" w:eastAsia="en-US" w:bidi="ar-SA"/>
      </w:rPr>
    </w:lvl>
    <w:lvl w:ilvl="7" w:tplc="0FA6A902">
      <w:numFmt w:val="bullet"/>
      <w:lvlText w:val="•"/>
      <w:lvlJc w:val="left"/>
      <w:pPr>
        <w:ind w:left="6341" w:hanging="425"/>
      </w:pPr>
      <w:rPr>
        <w:rFonts w:hint="default"/>
        <w:lang w:val="en-US" w:eastAsia="en-US" w:bidi="ar-SA"/>
      </w:rPr>
    </w:lvl>
    <w:lvl w:ilvl="8" w:tplc="622CB1B2">
      <w:numFmt w:val="bullet"/>
      <w:lvlText w:val="•"/>
      <w:lvlJc w:val="left"/>
      <w:pPr>
        <w:ind w:left="7329" w:hanging="425"/>
      </w:pPr>
      <w:rPr>
        <w:rFonts w:hint="default"/>
        <w:lang w:val="en-US" w:eastAsia="en-US" w:bidi="ar-SA"/>
      </w:rPr>
    </w:lvl>
  </w:abstractNum>
  <w:abstractNum w:abstractNumId="1"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223223902">
    <w:abstractNumId w:val="0"/>
  </w:num>
  <w:num w:numId="2" w16cid:durableId="37125249">
    <w:abstractNumId w:val="1"/>
  </w:num>
  <w:num w:numId="3" w16cid:durableId="6110424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96"/>
    <w:rsid w:val="00057E5E"/>
    <w:rsid w:val="00063955"/>
    <w:rsid w:val="00073CFE"/>
    <w:rsid w:val="000A1ACE"/>
    <w:rsid w:val="000C268F"/>
    <w:rsid w:val="000C7049"/>
    <w:rsid w:val="000C7552"/>
    <w:rsid w:val="000D4226"/>
    <w:rsid w:val="000F2D5D"/>
    <w:rsid w:val="0011172F"/>
    <w:rsid w:val="00122B7A"/>
    <w:rsid w:val="00141E96"/>
    <w:rsid w:val="0018215B"/>
    <w:rsid w:val="001A3095"/>
    <w:rsid w:val="001C392E"/>
    <w:rsid w:val="001E508C"/>
    <w:rsid w:val="001F0695"/>
    <w:rsid w:val="001F1E65"/>
    <w:rsid w:val="00205BC5"/>
    <w:rsid w:val="00225516"/>
    <w:rsid w:val="00252483"/>
    <w:rsid w:val="002A5B05"/>
    <w:rsid w:val="002B3F2C"/>
    <w:rsid w:val="002D7EA4"/>
    <w:rsid w:val="00314FB8"/>
    <w:rsid w:val="00363EB9"/>
    <w:rsid w:val="00390CDE"/>
    <w:rsid w:val="003A0620"/>
    <w:rsid w:val="003C5BE7"/>
    <w:rsid w:val="003E715F"/>
    <w:rsid w:val="004015A8"/>
    <w:rsid w:val="00445601"/>
    <w:rsid w:val="004625CD"/>
    <w:rsid w:val="00470D9C"/>
    <w:rsid w:val="00475173"/>
    <w:rsid w:val="0047783B"/>
    <w:rsid w:val="00495EC9"/>
    <w:rsid w:val="004B40B6"/>
    <w:rsid w:val="004D5CEA"/>
    <w:rsid w:val="004F07D5"/>
    <w:rsid w:val="005012AD"/>
    <w:rsid w:val="005040A8"/>
    <w:rsid w:val="00546E19"/>
    <w:rsid w:val="00562FD4"/>
    <w:rsid w:val="005863C5"/>
    <w:rsid w:val="00590301"/>
    <w:rsid w:val="005A6441"/>
    <w:rsid w:val="005B3866"/>
    <w:rsid w:val="005C3693"/>
    <w:rsid w:val="005C66C1"/>
    <w:rsid w:val="005F7863"/>
    <w:rsid w:val="0062178F"/>
    <w:rsid w:val="00625080"/>
    <w:rsid w:val="00640E6F"/>
    <w:rsid w:val="006532BE"/>
    <w:rsid w:val="00661B4A"/>
    <w:rsid w:val="006A1A14"/>
    <w:rsid w:val="006B1B8D"/>
    <w:rsid w:val="006B5940"/>
    <w:rsid w:val="006B71D0"/>
    <w:rsid w:val="006D4598"/>
    <w:rsid w:val="007045B8"/>
    <w:rsid w:val="00730AE7"/>
    <w:rsid w:val="00745CF5"/>
    <w:rsid w:val="007645D9"/>
    <w:rsid w:val="007A513D"/>
    <w:rsid w:val="007B0F6F"/>
    <w:rsid w:val="007D2A9F"/>
    <w:rsid w:val="0081358F"/>
    <w:rsid w:val="0083602F"/>
    <w:rsid w:val="008440BC"/>
    <w:rsid w:val="00862730"/>
    <w:rsid w:val="00864461"/>
    <w:rsid w:val="00873728"/>
    <w:rsid w:val="00890179"/>
    <w:rsid w:val="00894729"/>
    <w:rsid w:val="008B079A"/>
    <w:rsid w:val="008D340E"/>
    <w:rsid w:val="009034F4"/>
    <w:rsid w:val="00911AF3"/>
    <w:rsid w:val="0093508A"/>
    <w:rsid w:val="00942477"/>
    <w:rsid w:val="00A24D3E"/>
    <w:rsid w:val="00A31767"/>
    <w:rsid w:val="00A374F2"/>
    <w:rsid w:val="00A41B68"/>
    <w:rsid w:val="00A9198C"/>
    <w:rsid w:val="00AB22BF"/>
    <w:rsid w:val="00AD17CB"/>
    <w:rsid w:val="00AD3324"/>
    <w:rsid w:val="00AE1300"/>
    <w:rsid w:val="00AF70C6"/>
    <w:rsid w:val="00B13AF4"/>
    <w:rsid w:val="00B34352"/>
    <w:rsid w:val="00B46A11"/>
    <w:rsid w:val="00B7320C"/>
    <w:rsid w:val="00B8152E"/>
    <w:rsid w:val="00BD00AB"/>
    <w:rsid w:val="00BD66B3"/>
    <w:rsid w:val="00BD66F3"/>
    <w:rsid w:val="00C52298"/>
    <w:rsid w:val="00C5612B"/>
    <w:rsid w:val="00C625F1"/>
    <w:rsid w:val="00C67953"/>
    <w:rsid w:val="00C753FE"/>
    <w:rsid w:val="00CA1A23"/>
    <w:rsid w:val="00CC2007"/>
    <w:rsid w:val="00CC66EB"/>
    <w:rsid w:val="00CE1360"/>
    <w:rsid w:val="00D1749C"/>
    <w:rsid w:val="00D17CD5"/>
    <w:rsid w:val="00D229B1"/>
    <w:rsid w:val="00D320C2"/>
    <w:rsid w:val="00D4532D"/>
    <w:rsid w:val="00D47ECE"/>
    <w:rsid w:val="00D50205"/>
    <w:rsid w:val="00D53DA1"/>
    <w:rsid w:val="00D7240B"/>
    <w:rsid w:val="00D7657E"/>
    <w:rsid w:val="00DA1D71"/>
    <w:rsid w:val="00DE5B0B"/>
    <w:rsid w:val="00E342C2"/>
    <w:rsid w:val="00E50119"/>
    <w:rsid w:val="00E52BE6"/>
    <w:rsid w:val="00E733B1"/>
    <w:rsid w:val="00E93B4F"/>
    <w:rsid w:val="00EA5CEA"/>
    <w:rsid w:val="00ED7B7A"/>
    <w:rsid w:val="00EF027D"/>
    <w:rsid w:val="00EF72AD"/>
    <w:rsid w:val="00EF75AB"/>
    <w:rsid w:val="00F10F71"/>
    <w:rsid w:val="00F14E38"/>
    <w:rsid w:val="00F274E3"/>
    <w:rsid w:val="00F310BA"/>
    <w:rsid w:val="00F61754"/>
    <w:rsid w:val="00F9257F"/>
    <w:rsid w:val="00FA38A2"/>
    <w:rsid w:val="00FC01BF"/>
    <w:rsid w:val="00FE4C9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9921646"/>
  <w15:chartTrackingRefBased/>
  <w15:docId w15:val="{A11AF7A4-EBF2-4C60-8E24-4E3BE4E6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E96"/>
    <w:pPr>
      <w:widowControl w:val="0"/>
      <w:autoSpaceDE w:val="0"/>
      <w:autoSpaceDN w:val="0"/>
      <w:spacing w:after="0" w:line="240" w:lineRule="auto"/>
    </w:pPr>
    <w:rPr>
      <w:rFonts w:ascii="Cambria" w:eastAsia="Cambria" w:hAnsi="Cambria" w:cs="Cambria"/>
    </w:rPr>
  </w:style>
  <w:style w:type="paragraph" w:styleId="Heading1">
    <w:name w:val="heading 1"/>
    <w:basedOn w:val="Normal"/>
    <w:next w:val="Normal"/>
    <w:link w:val="Heading1Char"/>
    <w:uiPriority w:val="9"/>
    <w:qFormat/>
    <w:rsid w:val="00141E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1E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E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E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E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E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E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E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E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E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E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E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E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E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E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E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E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E96"/>
    <w:rPr>
      <w:rFonts w:eastAsiaTheme="majorEastAsia" w:cstheme="majorBidi"/>
      <w:color w:val="272727" w:themeColor="text1" w:themeTint="D8"/>
    </w:rPr>
  </w:style>
  <w:style w:type="paragraph" w:styleId="Title">
    <w:name w:val="Title"/>
    <w:basedOn w:val="Normal"/>
    <w:next w:val="Normal"/>
    <w:link w:val="TitleChar"/>
    <w:uiPriority w:val="10"/>
    <w:qFormat/>
    <w:rsid w:val="00141E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E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E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E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E96"/>
    <w:pPr>
      <w:spacing w:before="160"/>
      <w:jc w:val="center"/>
    </w:pPr>
    <w:rPr>
      <w:i/>
      <w:iCs/>
      <w:color w:val="404040" w:themeColor="text1" w:themeTint="BF"/>
    </w:rPr>
  </w:style>
  <w:style w:type="character" w:customStyle="1" w:styleId="QuoteChar">
    <w:name w:val="Quote Char"/>
    <w:basedOn w:val="DefaultParagraphFont"/>
    <w:link w:val="Quote"/>
    <w:uiPriority w:val="29"/>
    <w:rsid w:val="00141E96"/>
    <w:rPr>
      <w:i/>
      <w:iCs/>
      <w:color w:val="404040" w:themeColor="text1" w:themeTint="BF"/>
    </w:rPr>
  </w:style>
  <w:style w:type="paragraph" w:styleId="ListParagraph">
    <w:name w:val="List Paragraph"/>
    <w:basedOn w:val="Normal"/>
    <w:uiPriority w:val="1"/>
    <w:qFormat/>
    <w:rsid w:val="00141E96"/>
    <w:pPr>
      <w:ind w:left="720"/>
      <w:contextualSpacing/>
    </w:pPr>
  </w:style>
  <w:style w:type="character" w:styleId="IntenseEmphasis">
    <w:name w:val="Intense Emphasis"/>
    <w:basedOn w:val="DefaultParagraphFont"/>
    <w:uiPriority w:val="21"/>
    <w:qFormat/>
    <w:rsid w:val="00141E96"/>
    <w:rPr>
      <w:i/>
      <w:iCs/>
      <w:color w:val="0F4761" w:themeColor="accent1" w:themeShade="BF"/>
    </w:rPr>
  </w:style>
  <w:style w:type="paragraph" w:styleId="IntenseQuote">
    <w:name w:val="Intense Quote"/>
    <w:basedOn w:val="Normal"/>
    <w:next w:val="Normal"/>
    <w:link w:val="IntenseQuoteChar"/>
    <w:uiPriority w:val="30"/>
    <w:qFormat/>
    <w:rsid w:val="00141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E96"/>
    <w:rPr>
      <w:i/>
      <w:iCs/>
      <w:color w:val="0F4761" w:themeColor="accent1" w:themeShade="BF"/>
    </w:rPr>
  </w:style>
  <w:style w:type="character" w:styleId="IntenseReference">
    <w:name w:val="Intense Reference"/>
    <w:basedOn w:val="DefaultParagraphFont"/>
    <w:uiPriority w:val="32"/>
    <w:qFormat/>
    <w:rsid w:val="00141E96"/>
    <w:rPr>
      <w:b/>
      <w:bCs/>
      <w:smallCaps/>
      <w:color w:val="0F4761" w:themeColor="accent1" w:themeShade="BF"/>
      <w:spacing w:val="5"/>
    </w:rPr>
  </w:style>
  <w:style w:type="paragraph" w:styleId="BodyText">
    <w:name w:val="Body Text"/>
    <w:basedOn w:val="Normal"/>
    <w:link w:val="BodyTextChar"/>
    <w:uiPriority w:val="1"/>
    <w:qFormat/>
    <w:rsid w:val="00141E96"/>
    <w:rPr>
      <w:sz w:val="20"/>
      <w:szCs w:val="20"/>
    </w:rPr>
  </w:style>
  <w:style w:type="character" w:customStyle="1" w:styleId="BodyTextChar">
    <w:name w:val="Body Text Char"/>
    <w:basedOn w:val="DefaultParagraphFont"/>
    <w:link w:val="BodyText"/>
    <w:uiPriority w:val="1"/>
    <w:rsid w:val="00141E96"/>
    <w:rPr>
      <w:rFonts w:ascii="Cambria" w:eastAsia="Cambria" w:hAnsi="Cambria" w:cs="Cambria"/>
      <w:sz w:val="20"/>
      <w:szCs w:val="20"/>
      <w:lang w:val="es-ES"/>
    </w:rPr>
  </w:style>
  <w:style w:type="paragraph" w:styleId="EndnoteText">
    <w:name w:val="endnote text"/>
    <w:basedOn w:val="Normal"/>
    <w:link w:val="EndnoteTextChar"/>
    <w:uiPriority w:val="99"/>
    <w:semiHidden/>
    <w:unhideWhenUsed/>
    <w:rsid w:val="00141E96"/>
    <w:rPr>
      <w:sz w:val="20"/>
      <w:szCs w:val="20"/>
    </w:rPr>
  </w:style>
  <w:style w:type="character" w:customStyle="1" w:styleId="EndnoteTextChar">
    <w:name w:val="Endnote Text Char"/>
    <w:basedOn w:val="DefaultParagraphFont"/>
    <w:link w:val="EndnoteText"/>
    <w:uiPriority w:val="99"/>
    <w:semiHidden/>
    <w:rsid w:val="00141E96"/>
    <w:rPr>
      <w:rFonts w:ascii="Cambria" w:eastAsia="Cambria" w:hAnsi="Cambria" w:cs="Cambria"/>
      <w:sz w:val="20"/>
      <w:szCs w:val="20"/>
      <w:lang w:val="es-ES"/>
    </w:rPr>
  </w:style>
  <w:style w:type="character" w:styleId="EndnoteReference">
    <w:name w:val="endnote reference"/>
    <w:basedOn w:val="DefaultParagraphFont"/>
    <w:uiPriority w:val="99"/>
    <w:semiHidden/>
    <w:unhideWhenUsed/>
    <w:rsid w:val="00141E96"/>
    <w:rPr>
      <w:vertAlign w:val="superscript"/>
    </w:rPr>
  </w:style>
  <w:style w:type="paragraph" w:styleId="FootnoteText">
    <w:name w:val="footnote text"/>
    <w:basedOn w:val="Normal"/>
    <w:link w:val="FootnoteTextChar"/>
    <w:uiPriority w:val="99"/>
    <w:semiHidden/>
    <w:unhideWhenUsed/>
    <w:rsid w:val="00141E96"/>
    <w:rPr>
      <w:sz w:val="20"/>
      <w:szCs w:val="20"/>
    </w:rPr>
  </w:style>
  <w:style w:type="character" w:customStyle="1" w:styleId="FootnoteTextChar">
    <w:name w:val="Footnote Text Char"/>
    <w:basedOn w:val="DefaultParagraphFont"/>
    <w:link w:val="FootnoteText"/>
    <w:uiPriority w:val="99"/>
    <w:semiHidden/>
    <w:rsid w:val="00141E96"/>
    <w:rPr>
      <w:rFonts w:ascii="Cambria" w:eastAsia="Cambria" w:hAnsi="Cambria" w:cs="Cambria"/>
      <w:sz w:val="20"/>
      <w:szCs w:val="20"/>
      <w:lang w:val="es-ES"/>
    </w:rPr>
  </w:style>
  <w:style w:type="character" w:styleId="FootnoteReference">
    <w:name w:val="footnote reference"/>
    <w:basedOn w:val="DefaultParagraphFont"/>
    <w:uiPriority w:val="99"/>
    <w:semiHidden/>
    <w:unhideWhenUsed/>
    <w:rsid w:val="00141E96"/>
    <w:rPr>
      <w:vertAlign w:val="superscript"/>
    </w:rPr>
  </w:style>
  <w:style w:type="paragraph" w:styleId="Header">
    <w:name w:val="header"/>
    <w:basedOn w:val="Normal"/>
    <w:link w:val="HeaderChar"/>
    <w:uiPriority w:val="99"/>
    <w:unhideWhenUsed/>
    <w:rsid w:val="00057E5E"/>
    <w:pPr>
      <w:tabs>
        <w:tab w:val="center" w:pos="4513"/>
        <w:tab w:val="right" w:pos="9026"/>
      </w:tabs>
    </w:pPr>
  </w:style>
  <w:style w:type="character" w:customStyle="1" w:styleId="HeaderChar">
    <w:name w:val="Header Char"/>
    <w:basedOn w:val="DefaultParagraphFont"/>
    <w:link w:val="Header"/>
    <w:uiPriority w:val="99"/>
    <w:rsid w:val="00057E5E"/>
    <w:rPr>
      <w:rFonts w:ascii="Cambria" w:eastAsia="Cambria" w:hAnsi="Cambria" w:cs="Cambria"/>
    </w:rPr>
  </w:style>
  <w:style w:type="paragraph" w:styleId="Footer">
    <w:name w:val="footer"/>
    <w:basedOn w:val="Normal"/>
    <w:link w:val="FooterChar"/>
    <w:uiPriority w:val="99"/>
    <w:unhideWhenUsed/>
    <w:rsid w:val="00057E5E"/>
    <w:pPr>
      <w:tabs>
        <w:tab w:val="center" w:pos="4513"/>
        <w:tab w:val="right" w:pos="9026"/>
      </w:tabs>
    </w:pPr>
  </w:style>
  <w:style w:type="character" w:customStyle="1" w:styleId="FooterChar">
    <w:name w:val="Footer Char"/>
    <w:basedOn w:val="DefaultParagraphFont"/>
    <w:link w:val="Footer"/>
    <w:uiPriority w:val="99"/>
    <w:rsid w:val="00057E5E"/>
    <w:rPr>
      <w:rFonts w:ascii="Cambria" w:eastAsia="Cambria" w:hAnsi="Cambria" w:cs="Cambria"/>
    </w:rPr>
  </w:style>
  <w:style w:type="paragraph" w:customStyle="1" w:styleId="TableParagraph">
    <w:name w:val="Table Paragraph"/>
    <w:basedOn w:val="Normal"/>
    <w:uiPriority w:val="1"/>
    <w:qFormat/>
    <w:rsid w:val="00BD66B3"/>
    <w:pPr>
      <w:autoSpaceDE/>
      <w:autoSpaceDN/>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6425213">
      <w:bodyDiv w:val="1"/>
      <w:marLeft w:val="0"/>
      <w:marRight w:val="0"/>
      <w:marTop w:val="0"/>
      <w:marBottom w:val="0"/>
      <w:divBdr>
        <w:top w:val="none" w:sz="0" w:space="0" w:color="auto"/>
        <w:left w:val="none" w:sz="0" w:space="0" w:color="auto"/>
        <w:bottom w:val="none" w:sz="0" w:space="0" w:color="auto"/>
        <w:right w:val="none" w:sz="0" w:space="0" w:color="auto"/>
      </w:divBdr>
    </w:div>
    <w:div w:id="18743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5EA5F-E56F-4166-85C5-E0917B617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Walker</dc:creator>
  <cp:keywords/>
  <dc:description/>
  <cp:lastModifiedBy>autor</cp:lastModifiedBy>
  <cp:revision>21</cp:revision>
  <dcterms:created xsi:type="dcterms:W3CDTF">2024-11-15T16:19:00Z</dcterms:created>
  <dcterms:modified xsi:type="dcterms:W3CDTF">2024-12-04T09:15:00Z</dcterms:modified>
</cp:coreProperties>
</file>