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E4473" w14:textId="2926C9C3" w:rsidR="0097153D" w:rsidRPr="00183CC4" w:rsidRDefault="0097153D" w:rsidP="009715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60" w:line="259" w:lineRule="auto"/>
        <w:ind w:left="8222" w:hanging="8222"/>
        <w:contextualSpacing/>
        <w:rPr>
          <w:rFonts w:eastAsia="Calibri" w:cs="Times New Roman"/>
          <w:b/>
          <w:sz w:val="20"/>
          <w:lang w:val="en-GB" w:eastAsia="en-GB"/>
        </w:rPr>
      </w:pPr>
      <w:r w:rsidRPr="00183CC4">
        <w:rPr>
          <w:rFonts w:eastAsia="Calibri" w:cs="Times New Roman"/>
          <w:b/>
          <w:sz w:val="20"/>
          <w:lang w:val="en-GB" w:eastAsia="en-GB"/>
        </w:rPr>
        <w:t>24-</w:t>
      </w:r>
      <w:r w:rsidR="007F3A25" w:rsidRPr="00183CC4">
        <w:rPr>
          <w:rFonts w:eastAsia="Calibri" w:cs="Times New Roman"/>
          <w:b/>
          <w:sz w:val="20"/>
          <w:lang w:val="en-GB" w:eastAsia="en-GB"/>
        </w:rPr>
        <w:t>07</w:t>
      </w:r>
      <w:r w:rsidRPr="00183CC4">
        <w:rPr>
          <w:rFonts w:eastAsia="Calibri" w:cs="Times New Roman"/>
          <w:b/>
          <w:sz w:val="20"/>
          <w:lang w:val="en-GB" w:eastAsia="en-GB"/>
        </w:rPr>
        <w:t xml:space="preserve"> </w:t>
      </w:r>
      <w:r w:rsidRPr="00183CC4">
        <w:rPr>
          <w:rFonts w:eastAsia="Calibri" w:cs="Times New Roman"/>
          <w:b/>
          <w:sz w:val="20"/>
          <w:lang w:val="en-GB" w:eastAsia="en-GB"/>
        </w:rPr>
        <w:tab/>
        <w:t xml:space="preserve">         </w:t>
      </w:r>
      <w:r w:rsidR="001858D9" w:rsidRPr="00183CC4">
        <w:rPr>
          <w:rFonts w:eastAsia="Calibri" w:cs="Times New Roman"/>
          <w:b/>
          <w:sz w:val="20"/>
          <w:lang w:val="en-GB" w:eastAsia="en-GB"/>
        </w:rPr>
        <w:t>BFT</w:t>
      </w:r>
    </w:p>
    <w:p w14:paraId="095BEB89" w14:textId="691741D7" w:rsidR="0097153D" w:rsidRPr="00183CC4" w:rsidRDefault="0097153D" w:rsidP="009715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/>
        <w:autoSpaceDN/>
        <w:ind w:left="8222" w:hanging="8222"/>
        <w:contextualSpacing/>
        <w:jc w:val="center"/>
        <w:rPr>
          <w:rFonts w:eastAsia="Calibri" w:cs="Times New Roman"/>
          <w:b/>
          <w:sz w:val="20"/>
          <w:lang w:val="en-GB" w:eastAsia="en-GB"/>
        </w:rPr>
      </w:pPr>
      <w:r w:rsidRPr="00183CC4">
        <w:rPr>
          <w:rFonts w:eastAsia="Calibri" w:cs="Times New Roman"/>
          <w:b/>
          <w:sz w:val="20"/>
          <w:lang w:val="en-GB" w:eastAsia="en-GB"/>
        </w:rPr>
        <w:t>RECOMMENDATION BY ICCAT ON AQUACULTURE BLUEFIN TUNA</w:t>
      </w:r>
    </w:p>
    <w:p w14:paraId="134586F8" w14:textId="77777777" w:rsidR="00457928" w:rsidRPr="00183CC4" w:rsidRDefault="00457928" w:rsidP="00D22547">
      <w:pPr>
        <w:pStyle w:val="BodyText"/>
        <w:ind w:firstLine="426"/>
        <w:jc w:val="both"/>
        <w:rPr>
          <w:i/>
          <w:iCs/>
          <w:szCs w:val="22"/>
        </w:rPr>
      </w:pPr>
    </w:p>
    <w:p w14:paraId="14B78566" w14:textId="77777777" w:rsidR="0097153D" w:rsidRPr="00183CC4" w:rsidRDefault="0097153D" w:rsidP="00D22547">
      <w:pPr>
        <w:pStyle w:val="BodyText"/>
        <w:ind w:firstLine="426"/>
        <w:jc w:val="both"/>
        <w:rPr>
          <w:i/>
          <w:iCs/>
          <w:szCs w:val="22"/>
        </w:rPr>
      </w:pPr>
    </w:p>
    <w:p w14:paraId="06F71211" w14:textId="1F36C58D" w:rsidR="00452118" w:rsidRPr="00183CC4" w:rsidRDefault="00522328" w:rsidP="00D22547">
      <w:pPr>
        <w:pStyle w:val="BodyText"/>
        <w:ind w:firstLine="426"/>
        <w:jc w:val="both"/>
        <w:rPr>
          <w:szCs w:val="22"/>
        </w:rPr>
      </w:pPr>
      <w:r w:rsidRPr="00183CC4">
        <w:rPr>
          <w:i/>
          <w:iCs/>
          <w:szCs w:val="22"/>
        </w:rPr>
        <w:t>RECOGNIZING</w:t>
      </w:r>
      <w:r w:rsidRPr="00183CC4">
        <w:rPr>
          <w:szCs w:val="22"/>
        </w:rPr>
        <w:t xml:space="preserve"> that ICCAT has established a comprehensive </w:t>
      </w:r>
      <w:r w:rsidR="00F11A31" w:rsidRPr="00183CC4">
        <w:rPr>
          <w:szCs w:val="22"/>
        </w:rPr>
        <w:t xml:space="preserve">Catch Documentation Scheme (CDS) </w:t>
      </w:r>
      <w:r w:rsidRPr="00183CC4">
        <w:rPr>
          <w:szCs w:val="22"/>
        </w:rPr>
        <w:t>for Atlantic bluefin tuna</w:t>
      </w:r>
      <w:r w:rsidR="00452118" w:rsidRPr="00183CC4">
        <w:rPr>
          <w:szCs w:val="22"/>
        </w:rPr>
        <w:t xml:space="preserve">, firstly adopted in 2007, with </w:t>
      </w:r>
      <w:r w:rsidR="002E4D9C" w:rsidRPr="00183CC4">
        <w:rPr>
          <w:szCs w:val="22"/>
        </w:rPr>
        <w:t xml:space="preserve">the </w:t>
      </w:r>
      <w:r w:rsidR="00452118" w:rsidRPr="00183CC4">
        <w:rPr>
          <w:szCs w:val="22"/>
        </w:rPr>
        <w:t xml:space="preserve">main aim to have effective control of the movement of bluefin tuna, strict tracking of the product from the point of capture throughout the whole operation to its final market; </w:t>
      </w:r>
    </w:p>
    <w:p w14:paraId="78799E66" w14:textId="589C332C" w:rsidR="00522328" w:rsidRPr="00183CC4" w:rsidRDefault="00405BA4" w:rsidP="00405BA4">
      <w:pPr>
        <w:pStyle w:val="BodyText"/>
        <w:tabs>
          <w:tab w:val="left" w:pos="3674"/>
        </w:tabs>
        <w:jc w:val="both"/>
        <w:rPr>
          <w:i/>
          <w:iCs/>
          <w:szCs w:val="22"/>
        </w:rPr>
      </w:pPr>
      <w:r w:rsidRPr="00183CC4">
        <w:rPr>
          <w:i/>
          <w:iCs/>
          <w:szCs w:val="22"/>
        </w:rPr>
        <w:tab/>
      </w:r>
    </w:p>
    <w:p w14:paraId="6CBEB7A6" w14:textId="2D850128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  <w:r w:rsidRPr="00183CC4">
        <w:rPr>
          <w:i/>
          <w:iCs/>
          <w:szCs w:val="22"/>
        </w:rPr>
        <w:t>ACKNOWLEDGING</w:t>
      </w:r>
      <w:r w:rsidRPr="00183CC4">
        <w:rPr>
          <w:szCs w:val="22"/>
        </w:rPr>
        <w:t xml:space="preserve"> the critical role of the electronic </w:t>
      </w:r>
      <w:r w:rsidR="00EA5B7D" w:rsidRPr="00183CC4">
        <w:rPr>
          <w:szCs w:val="22"/>
        </w:rPr>
        <w:t>Bluefin Tuna C</w:t>
      </w:r>
      <w:r w:rsidRPr="00183CC4">
        <w:rPr>
          <w:szCs w:val="22"/>
        </w:rPr>
        <w:t xml:space="preserve">atch </w:t>
      </w:r>
      <w:r w:rsidR="00EA5B7D" w:rsidRPr="00183CC4">
        <w:rPr>
          <w:szCs w:val="22"/>
        </w:rPr>
        <w:t>Documentation (eBCD)</w:t>
      </w:r>
      <w:r w:rsidR="00E5679C" w:rsidRPr="00183CC4">
        <w:rPr>
          <w:szCs w:val="22"/>
        </w:rPr>
        <w:t xml:space="preserve"> </w:t>
      </w:r>
      <w:r w:rsidR="00011399" w:rsidRPr="00183CC4">
        <w:rPr>
          <w:szCs w:val="22"/>
        </w:rPr>
        <w:t>s</w:t>
      </w:r>
      <w:r w:rsidR="00E5679C" w:rsidRPr="00183CC4">
        <w:rPr>
          <w:szCs w:val="22"/>
        </w:rPr>
        <w:t>ystem</w:t>
      </w:r>
      <w:r w:rsidR="00EA5B7D" w:rsidRPr="00183CC4">
        <w:rPr>
          <w:szCs w:val="22"/>
        </w:rPr>
        <w:t xml:space="preserve"> </w:t>
      </w:r>
      <w:r w:rsidRPr="00183CC4">
        <w:rPr>
          <w:szCs w:val="22"/>
        </w:rPr>
        <w:t>in combating illegal, unreported, and unregulated (IUU) fishing, and the significant influence that market dynamics exert on the fishery;</w:t>
      </w:r>
      <w:r w:rsidR="00452118" w:rsidRPr="00183CC4">
        <w:rPr>
          <w:szCs w:val="22"/>
        </w:rPr>
        <w:t xml:space="preserve"> includes the necessity for complementary market-related measures that have contributed to the recovery of these stocks from overfishing status;</w:t>
      </w:r>
    </w:p>
    <w:p w14:paraId="6B983A3D" w14:textId="77777777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</w:p>
    <w:p w14:paraId="49FF1565" w14:textId="2494ECC9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  <w:r w:rsidRPr="00183CC4">
        <w:rPr>
          <w:i/>
          <w:iCs/>
          <w:szCs w:val="22"/>
        </w:rPr>
        <w:t>TAKING INTO ACCOUNT</w:t>
      </w:r>
      <w:r w:rsidRPr="00183CC4">
        <w:rPr>
          <w:szCs w:val="22"/>
        </w:rPr>
        <w:t xml:space="preserve"> the rebuilding plan for western Atlantic bluefin tuna and the recovery plan for eastern Atlantic and Mediterranean bluefin tuna adopted by ICCAT</w:t>
      </w:r>
      <w:r w:rsidR="00452118" w:rsidRPr="00183CC4">
        <w:rPr>
          <w:szCs w:val="22"/>
        </w:rPr>
        <w:t xml:space="preserve"> in 2008</w:t>
      </w:r>
      <w:r w:rsidRPr="00183CC4">
        <w:rPr>
          <w:szCs w:val="22"/>
        </w:rPr>
        <w:t xml:space="preserve">, which </w:t>
      </w:r>
      <w:r w:rsidR="00452118" w:rsidRPr="00183CC4">
        <w:rPr>
          <w:szCs w:val="22"/>
        </w:rPr>
        <w:t>results have now come into fruition after the recovery of the stocks and the adoption leading ICCAT to transition to a bluefin tuna Management Plan, which however requires the maintaining the same level of control on all the components involved in the bluefin tuna fisheries</w:t>
      </w:r>
      <w:r w:rsidR="002056C8" w:rsidRPr="00183CC4">
        <w:rPr>
          <w:szCs w:val="22"/>
        </w:rPr>
        <w:t>;</w:t>
      </w:r>
      <w:r w:rsidR="00452118" w:rsidRPr="00183CC4">
        <w:rPr>
          <w:szCs w:val="22"/>
        </w:rPr>
        <w:t xml:space="preserve"> </w:t>
      </w:r>
    </w:p>
    <w:p w14:paraId="59E4986F" w14:textId="77777777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</w:p>
    <w:p w14:paraId="34BDDBF0" w14:textId="460C1859" w:rsidR="00452118" w:rsidRPr="00183CC4" w:rsidRDefault="00452118" w:rsidP="00D22547">
      <w:pPr>
        <w:pStyle w:val="BodyText"/>
        <w:ind w:firstLine="426"/>
        <w:jc w:val="both"/>
        <w:rPr>
          <w:szCs w:val="22"/>
        </w:rPr>
      </w:pPr>
      <w:r w:rsidRPr="00183CC4">
        <w:rPr>
          <w:i/>
          <w:iCs/>
          <w:szCs w:val="22"/>
        </w:rPr>
        <w:t>MINDFUL</w:t>
      </w:r>
      <w:r w:rsidRPr="00183CC4">
        <w:rPr>
          <w:szCs w:val="22"/>
        </w:rPr>
        <w:t xml:space="preserve"> of the rights and obligations of port States to promote the effectiveness of management measures adopted by </w:t>
      </w:r>
      <w:r w:rsidR="005679D5" w:rsidRPr="00183CC4">
        <w:rPr>
          <w:szCs w:val="22"/>
        </w:rPr>
        <w:t>R</w:t>
      </w:r>
      <w:r w:rsidR="00717813" w:rsidRPr="00183CC4">
        <w:rPr>
          <w:szCs w:val="22"/>
        </w:rPr>
        <w:t>e</w:t>
      </w:r>
      <w:r w:rsidRPr="00183CC4">
        <w:rPr>
          <w:szCs w:val="22"/>
        </w:rPr>
        <w:t xml:space="preserve">gional </w:t>
      </w:r>
      <w:r w:rsidR="00717813" w:rsidRPr="00183CC4">
        <w:rPr>
          <w:szCs w:val="22"/>
        </w:rPr>
        <w:t>F</w:t>
      </w:r>
      <w:r w:rsidRPr="00183CC4">
        <w:rPr>
          <w:szCs w:val="22"/>
        </w:rPr>
        <w:t xml:space="preserve">isheries </w:t>
      </w:r>
      <w:r w:rsidR="00717813" w:rsidRPr="00183CC4">
        <w:rPr>
          <w:szCs w:val="22"/>
        </w:rPr>
        <w:t>M</w:t>
      </w:r>
      <w:r w:rsidRPr="00183CC4">
        <w:rPr>
          <w:szCs w:val="22"/>
        </w:rPr>
        <w:t xml:space="preserve">anagement </w:t>
      </w:r>
      <w:r w:rsidR="00717813" w:rsidRPr="00183CC4">
        <w:rPr>
          <w:szCs w:val="22"/>
        </w:rPr>
        <w:t>O</w:t>
      </w:r>
      <w:r w:rsidRPr="00183CC4">
        <w:rPr>
          <w:szCs w:val="22"/>
        </w:rPr>
        <w:t>rganizations</w:t>
      </w:r>
      <w:r w:rsidR="00237285" w:rsidRPr="00183CC4">
        <w:rPr>
          <w:szCs w:val="22"/>
        </w:rPr>
        <w:t xml:space="preserve"> (RFMOs)</w:t>
      </w:r>
      <w:r w:rsidRPr="00183CC4">
        <w:rPr>
          <w:szCs w:val="22"/>
        </w:rPr>
        <w:t xml:space="preserve">; </w:t>
      </w:r>
    </w:p>
    <w:p w14:paraId="68E23C50" w14:textId="77777777" w:rsidR="00452118" w:rsidRPr="00183CC4" w:rsidRDefault="00452118" w:rsidP="00D22547">
      <w:pPr>
        <w:pStyle w:val="BodyText"/>
        <w:ind w:firstLine="426"/>
        <w:jc w:val="both"/>
        <w:rPr>
          <w:szCs w:val="22"/>
        </w:rPr>
      </w:pPr>
    </w:p>
    <w:p w14:paraId="3F4A88B1" w14:textId="232BCB57" w:rsidR="0043773D" w:rsidRPr="00183CC4" w:rsidRDefault="00196017" w:rsidP="00D22547">
      <w:pPr>
        <w:pStyle w:val="BodyText"/>
        <w:ind w:firstLine="426"/>
        <w:jc w:val="both"/>
        <w:rPr>
          <w:szCs w:val="22"/>
        </w:rPr>
      </w:pPr>
      <w:r w:rsidRPr="00183CC4">
        <w:rPr>
          <w:i/>
          <w:iCs/>
          <w:szCs w:val="22"/>
        </w:rPr>
        <w:t>UNDERLINING</w:t>
      </w:r>
      <w:r w:rsidR="00522328" w:rsidRPr="00183CC4">
        <w:rPr>
          <w:szCs w:val="22"/>
        </w:rPr>
        <w:t xml:space="preserve"> the need to establish measures that safeguard the wild bluefin tuna market by preventing loopholes in the </w:t>
      </w:r>
      <w:r w:rsidR="00CB6EF8" w:rsidRPr="00183CC4">
        <w:rPr>
          <w:szCs w:val="22"/>
        </w:rPr>
        <w:t>eBCD</w:t>
      </w:r>
      <w:r w:rsidR="00522328" w:rsidRPr="00183CC4">
        <w:rPr>
          <w:szCs w:val="22"/>
        </w:rPr>
        <w:t>, maintain high standards in the fight against IUU fishing, and ensur</w:t>
      </w:r>
      <w:r w:rsidR="00CB6EF8" w:rsidRPr="00183CC4">
        <w:rPr>
          <w:szCs w:val="22"/>
        </w:rPr>
        <w:t>e</w:t>
      </w:r>
      <w:r w:rsidR="00522328" w:rsidRPr="00183CC4">
        <w:rPr>
          <w:szCs w:val="22"/>
        </w:rPr>
        <w:t xml:space="preserve"> that all wild fish can be clearly distinguished from aquaculture fish;</w:t>
      </w:r>
    </w:p>
    <w:p w14:paraId="18658418" w14:textId="77777777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</w:p>
    <w:p w14:paraId="09894179" w14:textId="51A0618A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  <w:r w:rsidRPr="00183CC4">
        <w:rPr>
          <w:i/>
          <w:iCs/>
          <w:szCs w:val="22"/>
        </w:rPr>
        <w:t>NOTING</w:t>
      </w:r>
      <w:r w:rsidRPr="00183CC4">
        <w:rPr>
          <w:szCs w:val="22"/>
        </w:rPr>
        <w:t xml:space="preserve"> that during the </w:t>
      </w:r>
      <w:r w:rsidR="00237285" w:rsidRPr="00183CC4">
        <w:rPr>
          <w:szCs w:val="22"/>
        </w:rPr>
        <w:t xml:space="preserve">23rd Special Meeting of </w:t>
      </w:r>
      <w:r w:rsidR="00CB6EF8" w:rsidRPr="00183CC4">
        <w:rPr>
          <w:szCs w:val="22"/>
        </w:rPr>
        <w:t>2022</w:t>
      </w:r>
      <w:r w:rsidRPr="00183CC4">
        <w:rPr>
          <w:szCs w:val="22"/>
        </w:rPr>
        <w:t xml:space="preserve">, the Commission was informed of several CPCs’ plans to develop bluefin tuna aquaculture, </w:t>
      </w:r>
      <w:bookmarkStart w:id="0" w:name="_Hlk182487262"/>
      <w:r w:rsidRPr="00183CC4">
        <w:rPr>
          <w:szCs w:val="22"/>
        </w:rPr>
        <w:t>either through the importation of wild bluefin tuna eggs or through full aquaculture cycles using broodstock</w:t>
      </w:r>
      <w:bookmarkEnd w:id="0"/>
      <w:r w:rsidRPr="00183CC4">
        <w:rPr>
          <w:szCs w:val="22"/>
        </w:rPr>
        <w:t>, with this fish potentially entering the commercial market as early as 2025;</w:t>
      </w:r>
    </w:p>
    <w:p w14:paraId="71A16DA2" w14:textId="77777777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</w:p>
    <w:p w14:paraId="58F7E646" w14:textId="2DFDD4B0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  <w:r w:rsidRPr="00183CC4">
        <w:rPr>
          <w:i/>
          <w:iCs/>
          <w:szCs w:val="22"/>
        </w:rPr>
        <w:t>CONSIDERING</w:t>
      </w:r>
      <w:r w:rsidRPr="00183CC4">
        <w:rPr>
          <w:szCs w:val="22"/>
        </w:rPr>
        <w:t xml:space="preserve"> the current lack of information in the eBCD system regarding the origin of fish, whether wild-caught or </w:t>
      </w:r>
      <w:r w:rsidR="00732227" w:rsidRPr="00183CC4">
        <w:rPr>
          <w:szCs w:val="22"/>
        </w:rPr>
        <w:t xml:space="preserve">from </w:t>
      </w:r>
      <w:r w:rsidRPr="00183CC4">
        <w:rPr>
          <w:szCs w:val="22"/>
        </w:rPr>
        <w:t>aquaculture;</w:t>
      </w:r>
    </w:p>
    <w:p w14:paraId="3ACA812D" w14:textId="77777777" w:rsidR="0043773D" w:rsidRPr="00183CC4" w:rsidRDefault="0043773D" w:rsidP="00D22547">
      <w:pPr>
        <w:pStyle w:val="BodyText"/>
        <w:ind w:firstLine="426"/>
        <w:jc w:val="both"/>
        <w:rPr>
          <w:szCs w:val="22"/>
        </w:rPr>
      </w:pPr>
    </w:p>
    <w:p w14:paraId="43D61A69" w14:textId="7D39B986" w:rsidR="0043773D" w:rsidRPr="00183CC4" w:rsidRDefault="0043773D" w:rsidP="00D22547">
      <w:pPr>
        <w:pStyle w:val="BodyText"/>
        <w:ind w:firstLine="426"/>
        <w:jc w:val="both"/>
        <w:rPr>
          <w:szCs w:val="22"/>
        </w:rPr>
      </w:pPr>
      <w:r w:rsidRPr="00183CC4">
        <w:rPr>
          <w:i/>
          <w:iCs/>
          <w:szCs w:val="22"/>
        </w:rPr>
        <w:t>FURTHER CONSIDERING</w:t>
      </w:r>
      <w:r w:rsidR="00D3623E" w:rsidRPr="00183CC4">
        <w:rPr>
          <w:szCs w:val="22"/>
        </w:rPr>
        <w:t xml:space="preserve"> the potential impact of escapements of aquaculture bluefin tuna on wild stocks</w:t>
      </w:r>
      <w:r w:rsidR="00E1089C" w:rsidRPr="00183CC4">
        <w:rPr>
          <w:szCs w:val="22"/>
        </w:rPr>
        <w:t>;</w:t>
      </w:r>
    </w:p>
    <w:p w14:paraId="3949E02D" w14:textId="77777777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</w:p>
    <w:p w14:paraId="6229E288" w14:textId="567C8FFD" w:rsidR="00522328" w:rsidRPr="00183CC4" w:rsidRDefault="00522328" w:rsidP="00D22547">
      <w:pPr>
        <w:pStyle w:val="BodyText"/>
        <w:ind w:firstLine="426"/>
        <w:jc w:val="both"/>
        <w:rPr>
          <w:szCs w:val="22"/>
        </w:rPr>
      </w:pPr>
      <w:r w:rsidRPr="00183CC4">
        <w:rPr>
          <w:i/>
          <w:iCs/>
          <w:szCs w:val="22"/>
        </w:rPr>
        <w:t>BEARING IN MIND</w:t>
      </w:r>
      <w:r w:rsidRPr="00183CC4">
        <w:rPr>
          <w:szCs w:val="22"/>
        </w:rPr>
        <w:t xml:space="preserve"> the discussions held in ICCAT Panel 2 and the technical deliberations by the Working Group on Integrated Monitoring Measures (IMM) in June 2023</w:t>
      </w:r>
      <w:r w:rsidR="00E1089C" w:rsidRPr="00183CC4">
        <w:rPr>
          <w:szCs w:val="22"/>
        </w:rPr>
        <w:t>;</w:t>
      </w:r>
    </w:p>
    <w:p w14:paraId="7BE4607B" w14:textId="77777777" w:rsidR="00522328" w:rsidRPr="00183CC4" w:rsidRDefault="00522328" w:rsidP="00D22547">
      <w:pPr>
        <w:pStyle w:val="BodyText"/>
        <w:ind w:left="426" w:hanging="426"/>
        <w:jc w:val="both"/>
        <w:rPr>
          <w:szCs w:val="22"/>
        </w:rPr>
      </w:pPr>
    </w:p>
    <w:p w14:paraId="5C573C29" w14:textId="77777777" w:rsidR="00D22547" w:rsidRPr="00183CC4" w:rsidRDefault="00D22547" w:rsidP="00D22547">
      <w:pPr>
        <w:pStyle w:val="BodyText"/>
        <w:ind w:left="426" w:hanging="426"/>
        <w:jc w:val="both"/>
        <w:rPr>
          <w:szCs w:val="22"/>
        </w:rPr>
      </w:pPr>
    </w:p>
    <w:p w14:paraId="6BC15085" w14:textId="77777777" w:rsidR="00D22547" w:rsidRPr="00183CC4" w:rsidRDefault="0043773D" w:rsidP="00D22547">
      <w:pPr>
        <w:pStyle w:val="BodyText"/>
        <w:jc w:val="center"/>
        <w:rPr>
          <w:szCs w:val="22"/>
        </w:rPr>
      </w:pPr>
      <w:r w:rsidRPr="00183CC4">
        <w:rPr>
          <w:szCs w:val="22"/>
        </w:rPr>
        <w:t xml:space="preserve">THE INTERNATIONAL COMMISSION FOR THE CONSERVATION </w:t>
      </w:r>
    </w:p>
    <w:p w14:paraId="214E09F1" w14:textId="02FAD4C6" w:rsidR="00522328" w:rsidRPr="00183CC4" w:rsidRDefault="0043773D" w:rsidP="00D22547">
      <w:pPr>
        <w:pStyle w:val="BodyText"/>
        <w:jc w:val="center"/>
        <w:rPr>
          <w:szCs w:val="22"/>
        </w:rPr>
      </w:pPr>
      <w:r w:rsidRPr="00183CC4">
        <w:rPr>
          <w:szCs w:val="22"/>
        </w:rPr>
        <w:t>OF ATLANTIC TUNAS (ICCAT) RECOMMENDS THAT:</w:t>
      </w:r>
    </w:p>
    <w:p w14:paraId="408AD565" w14:textId="77777777" w:rsidR="0043773D" w:rsidRPr="00183CC4" w:rsidRDefault="0043773D" w:rsidP="00D22547">
      <w:pPr>
        <w:pStyle w:val="BodyText"/>
        <w:jc w:val="center"/>
        <w:rPr>
          <w:szCs w:val="22"/>
        </w:rPr>
      </w:pPr>
    </w:p>
    <w:p w14:paraId="6AF9DD03" w14:textId="100D47EA" w:rsidR="00FC138B" w:rsidRPr="00183CC4" w:rsidRDefault="00F565DC" w:rsidP="00D22547">
      <w:pPr>
        <w:pStyle w:val="BodyText"/>
        <w:numPr>
          <w:ilvl w:val="0"/>
          <w:numId w:val="2"/>
        </w:numPr>
        <w:ind w:left="426" w:hanging="426"/>
        <w:jc w:val="both"/>
      </w:pPr>
      <w:r w:rsidRPr="00183CC4">
        <w:rPr>
          <w:rFonts w:eastAsiaTheme="minorEastAsia"/>
          <w:lang w:eastAsia="ja-JP"/>
        </w:rPr>
        <w:t xml:space="preserve">For the purposes of this Recommendation, </w:t>
      </w:r>
      <w:r w:rsidR="00081078" w:rsidRPr="00183CC4">
        <w:rPr>
          <w:rFonts w:eastAsiaTheme="minorEastAsia"/>
          <w:lang w:eastAsia="ja-JP"/>
        </w:rPr>
        <w:t>“</w:t>
      </w:r>
      <w:r w:rsidR="00081078" w:rsidRPr="00183CC4">
        <w:rPr>
          <w:rFonts w:eastAsiaTheme="minorEastAsia" w:hint="eastAsia"/>
          <w:lang w:eastAsia="ja-JP"/>
        </w:rPr>
        <w:t>aquaculture</w:t>
      </w:r>
      <w:r w:rsidR="00081078" w:rsidRPr="00183CC4">
        <w:rPr>
          <w:rFonts w:eastAsiaTheme="minorEastAsia"/>
          <w:lang w:eastAsia="ja-JP"/>
        </w:rPr>
        <w:t>”</w:t>
      </w:r>
      <w:r w:rsidR="003624A0" w:rsidRPr="00183CC4">
        <w:rPr>
          <w:rFonts w:eastAsiaTheme="minorEastAsia" w:hint="eastAsia"/>
          <w:lang w:eastAsia="ja-JP"/>
        </w:rPr>
        <w:t xml:space="preserve"> </w:t>
      </w:r>
      <w:r w:rsidR="000762B2" w:rsidRPr="00183CC4">
        <w:rPr>
          <w:rFonts w:eastAsiaTheme="minorEastAsia"/>
          <w:lang w:eastAsia="ja-JP"/>
        </w:rPr>
        <w:t>is defined as any bluefin tuna rearing activity</w:t>
      </w:r>
      <w:r w:rsidR="00E43D0A" w:rsidRPr="00183CC4">
        <w:rPr>
          <w:rFonts w:eastAsiaTheme="minorEastAsia"/>
          <w:lang w:eastAsia="ja-JP"/>
        </w:rPr>
        <w:t>,</w:t>
      </w:r>
      <w:r w:rsidR="000762B2" w:rsidRPr="00183CC4">
        <w:rPr>
          <w:rFonts w:eastAsiaTheme="minorEastAsia"/>
          <w:lang w:eastAsia="ja-JP"/>
        </w:rPr>
        <w:t xml:space="preserve"> either</w:t>
      </w:r>
      <w:r w:rsidR="000762B2" w:rsidRPr="00183CC4">
        <w:t xml:space="preserve"> </w:t>
      </w:r>
      <w:r w:rsidR="000762B2" w:rsidRPr="00183CC4">
        <w:rPr>
          <w:rFonts w:eastAsiaTheme="minorEastAsia"/>
          <w:lang w:eastAsia="ja-JP"/>
        </w:rPr>
        <w:t xml:space="preserve">through the hatching of wild bluefin tuna eggs or through full aquaculture cycles using </w:t>
      </w:r>
      <w:r w:rsidR="00E43D0A" w:rsidRPr="00183CC4">
        <w:rPr>
          <w:rFonts w:eastAsiaTheme="minorEastAsia"/>
          <w:lang w:eastAsia="ja-JP"/>
        </w:rPr>
        <w:t>broodstock</w:t>
      </w:r>
      <w:r w:rsidR="00A23F66" w:rsidRPr="00183CC4">
        <w:rPr>
          <w:rFonts w:eastAsiaTheme="minorEastAsia"/>
          <w:lang w:eastAsia="ja-JP"/>
        </w:rPr>
        <w:t xml:space="preserve"> </w:t>
      </w:r>
      <w:r w:rsidR="009D02C4" w:rsidRPr="00183CC4">
        <w:rPr>
          <w:rFonts w:eastAsiaTheme="minorEastAsia"/>
          <w:lang w:eastAsia="ja-JP"/>
        </w:rPr>
        <w:t>within a controlled system</w:t>
      </w:r>
      <w:r w:rsidR="00E43D0A" w:rsidRPr="00183CC4">
        <w:rPr>
          <w:rFonts w:eastAsiaTheme="minorEastAsia"/>
          <w:lang w:eastAsia="ja-JP"/>
        </w:rPr>
        <w:t>, excluding</w:t>
      </w:r>
      <w:r w:rsidR="000762B2" w:rsidRPr="00183CC4">
        <w:rPr>
          <w:rFonts w:eastAsiaTheme="minorEastAsia"/>
          <w:lang w:eastAsia="ja-JP"/>
        </w:rPr>
        <w:t xml:space="preserve"> </w:t>
      </w:r>
      <w:r w:rsidR="00594D87" w:rsidRPr="00183CC4">
        <w:rPr>
          <w:rFonts w:eastAsiaTheme="minorEastAsia"/>
          <w:lang w:eastAsia="ja-JP"/>
        </w:rPr>
        <w:t>short-term</w:t>
      </w:r>
      <w:r w:rsidR="005D380F" w:rsidRPr="00183CC4">
        <w:rPr>
          <w:rFonts w:eastAsiaTheme="minorEastAsia"/>
          <w:lang w:eastAsia="ja-JP"/>
        </w:rPr>
        <w:t xml:space="preserve"> live</w:t>
      </w:r>
      <w:r w:rsidR="00594D87" w:rsidRPr="00183CC4">
        <w:rPr>
          <w:rFonts w:eastAsiaTheme="minorEastAsia"/>
          <w:lang w:eastAsia="ja-JP"/>
        </w:rPr>
        <w:t xml:space="preserve"> storage, </w:t>
      </w:r>
      <w:r w:rsidR="000762B2" w:rsidRPr="00183CC4">
        <w:rPr>
          <w:rFonts w:eastAsiaTheme="minorEastAsia"/>
          <w:lang w:eastAsia="ja-JP"/>
        </w:rPr>
        <w:t xml:space="preserve">farming and fattening </w:t>
      </w:r>
      <w:r w:rsidR="00E43D0A" w:rsidRPr="00183CC4">
        <w:rPr>
          <w:rFonts w:eastAsiaTheme="minorEastAsia"/>
          <w:lang w:eastAsia="ja-JP"/>
        </w:rPr>
        <w:t xml:space="preserve">activities </w:t>
      </w:r>
      <w:r w:rsidR="000762B2" w:rsidRPr="00183CC4">
        <w:rPr>
          <w:rFonts w:eastAsiaTheme="minorEastAsia"/>
          <w:lang w:eastAsia="ja-JP"/>
        </w:rPr>
        <w:t xml:space="preserve">as defined by </w:t>
      </w:r>
      <w:r w:rsidR="002C53DA" w:rsidRPr="00183CC4">
        <w:rPr>
          <w:rFonts w:eastAsiaTheme="minorEastAsia"/>
          <w:i/>
          <w:iCs/>
          <w:lang w:eastAsia="ja-JP"/>
        </w:rPr>
        <w:t>Resolution by ICCAT on a pilot project for the short-term live storage of bluefin tuna</w:t>
      </w:r>
      <w:r w:rsidR="000762B2" w:rsidRPr="00183CC4">
        <w:rPr>
          <w:rFonts w:eastAsiaTheme="minorEastAsia"/>
          <w:lang w:eastAsia="ja-JP"/>
        </w:rPr>
        <w:t xml:space="preserve"> </w:t>
      </w:r>
      <w:r w:rsidR="005E718D" w:rsidRPr="00183CC4">
        <w:rPr>
          <w:rFonts w:eastAsiaTheme="minorEastAsia"/>
          <w:lang w:eastAsia="ja-JP"/>
        </w:rPr>
        <w:t>(</w:t>
      </w:r>
      <w:r w:rsidR="00221ED3" w:rsidRPr="00183CC4">
        <w:rPr>
          <w:rFonts w:eastAsiaTheme="minorEastAsia"/>
          <w:lang w:eastAsia="ja-JP"/>
        </w:rPr>
        <w:t>Res</w:t>
      </w:r>
      <w:r w:rsidR="005E718D" w:rsidRPr="00183CC4">
        <w:rPr>
          <w:rFonts w:eastAsiaTheme="minorEastAsia"/>
          <w:lang w:eastAsia="ja-JP"/>
        </w:rPr>
        <w:t>.</w:t>
      </w:r>
      <w:r w:rsidR="00221ED3" w:rsidRPr="00183CC4">
        <w:rPr>
          <w:rFonts w:eastAsiaTheme="minorEastAsia"/>
          <w:lang w:eastAsia="ja-JP"/>
        </w:rPr>
        <w:t xml:space="preserve"> 22-07</w:t>
      </w:r>
      <w:r w:rsidR="005E718D" w:rsidRPr="00183CC4">
        <w:rPr>
          <w:rFonts w:eastAsiaTheme="minorEastAsia"/>
          <w:lang w:eastAsia="ja-JP"/>
        </w:rPr>
        <w:t>)</w:t>
      </w:r>
      <w:r w:rsidR="00221ED3" w:rsidRPr="00183CC4">
        <w:rPr>
          <w:rFonts w:eastAsiaTheme="minorEastAsia"/>
          <w:lang w:eastAsia="ja-JP"/>
        </w:rPr>
        <w:t xml:space="preserve"> and </w:t>
      </w:r>
      <w:r w:rsidR="00224C2D" w:rsidRPr="00183CC4">
        <w:rPr>
          <w:i/>
          <w:iCs/>
          <w:lang w:val="en-AU"/>
        </w:rPr>
        <w:t xml:space="preserve">Recommendation by ICCAT amending the Recommendation 22-08 establishing a </w:t>
      </w:r>
      <w:r w:rsidR="000A0A0B" w:rsidRPr="00183CC4">
        <w:rPr>
          <w:i/>
          <w:iCs/>
          <w:lang w:val="en-AU"/>
        </w:rPr>
        <w:t>multi</w:t>
      </w:r>
      <w:r w:rsidR="000A0A0B" w:rsidRPr="00183CC4">
        <w:rPr>
          <w:i/>
          <w:iCs/>
          <w:lang w:val="en-AU"/>
        </w:rPr>
        <w:noBreakHyphen/>
        <w:t xml:space="preserve">annual management plan for bluefin tuna </w:t>
      </w:r>
      <w:r w:rsidR="00224C2D" w:rsidRPr="00183CC4">
        <w:rPr>
          <w:i/>
          <w:iCs/>
          <w:lang w:val="en-AU"/>
        </w:rPr>
        <w:t xml:space="preserve">in the </w:t>
      </w:r>
      <w:r w:rsidR="000A0A0B" w:rsidRPr="00183CC4">
        <w:rPr>
          <w:i/>
          <w:iCs/>
          <w:lang w:val="en-AU"/>
        </w:rPr>
        <w:t xml:space="preserve">eastern </w:t>
      </w:r>
      <w:r w:rsidR="00224C2D" w:rsidRPr="00183CC4">
        <w:rPr>
          <w:i/>
          <w:iCs/>
          <w:lang w:val="en-AU"/>
        </w:rPr>
        <w:t>Atlantic and the Mediterranean</w:t>
      </w:r>
      <w:r w:rsidR="00224C2D" w:rsidRPr="00183CC4">
        <w:rPr>
          <w:lang w:val="en-AU"/>
        </w:rPr>
        <w:t xml:space="preserve"> (Rec.</w:t>
      </w:r>
      <w:r w:rsidR="00F7195E" w:rsidRPr="00183CC4">
        <w:rPr>
          <w:lang w:val="en-AU"/>
        </w:rPr>
        <w:t> </w:t>
      </w:r>
      <w:r w:rsidR="00224C2D" w:rsidRPr="00183CC4">
        <w:rPr>
          <w:lang w:val="en-AU"/>
        </w:rPr>
        <w:t>24</w:t>
      </w:r>
      <w:r w:rsidR="00F7195E" w:rsidRPr="00183CC4">
        <w:rPr>
          <w:lang w:val="en-AU"/>
        </w:rPr>
        <w:noBreakHyphen/>
      </w:r>
      <w:r w:rsidR="00224C2D" w:rsidRPr="00183CC4">
        <w:rPr>
          <w:lang w:val="en-AU"/>
        </w:rPr>
        <w:t>05)</w:t>
      </w:r>
      <w:r w:rsidR="003A76F6" w:rsidRPr="00183CC4">
        <w:rPr>
          <w:rFonts w:eastAsiaTheme="minorEastAsia"/>
          <w:lang w:eastAsia="ja-JP"/>
        </w:rPr>
        <w:t>.</w:t>
      </w:r>
      <w:r w:rsidR="000762B2" w:rsidRPr="00183CC4">
        <w:rPr>
          <w:rFonts w:eastAsiaTheme="minorEastAsia"/>
          <w:lang w:eastAsia="ja-JP"/>
        </w:rPr>
        <w:t xml:space="preserve"> </w:t>
      </w:r>
    </w:p>
    <w:p w14:paraId="0EC35920" w14:textId="49DAD3BD" w:rsidR="003624A0" w:rsidRPr="00183CC4" w:rsidRDefault="003624A0" w:rsidP="00D956FE">
      <w:pPr>
        <w:pStyle w:val="BodyText"/>
        <w:ind w:left="426"/>
        <w:jc w:val="both"/>
      </w:pPr>
    </w:p>
    <w:p w14:paraId="752906F7" w14:textId="77777777" w:rsidR="00F7195E" w:rsidRPr="00183CC4" w:rsidRDefault="00F7195E" w:rsidP="00D956FE">
      <w:pPr>
        <w:pStyle w:val="BodyText"/>
        <w:ind w:left="426"/>
        <w:jc w:val="both"/>
      </w:pPr>
    </w:p>
    <w:p w14:paraId="290FB3F8" w14:textId="77777777" w:rsidR="00F7195E" w:rsidRPr="00183CC4" w:rsidRDefault="00F7195E" w:rsidP="00D956FE">
      <w:pPr>
        <w:pStyle w:val="BodyText"/>
        <w:ind w:left="426"/>
        <w:jc w:val="both"/>
      </w:pPr>
    </w:p>
    <w:p w14:paraId="4942B044" w14:textId="77777777" w:rsidR="00F7195E" w:rsidRPr="00183CC4" w:rsidRDefault="00F7195E" w:rsidP="00D956FE">
      <w:pPr>
        <w:pStyle w:val="BodyText"/>
        <w:ind w:left="426"/>
        <w:jc w:val="both"/>
      </w:pPr>
    </w:p>
    <w:p w14:paraId="6DECA7D0" w14:textId="77777777" w:rsidR="00F7195E" w:rsidRPr="00183CC4" w:rsidRDefault="00F7195E" w:rsidP="00D956FE">
      <w:pPr>
        <w:pStyle w:val="BodyText"/>
        <w:ind w:left="426"/>
        <w:jc w:val="both"/>
      </w:pPr>
    </w:p>
    <w:p w14:paraId="710990EA" w14:textId="77777777" w:rsidR="00E93C83" w:rsidRPr="00183CC4" w:rsidRDefault="00E93C83" w:rsidP="00D956FE">
      <w:pPr>
        <w:pStyle w:val="BodyText"/>
        <w:ind w:left="426"/>
        <w:jc w:val="both"/>
      </w:pPr>
    </w:p>
    <w:p w14:paraId="59E99425" w14:textId="77777777" w:rsidR="00E93C83" w:rsidRPr="00183CC4" w:rsidRDefault="00E93C83" w:rsidP="00D956FE">
      <w:pPr>
        <w:pStyle w:val="BodyText"/>
        <w:ind w:left="426"/>
        <w:jc w:val="both"/>
      </w:pPr>
    </w:p>
    <w:p w14:paraId="20010C24" w14:textId="48AB76AA" w:rsidR="00522328" w:rsidRPr="00183CC4" w:rsidRDefault="000811EF" w:rsidP="00D22547">
      <w:pPr>
        <w:pStyle w:val="BodyText"/>
        <w:numPr>
          <w:ilvl w:val="0"/>
          <w:numId w:val="2"/>
        </w:numPr>
        <w:ind w:left="426" w:hanging="426"/>
        <w:jc w:val="both"/>
      </w:pPr>
      <w:r w:rsidRPr="00183CC4">
        <w:rPr>
          <w:szCs w:val="22"/>
        </w:rPr>
        <w:lastRenderedPageBreak/>
        <w:t xml:space="preserve">Any </w:t>
      </w:r>
      <w:r w:rsidR="00522328" w:rsidRPr="00183CC4">
        <w:rPr>
          <w:szCs w:val="22"/>
        </w:rPr>
        <w:t xml:space="preserve">CPC </w:t>
      </w:r>
      <w:r w:rsidRPr="00183CC4">
        <w:rPr>
          <w:szCs w:val="22"/>
        </w:rPr>
        <w:t xml:space="preserve">seeking to export bluefin tuna </w:t>
      </w:r>
      <w:r w:rsidR="00F565DC" w:rsidRPr="00183CC4">
        <w:rPr>
          <w:szCs w:val="22"/>
        </w:rPr>
        <w:t xml:space="preserve">produced through aquaculture </w:t>
      </w:r>
      <w:r w:rsidR="00D93876" w:rsidRPr="00183CC4">
        <w:rPr>
          <w:szCs w:val="22"/>
        </w:rPr>
        <w:t xml:space="preserve">shall </w:t>
      </w:r>
      <w:r w:rsidR="00522328" w:rsidRPr="00183CC4">
        <w:rPr>
          <w:szCs w:val="22"/>
        </w:rPr>
        <w:t xml:space="preserve">establish a system to  </w:t>
      </w:r>
      <w:r w:rsidR="00081078" w:rsidRPr="00183CC4">
        <w:rPr>
          <w:rFonts w:eastAsiaTheme="minorEastAsia" w:hint="eastAsia"/>
          <w:szCs w:val="22"/>
          <w:lang w:eastAsia="ja-JP"/>
        </w:rPr>
        <w:t xml:space="preserve"> distinguish </w:t>
      </w:r>
      <w:r w:rsidR="00F565DC" w:rsidRPr="00183CC4">
        <w:rPr>
          <w:rFonts w:eastAsiaTheme="minorEastAsia"/>
          <w:szCs w:val="22"/>
          <w:lang w:eastAsia="ja-JP"/>
        </w:rPr>
        <w:t xml:space="preserve">between </w:t>
      </w:r>
      <w:r w:rsidR="00522328" w:rsidRPr="00183CC4">
        <w:rPr>
          <w:szCs w:val="22"/>
        </w:rPr>
        <w:t xml:space="preserve">wild-caught </w:t>
      </w:r>
      <w:r w:rsidR="00AF0A4E" w:rsidRPr="00183CC4">
        <w:rPr>
          <w:rFonts w:eastAsiaTheme="minorEastAsia" w:hint="eastAsia"/>
          <w:szCs w:val="22"/>
          <w:lang w:eastAsia="ja-JP"/>
        </w:rPr>
        <w:t>fish</w:t>
      </w:r>
      <w:r w:rsidR="00815E92" w:rsidRPr="00183CC4">
        <w:rPr>
          <w:rFonts w:eastAsiaTheme="minorEastAsia"/>
          <w:szCs w:val="22"/>
          <w:lang w:eastAsia="ja-JP"/>
        </w:rPr>
        <w:t xml:space="preserve"> including</w:t>
      </w:r>
      <w:r w:rsidR="008923CB" w:rsidRPr="00183CC4">
        <w:rPr>
          <w:rFonts w:eastAsiaTheme="minorEastAsia"/>
          <w:szCs w:val="22"/>
          <w:lang w:eastAsia="ja-JP"/>
        </w:rPr>
        <w:t xml:space="preserve"> </w:t>
      </w:r>
      <w:r w:rsidR="00F565DC" w:rsidRPr="00183CC4">
        <w:rPr>
          <w:rFonts w:eastAsiaTheme="minorEastAsia"/>
          <w:szCs w:val="22"/>
          <w:lang w:eastAsia="ja-JP"/>
        </w:rPr>
        <w:t xml:space="preserve">those that have been subject to </w:t>
      </w:r>
      <w:r w:rsidR="008923CB" w:rsidRPr="00183CC4">
        <w:rPr>
          <w:rFonts w:eastAsiaTheme="minorEastAsia"/>
          <w:szCs w:val="22"/>
          <w:lang w:eastAsia="ja-JP"/>
        </w:rPr>
        <w:t xml:space="preserve">short-term </w:t>
      </w:r>
      <w:r w:rsidR="005D380F" w:rsidRPr="00183CC4">
        <w:rPr>
          <w:rFonts w:eastAsiaTheme="minorEastAsia"/>
          <w:szCs w:val="22"/>
          <w:lang w:eastAsia="ja-JP"/>
        </w:rPr>
        <w:t xml:space="preserve">live </w:t>
      </w:r>
      <w:r w:rsidR="008923CB" w:rsidRPr="00183CC4">
        <w:rPr>
          <w:rFonts w:eastAsiaTheme="minorEastAsia"/>
          <w:szCs w:val="22"/>
          <w:lang w:eastAsia="ja-JP"/>
        </w:rPr>
        <w:t>storage</w:t>
      </w:r>
      <w:r w:rsidR="007C7EA1" w:rsidRPr="00183CC4">
        <w:rPr>
          <w:rFonts w:eastAsiaTheme="minorEastAsia"/>
          <w:szCs w:val="22"/>
          <w:lang w:eastAsia="ja-JP"/>
        </w:rPr>
        <w:t>,</w:t>
      </w:r>
      <w:r w:rsidR="00815E92" w:rsidRPr="00183CC4">
        <w:rPr>
          <w:rFonts w:eastAsiaTheme="minorEastAsia"/>
          <w:szCs w:val="22"/>
          <w:lang w:eastAsia="ja-JP"/>
        </w:rPr>
        <w:t xml:space="preserve"> farming and fattening</w:t>
      </w:r>
      <w:r w:rsidR="00F565DC" w:rsidRPr="00183CC4">
        <w:rPr>
          <w:rFonts w:eastAsiaTheme="minorEastAsia"/>
          <w:szCs w:val="22"/>
          <w:lang w:eastAsia="ja-JP"/>
        </w:rPr>
        <w:t>,</w:t>
      </w:r>
      <w:r w:rsidR="003A76F6" w:rsidRPr="00183CC4">
        <w:rPr>
          <w:rFonts w:eastAsiaTheme="minorEastAsia"/>
          <w:szCs w:val="22"/>
          <w:lang w:eastAsia="ja-JP"/>
        </w:rPr>
        <w:t xml:space="preserve"> </w:t>
      </w:r>
      <w:r w:rsidR="00AF0A4E" w:rsidRPr="00183CC4">
        <w:rPr>
          <w:rFonts w:eastAsiaTheme="minorEastAsia" w:hint="eastAsia"/>
          <w:szCs w:val="22"/>
          <w:lang w:eastAsia="ja-JP"/>
        </w:rPr>
        <w:t xml:space="preserve">and </w:t>
      </w:r>
      <w:proofErr w:type="spellStart"/>
      <w:r w:rsidR="00196017" w:rsidRPr="00183CC4">
        <w:rPr>
          <w:szCs w:val="22"/>
        </w:rPr>
        <w:t>aquaculture</w:t>
      </w:r>
      <w:r w:rsidR="003A2ADE" w:rsidRPr="00183CC4">
        <w:rPr>
          <w:rFonts w:eastAsiaTheme="minorEastAsia" w:hint="eastAsia"/>
          <w:szCs w:val="22"/>
          <w:lang w:eastAsia="ja-JP"/>
        </w:rPr>
        <w:t>d</w:t>
      </w:r>
      <w:proofErr w:type="spellEnd"/>
      <w:r w:rsidR="003A2ADE" w:rsidRPr="00183CC4">
        <w:rPr>
          <w:rFonts w:eastAsiaTheme="minorEastAsia" w:hint="eastAsia"/>
          <w:szCs w:val="22"/>
          <w:lang w:eastAsia="ja-JP"/>
        </w:rPr>
        <w:t xml:space="preserve"> fish</w:t>
      </w:r>
      <w:r w:rsidR="00522328" w:rsidRPr="00183CC4">
        <w:rPr>
          <w:szCs w:val="22"/>
        </w:rPr>
        <w:t>.</w:t>
      </w:r>
      <w:r w:rsidR="0043773D" w:rsidRPr="00183CC4">
        <w:rPr>
          <w:szCs w:val="22"/>
        </w:rPr>
        <w:t xml:space="preserve"> This system shall be detailed in </w:t>
      </w:r>
      <w:r w:rsidR="00ED3866" w:rsidRPr="00183CC4">
        <w:rPr>
          <w:szCs w:val="22"/>
        </w:rPr>
        <w:t xml:space="preserve">an </w:t>
      </w:r>
      <w:r w:rsidR="0043773D" w:rsidRPr="00183CC4">
        <w:rPr>
          <w:szCs w:val="22"/>
        </w:rPr>
        <w:t>Aquaculture plan to be submitted annually to Panel 2</w:t>
      </w:r>
      <w:r w:rsidR="005B0D08" w:rsidRPr="00183CC4">
        <w:rPr>
          <w:szCs w:val="22"/>
        </w:rPr>
        <w:t xml:space="preserve"> for its review</w:t>
      </w:r>
      <w:r w:rsidR="001A153E" w:rsidRPr="00183CC4">
        <w:rPr>
          <w:szCs w:val="22"/>
        </w:rPr>
        <w:t xml:space="preserve"> and endorsement</w:t>
      </w:r>
      <w:r w:rsidR="0043773D" w:rsidRPr="00183CC4">
        <w:rPr>
          <w:szCs w:val="22"/>
        </w:rPr>
        <w:t xml:space="preserve">, </w:t>
      </w:r>
      <w:r w:rsidR="00ED3866" w:rsidRPr="00183CC4">
        <w:rPr>
          <w:szCs w:val="22"/>
        </w:rPr>
        <w:t>as part of</w:t>
      </w:r>
      <w:r w:rsidR="00732227" w:rsidRPr="00183CC4">
        <w:rPr>
          <w:szCs w:val="22"/>
        </w:rPr>
        <w:t xml:space="preserve"> </w:t>
      </w:r>
      <w:r w:rsidR="0043773D" w:rsidRPr="00183CC4">
        <w:rPr>
          <w:szCs w:val="22"/>
        </w:rPr>
        <w:t>the reporting obligation on fishing, farming</w:t>
      </w:r>
      <w:r w:rsidR="00534E73" w:rsidRPr="00183CC4">
        <w:rPr>
          <w:szCs w:val="22"/>
        </w:rPr>
        <w:t>,</w:t>
      </w:r>
      <w:r w:rsidR="0043773D" w:rsidRPr="00183CC4">
        <w:rPr>
          <w:szCs w:val="22"/>
        </w:rPr>
        <w:t xml:space="preserve"> inspection</w:t>
      </w:r>
      <w:r w:rsidR="00534E73" w:rsidRPr="00183CC4">
        <w:rPr>
          <w:szCs w:val="22"/>
        </w:rPr>
        <w:t xml:space="preserve"> and capacity management </w:t>
      </w:r>
      <w:r w:rsidR="0043773D" w:rsidRPr="00183CC4">
        <w:rPr>
          <w:szCs w:val="22"/>
        </w:rPr>
        <w:t xml:space="preserve">plans for </w:t>
      </w:r>
      <w:r w:rsidR="00B627BF" w:rsidRPr="00183CC4">
        <w:rPr>
          <w:rFonts w:eastAsiaTheme="minorEastAsia" w:hint="eastAsia"/>
          <w:szCs w:val="22"/>
          <w:lang w:eastAsia="ja-JP"/>
        </w:rPr>
        <w:t xml:space="preserve">eastern </w:t>
      </w:r>
      <w:r w:rsidR="00F565DC" w:rsidRPr="00183CC4">
        <w:rPr>
          <w:rFonts w:eastAsiaTheme="minorEastAsia"/>
          <w:szCs w:val="22"/>
          <w:lang w:eastAsia="ja-JP"/>
        </w:rPr>
        <w:t xml:space="preserve">Atlantic and Mediterranean </w:t>
      </w:r>
      <w:r w:rsidR="0043773D" w:rsidRPr="00183CC4">
        <w:rPr>
          <w:szCs w:val="22"/>
        </w:rPr>
        <w:t>BFT</w:t>
      </w:r>
      <w:r w:rsidR="00E43D0A" w:rsidRPr="00183CC4">
        <w:rPr>
          <w:szCs w:val="22"/>
        </w:rPr>
        <w:t>, including details on the controllability of such system</w:t>
      </w:r>
      <w:r w:rsidR="003A76F6" w:rsidRPr="00183CC4">
        <w:rPr>
          <w:szCs w:val="22"/>
        </w:rPr>
        <w:t>.</w:t>
      </w:r>
      <w:r w:rsidR="00E43D0A" w:rsidRPr="00183CC4">
        <w:rPr>
          <w:szCs w:val="22"/>
        </w:rPr>
        <w:t xml:space="preserve"> </w:t>
      </w:r>
      <w:r w:rsidR="00B627BF" w:rsidRPr="00183CC4">
        <w:rPr>
          <w:rFonts w:eastAsiaTheme="minorEastAsia" w:hint="eastAsia"/>
          <w:szCs w:val="22"/>
          <w:lang w:eastAsia="ja-JP"/>
        </w:rPr>
        <w:t xml:space="preserve">A </w:t>
      </w:r>
      <w:r w:rsidR="00673598" w:rsidRPr="00183CC4">
        <w:rPr>
          <w:rFonts w:eastAsiaTheme="minorEastAsia" w:hint="eastAsia"/>
          <w:szCs w:val="22"/>
          <w:lang w:eastAsia="ja-JP"/>
        </w:rPr>
        <w:t xml:space="preserve">CPC </w:t>
      </w:r>
      <w:r w:rsidR="00CE23F9" w:rsidRPr="00183CC4">
        <w:rPr>
          <w:rFonts w:eastAsiaTheme="minorEastAsia" w:hint="eastAsia"/>
          <w:szCs w:val="22"/>
          <w:lang w:eastAsia="ja-JP"/>
        </w:rPr>
        <w:t xml:space="preserve">that </w:t>
      </w:r>
      <w:r w:rsidR="003C5CC1" w:rsidRPr="00183CC4">
        <w:rPr>
          <w:rFonts w:eastAsiaTheme="minorEastAsia" w:hint="eastAsia"/>
          <w:szCs w:val="22"/>
          <w:lang w:eastAsia="ja-JP"/>
        </w:rPr>
        <w:t>do</w:t>
      </w:r>
      <w:r w:rsidR="00B627BF" w:rsidRPr="00183CC4">
        <w:rPr>
          <w:rFonts w:eastAsiaTheme="minorEastAsia" w:hint="eastAsia"/>
          <w:szCs w:val="22"/>
          <w:lang w:eastAsia="ja-JP"/>
        </w:rPr>
        <w:t>es</w:t>
      </w:r>
      <w:r w:rsidR="003C5CC1" w:rsidRPr="00183CC4">
        <w:rPr>
          <w:rFonts w:eastAsiaTheme="minorEastAsia" w:hint="eastAsia"/>
          <w:szCs w:val="22"/>
          <w:lang w:eastAsia="ja-JP"/>
        </w:rPr>
        <w:t xml:space="preserve"> not submit </w:t>
      </w:r>
      <w:r w:rsidR="00F565DC" w:rsidRPr="00183CC4">
        <w:rPr>
          <w:rFonts w:eastAsiaTheme="minorEastAsia"/>
          <w:szCs w:val="22"/>
          <w:lang w:eastAsia="ja-JP"/>
        </w:rPr>
        <w:t>a</w:t>
      </w:r>
      <w:r w:rsidR="00B627BF" w:rsidRPr="00183CC4">
        <w:rPr>
          <w:rFonts w:eastAsiaTheme="minorEastAsia" w:hint="eastAsia"/>
          <w:szCs w:val="22"/>
          <w:lang w:eastAsia="ja-JP"/>
        </w:rPr>
        <w:t xml:space="preserve"> </w:t>
      </w:r>
      <w:r w:rsidR="00B627BF" w:rsidRPr="00183CC4">
        <w:rPr>
          <w:szCs w:val="22"/>
        </w:rPr>
        <w:t>fishing, farming, inspection and capacity management plan</w:t>
      </w:r>
      <w:r w:rsidR="00B627BF" w:rsidRPr="00183CC4">
        <w:rPr>
          <w:rFonts w:eastAsiaTheme="minorEastAsia" w:hint="eastAsia"/>
          <w:szCs w:val="22"/>
          <w:lang w:eastAsia="ja-JP"/>
        </w:rPr>
        <w:t xml:space="preserve"> in accordance with </w:t>
      </w:r>
      <w:r w:rsidR="00AB61C7" w:rsidRPr="00183CC4">
        <w:rPr>
          <w:rFonts w:eastAsiaTheme="minorEastAsia"/>
          <w:szCs w:val="22"/>
          <w:lang w:eastAsia="ja-JP"/>
        </w:rPr>
        <w:t>Recommendation</w:t>
      </w:r>
      <w:r w:rsidR="00AB61C7" w:rsidRPr="00183CC4">
        <w:rPr>
          <w:rFonts w:eastAsiaTheme="minorEastAsia" w:hint="eastAsia"/>
          <w:szCs w:val="22"/>
          <w:lang w:eastAsia="ja-JP"/>
        </w:rPr>
        <w:t xml:space="preserve"> </w:t>
      </w:r>
      <w:r w:rsidR="00D7614E" w:rsidRPr="00183CC4">
        <w:rPr>
          <w:rFonts w:eastAsiaTheme="minorEastAsia"/>
          <w:lang w:eastAsia="ja-JP"/>
        </w:rPr>
        <w:t>24-05</w:t>
      </w:r>
      <w:r w:rsidR="00AB61C7" w:rsidRPr="00183CC4">
        <w:rPr>
          <w:rFonts w:eastAsiaTheme="minorEastAsia" w:hint="eastAsia"/>
          <w:szCs w:val="22"/>
          <w:lang w:eastAsia="ja-JP"/>
        </w:rPr>
        <w:t xml:space="preserve"> but wishes to</w:t>
      </w:r>
      <w:r w:rsidR="00241FBF" w:rsidRPr="00183CC4">
        <w:rPr>
          <w:rFonts w:eastAsiaTheme="minorEastAsia"/>
          <w:szCs w:val="22"/>
          <w:lang w:eastAsia="ja-JP"/>
        </w:rPr>
        <w:t xml:space="preserve"> </w:t>
      </w:r>
      <w:r w:rsidR="00F565DC" w:rsidRPr="00183CC4">
        <w:rPr>
          <w:rFonts w:eastAsiaTheme="minorEastAsia"/>
          <w:szCs w:val="22"/>
          <w:lang w:eastAsia="ja-JP"/>
        </w:rPr>
        <w:t>conduct</w:t>
      </w:r>
      <w:r w:rsidR="00AB61C7" w:rsidRPr="00183CC4">
        <w:rPr>
          <w:rFonts w:eastAsiaTheme="minorEastAsia" w:hint="eastAsia"/>
          <w:szCs w:val="22"/>
          <w:lang w:eastAsia="ja-JP"/>
        </w:rPr>
        <w:t xml:space="preserve"> aquaculture </w:t>
      </w:r>
      <w:r w:rsidR="00F565DC" w:rsidRPr="00183CC4">
        <w:rPr>
          <w:rFonts w:eastAsiaTheme="minorEastAsia"/>
          <w:szCs w:val="22"/>
          <w:lang w:eastAsia="ja-JP"/>
        </w:rPr>
        <w:t xml:space="preserve">operations </w:t>
      </w:r>
      <w:r w:rsidR="00AB61C7" w:rsidRPr="00183CC4">
        <w:rPr>
          <w:rFonts w:eastAsiaTheme="minorEastAsia"/>
          <w:szCs w:val="22"/>
          <w:lang w:eastAsia="ja-JP"/>
        </w:rPr>
        <w:t>for</w:t>
      </w:r>
      <w:r w:rsidR="00AB61C7" w:rsidRPr="00183CC4">
        <w:rPr>
          <w:rFonts w:eastAsiaTheme="minorEastAsia" w:hint="eastAsia"/>
          <w:szCs w:val="22"/>
          <w:lang w:eastAsia="ja-JP"/>
        </w:rPr>
        <w:t xml:space="preserve"> bluefin tuna, shall </w:t>
      </w:r>
      <w:r w:rsidR="00F565DC" w:rsidRPr="00183CC4">
        <w:rPr>
          <w:rFonts w:eastAsiaTheme="minorEastAsia"/>
          <w:szCs w:val="22"/>
          <w:lang w:eastAsia="ja-JP"/>
        </w:rPr>
        <w:t xml:space="preserve">nonetheless </w:t>
      </w:r>
      <w:r w:rsidR="00AB61C7" w:rsidRPr="00183CC4">
        <w:rPr>
          <w:rFonts w:eastAsiaTheme="minorEastAsia" w:hint="eastAsia"/>
          <w:szCs w:val="22"/>
          <w:lang w:eastAsia="ja-JP"/>
        </w:rPr>
        <w:t>su</w:t>
      </w:r>
      <w:r w:rsidR="00D8781B" w:rsidRPr="00183CC4">
        <w:rPr>
          <w:rFonts w:eastAsiaTheme="minorEastAsia" w:hint="eastAsia"/>
          <w:szCs w:val="22"/>
          <w:lang w:eastAsia="ja-JP"/>
        </w:rPr>
        <w:t>bmit an Aquaculture plan.</w:t>
      </w:r>
    </w:p>
    <w:p w14:paraId="238FD3C5" w14:textId="77777777" w:rsidR="00E93C83" w:rsidRPr="00183CC4" w:rsidRDefault="00E93C83" w:rsidP="00E93C83">
      <w:pPr>
        <w:pStyle w:val="BodyText"/>
        <w:ind w:left="426"/>
        <w:jc w:val="both"/>
      </w:pPr>
    </w:p>
    <w:p w14:paraId="183402A0" w14:textId="3B013945" w:rsidR="008F106D" w:rsidRPr="00183CC4" w:rsidRDefault="008F106D" w:rsidP="003A76F6">
      <w:pPr>
        <w:pStyle w:val="BodyText"/>
        <w:numPr>
          <w:ilvl w:val="0"/>
          <w:numId w:val="2"/>
        </w:numPr>
        <w:spacing w:after="120"/>
        <w:ind w:left="426" w:hanging="426"/>
        <w:jc w:val="both"/>
      </w:pPr>
      <w:r w:rsidRPr="00183CC4">
        <w:t xml:space="preserve">The </w:t>
      </w:r>
      <w:r w:rsidR="00EA5076" w:rsidRPr="00183CC4">
        <w:t>A</w:t>
      </w:r>
      <w:r w:rsidRPr="00183CC4">
        <w:t xml:space="preserve">quaculture plan stipulated in paragraph 2 above </w:t>
      </w:r>
      <w:r w:rsidR="001C059D" w:rsidRPr="00183CC4">
        <w:t>shall</w:t>
      </w:r>
      <w:r w:rsidRPr="00183CC4">
        <w:t>, in particular, include the following</w:t>
      </w:r>
      <w:r w:rsidR="00F565DC" w:rsidRPr="00183CC4">
        <w:t xml:space="preserve"> information</w:t>
      </w:r>
      <w:r w:rsidRPr="00183CC4">
        <w:t>:</w:t>
      </w:r>
    </w:p>
    <w:p w14:paraId="686F1BBC" w14:textId="348CCA27" w:rsidR="008F106D" w:rsidRPr="00183CC4" w:rsidRDefault="008F106D" w:rsidP="006979B2">
      <w:pPr>
        <w:pStyle w:val="BodyText"/>
        <w:numPr>
          <w:ilvl w:val="0"/>
          <w:numId w:val="4"/>
        </w:numPr>
        <w:ind w:left="851" w:hanging="284"/>
        <w:jc w:val="both"/>
      </w:pPr>
      <w:r w:rsidRPr="00183CC4">
        <w:t>The origin of the bluefin tuna (hatching of wild bluefin tuna eggs or complete aquaculture cycle using broodstock);</w:t>
      </w:r>
    </w:p>
    <w:p w14:paraId="0987E3C0" w14:textId="437CC631" w:rsidR="008F106D" w:rsidRPr="00183CC4" w:rsidRDefault="00F565DC" w:rsidP="006979B2">
      <w:pPr>
        <w:pStyle w:val="BodyText"/>
        <w:numPr>
          <w:ilvl w:val="0"/>
          <w:numId w:val="4"/>
        </w:numPr>
        <w:ind w:left="851" w:hanging="284"/>
        <w:jc w:val="both"/>
      </w:pPr>
      <w:r w:rsidRPr="00183CC4">
        <w:t xml:space="preserve">Details on any aquaculture facilities </w:t>
      </w:r>
      <w:r w:rsidR="006E6327" w:rsidRPr="00183CC4">
        <w:t>established within waters</w:t>
      </w:r>
      <w:r w:rsidR="00985202" w:rsidRPr="00183CC4">
        <w:t xml:space="preserve"> under a CPC</w:t>
      </w:r>
      <w:r w:rsidR="00FF0174" w:rsidRPr="00183CC4">
        <w:t xml:space="preserve">’s </w:t>
      </w:r>
      <w:r w:rsidR="00985202" w:rsidRPr="00183CC4">
        <w:t>jurisdiction</w:t>
      </w:r>
      <w:r w:rsidR="006E6327" w:rsidRPr="00183CC4">
        <w:t>, including the number of structures at sea and t</w:t>
      </w:r>
      <w:r w:rsidR="008F106D" w:rsidRPr="00183CC4">
        <w:t>he annual farming capacity;</w:t>
      </w:r>
    </w:p>
    <w:p w14:paraId="09C609D5" w14:textId="1645FA31" w:rsidR="008F106D" w:rsidRPr="00183CC4" w:rsidRDefault="008F106D" w:rsidP="006979B2">
      <w:pPr>
        <w:pStyle w:val="BodyText"/>
        <w:numPr>
          <w:ilvl w:val="0"/>
          <w:numId w:val="4"/>
        </w:numPr>
        <w:ind w:left="851" w:hanging="284"/>
        <w:jc w:val="both"/>
      </w:pPr>
      <w:r w:rsidRPr="00183CC4">
        <w:t>The forecasts for the quantities of aquaculture bluefin tuna to be marketed for the reporting year.</w:t>
      </w:r>
    </w:p>
    <w:p w14:paraId="3E731A98" w14:textId="702D4DCC" w:rsidR="00594D87" w:rsidRPr="00183CC4" w:rsidRDefault="006E6327" w:rsidP="006979B2">
      <w:pPr>
        <w:pStyle w:val="BodyText"/>
        <w:numPr>
          <w:ilvl w:val="0"/>
          <w:numId w:val="4"/>
        </w:numPr>
        <w:ind w:left="851" w:hanging="284"/>
        <w:jc w:val="both"/>
      </w:pPr>
      <w:r w:rsidRPr="00183CC4">
        <w:t>T</w:t>
      </w:r>
      <w:r w:rsidR="00594D87" w:rsidRPr="00183CC4">
        <w:t xml:space="preserve">he expected number </w:t>
      </w:r>
      <w:r w:rsidRPr="00183CC4">
        <w:t xml:space="preserve">and volume </w:t>
      </w:r>
      <w:r w:rsidR="00594D87" w:rsidRPr="00183CC4">
        <w:t>of fish</w:t>
      </w:r>
      <w:r w:rsidRPr="00183CC4">
        <w:t xml:space="preserve"> to be produced</w:t>
      </w:r>
      <w:r w:rsidR="00594D87" w:rsidRPr="00183CC4">
        <w:t xml:space="preserve">, expected size </w:t>
      </w:r>
      <w:r w:rsidR="00B814D7" w:rsidRPr="00183CC4">
        <w:t xml:space="preserve">of fish </w:t>
      </w:r>
      <w:r w:rsidR="00594D87" w:rsidRPr="00183CC4">
        <w:t>at time of harvest, and the anticipated harvest date</w:t>
      </w:r>
      <w:r w:rsidR="003A76F6" w:rsidRPr="00183CC4">
        <w:t xml:space="preserve">. </w:t>
      </w:r>
      <w:r w:rsidR="00B814D7" w:rsidRPr="00183CC4">
        <w:t>T</w:t>
      </w:r>
      <w:r w:rsidR="0047563C" w:rsidRPr="00183CC4">
        <w:t xml:space="preserve">he </w:t>
      </w:r>
      <w:r w:rsidR="00594D87" w:rsidRPr="00183CC4">
        <w:t>measures</w:t>
      </w:r>
      <w:r w:rsidR="0047563C" w:rsidRPr="00183CC4">
        <w:t xml:space="preserve"> </w:t>
      </w:r>
      <w:r w:rsidR="0047563C" w:rsidRPr="00183CC4">
        <w:rPr>
          <w:szCs w:val="22"/>
        </w:rPr>
        <w:t>taken to prevent caged fish from escaping</w:t>
      </w:r>
      <w:r w:rsidR="003A76F6" w:rsidRPr="00183CC4">
        <w:rPr>
          <w:szCs w:val="22"/>
        </w:rPr>
        <w:t xml:space="preserve"> </w:t>
      </w:r>
      <w:r w:rsidR="004070DD" w:rsidRPr="00183CC4">
        <w:rPr>
          <w:szCs w:val="22"/>
        </w:rPr>
        <w:t xml:space="preserve">and </w:t>
      </w:r>
      <w:r w:rsidR="007E1B1E" w:rsidRPr="00183CC4">
        <w:rPr>
          <w:szCs w:val="22"/>
        </w:rPr>
        <w:t>information on any</w:t>
      </w:r>
      <w:r w:rsidR="00CD7011" w:rsidRPr="00183CC4">
        <w:rPr>
          <w:szCs w:val="22"/>
        </w:rPr>
        <w:t xml:space="preserve"> environmental impact</w:t>
      </w:r>
      <w:r w:rsidR="007E1B1E" w:rsidRPr="00183CC4">
        <w:rPr>
          <w:szCs w:val="22"/>
        </w:rPr>
        <w:t xml:space="preserve"> assessment that</w:t>
      </w:r>
      <w:r w:rsidR="00CD7011" w:rsidRPr="00183CC4">
        <w:rPr>
          <w:szCs w:val="22"/>
        </w:rPr>
        <w:t xml:space="preserve"> ha</w:t>
      </w:r>
      <w:r w:rsidR="007E1B1E" w:rsidRPr="00183CC4">
        <w:rPr>
          <w:szCs w:val="22"/>
        </w:rPr>
        <w:t>s</w:t>
      </w:r>
      <w:r w:rsidR="00CD7011" w:rsidRPr="00183CC4">
        <w:rPr>
          <w:szCs w:val="22"/>
        </w:rPr>
        <w:t xml:space="preserve"> been carried out</w:t>
      </w:r>
      <w:r w:rsidR="003A76F6" w:rsidRPr="00183CC4">
        <w:rPr>
          <w:szCs w:val="22"/>
        </w:rPr>
        <w:t>.</w:t>
      </w:r>
    </w:p>
    <w:p w14:paraId="760F720B" w14:textId="77777777" w:rsidR="000122BB" w:rsidRPr="00183CC4" w:rsidRDefault="000122BB" w:rsidP="00D22547">
      <w:pPr>
        <w:pStyle w:val="BodyText"/>
        <w:ind w:left="720"/>
        <w:jc w:val="both"/>
      </w:pPr>
    </w:p>
    <w:p w14:paraId="4C3DD725" w14:textId="375CA533" w:rsidR="003B42FF" w:rsidRPr="00183CC4" w:rsidRDefault="003A76F6" w:rsidP="003B42FF">
      <w:pPr>
        <w:pStyle w:val="BodyText"/>
        <w:numPr>
          <w:ilvl w:val="0"/>
          <w:numId w:val="2"/>
        </w:numPr>
        <w:ind w:left="426" w:hanging="426"/>
        <w:jc w:val="both"/>
        <w:rPr>
          <w:szCs w:val="22"/>
        </w:rPr>
      </w:pPr>
      <w:r w:rsidRPr="00183CC4">
        <w:rPr>
          <w:szCs w:val="22"/>
        </w:rPr>
        <w:t>B</w:t>
      </w:r>
      <w:r w:rsidR="00522328" w:rsidRPr="00183CC4">
        <w:rPr>
          <w:szCs w:val="22"/>
        </w:rPr>
        <w:t xml:space="preserve">luefin tuna produced through aquaculture </w:t>
      </w:r>
      <w:r w:rsidR="00AA6B17" w:rsidRPr="00183CC4">
        <w:rPr>
          <w:szCs w:val="22"/>
        </w:rPr>
        <w:t xml:space="preserve">shall </w:t>
      </w:r>
      <w:r w:rsidR="00522328" w:rsidRPr="00183CC4">
        <w:rPr>
          <w:szCs w:val="22"/>
        </w:rPr>
        <w:t xml:space="preserve">be accompanied by an eBCD, </w:t>
      </w:r>
      <w:r w:rsidR="00B814D7" w:rsidRPr="00183CC4">
        <w:rPr>
          <w:szCs w:val="22"/>
        </w:rPr>
        <w:t>in accordance with</w:t>
      </w:r>
      <w:r w:rsidR="002B1B87" w:rsidRPr="00183CC4">
        <w:rPr>
          <w:szCs w:val="22"/>
        </w:rPr>
        <w:t xml:space="preserve"> the </w:t>
      </w:r>
      <w:r w:rsidR="002B1B87" w:rsidRPr="00183CC4">
        <w:rPr>
          <w:i/>
          <w:iCs/>
          <w:szCs w:val="22"/>
        </w:rPr>
        <w:t>Recommendation by ICCAT amending and</w:t>
      </w:r>
      <w:r w:rsidR="002B1B87" w:rsidRPr="00183CC4">
        <w:rPr>
          <w:szCs w:val="22"/>
        </w:rPr>
        <w:t xml:space="preserve"> </w:t>
      </w:r>
      <w:r w:rsidR="002B1B87" w:rsidRPr="00183CC4">
        <w:rPr>
          <w:i/>
          <w:iCs/>
          <w:szCs w:val="22"/>
        </w:rPr>
        <w:t>replacing</w:t>
      </w:r>
      <w:r w:rsidR="002B1B87" w:rsidRPr="00183CC4">
        <w:rPr>
          <w:szCs w:val="22"/>
        </w:rPr>
        <w:t xml:space="preserve"> </w:t>
      </w:r>
      <w:r w:rsidR="002B1B87" w:rsidRPr="00183CC4">
        <w:rPr>
          <w:i/>
          <w:iCs/>
          <w:szCs w:val="22"/>
        </w:rPr>
        <w:t>Recommendation 18-13</w:t>
      </w:r>
      <w:r w:rsidR="00A35F39" w:rsidRPr="00183CC4">
        <w:rPr>
          <w:i/>
          <w:iCs/>
          <w:szCs w:val="22"/>
        </w:rPr>
        <w:t xml:space="preserve"> on an ICCAT Bluefin Tuna Catch Documentation programme </w:t>
      </w:r>
      <w:r w:rsidR="00A35F39" w:rsidRPr="00183CC4">
        <w:rPr>
          <w:szCs w:val="22"/>
        </w:rPr>
        <w:t>(</w:t>
      </w:r>
      <w:r w:rsidR="00B814D7" w:rsidRPr="00183CC4">
        <w:rPr>
          <w:szCs w:val="22"/>
        </w:rPr>
        <w:t>Rec</w:t>
      </w:r>
      <w:r w:rsidR="00A35F39" w:rsidRPr="00183CC4">
        <w:rPr>
          <w:szCs w:val="22"/>
        </w:rPr>
        <w:t>.</w:t>
      </w:r>
      <w:r w:rsidR="005968F8" w:rsidRPr="00183CC4">
        <w:rPr>
          <w:szCs w:val="22"/>
        </w:rPr>
        <w:t xml:space="preserve"> 23-21</w:t>
      </w:r>
      <w:r w:rsidR="00A35F39" w:rsidRPr="00183CC4">
        <w:rPr>
          <w:szCs w:val="22"/>
        </w:rPr>
        <w:t>)</w:t>
      </w:r>
      <w:r w:rsidR="005968F8" w:rsidRPr="00183CC4">
        <w:rPr>
          <w:szCs w:val="22"/>
        </w:rPr>
        <w:t xml:space="preserve"> and</w:t>
      </w:r>
      <w:r w:rsidR="006130CD" w:rsidRPr="00183CC4">
        <w:rPr>
          <w:szCs w:val="22"/>
        </w:rPr>
        <w:t xml:space="preserve"> the </w:t>
      </w:r>
      <w:r w:rsidR="004569D2" w:rsidRPr="00183CC4">
        <w:rPr>
          <w:i/>
          <w:iCs/>
          <w:szCs w:val="22"/>
        </w:rPr>
        <w:t xml:space="preserve">Recommendation by ICCAT amending Recommendation 22-16 amending Recommendation 21-18 on the application of the eBCD system </w:t>
      </w:r>
      <w:r w:rsidR="004569D2" w:rsidRPr="00183CC4">
        <w:rPr>
          <w:szCs w:val="22"/>
        </w:rPr>
        <w:t>(Rec. </w:t>
      </w:r>
      <w:r w:rsidR="005968F8" w:rsidRPr="00183CC4">
        <w:rPr>
          <w:szCs w:val="22"/>
        </w:rPr>
        <w:t>2</w:t>
      </w:r>
      <w:r w:rsidR="003C03B7" w:rsidRPr="00183CC4">
        <w:rPr>
          <w:szCs w:val="22"/>
        </w:rPr>
        <w:t>4</w:t>
      </w:r>
      <w:r w:rsidR="005968F8" w:rsidRPr="00183CC4">
        <w:rPr>
          <w:szCs w:val="22"/>
        </w:rPr>
        <w:t>-16</w:t>
      </w:r>
      <w:r w:rsidR="004569D2" w:rsidRPr="00183CC4">
        <w:rPr>
          <w:szCs w:val="22"/>
        </w:rPr>
        <w:t>)</w:t>
      </w:r>
      <w:r w:rsidR="005968F8" w:rsidRPr="00183CC4">
        <w:rPr>
          <w:szCs w:val="22"/>
        </w:rPr>
        <w:t>.</w:t>
      </w:r>
      <w:r w:rsidR="00B814D7" w:rsidRPr="00183CC4">
        <w:rPr>
          <w:szCs w:val="22"/>
        </w:rPr>
        <w:t xml:space="preserve"> </w:t>
      </w:r>
      <w:r w:rsidR="00B51AC3" w:rsidRPr="00183CC4">
        <w:t xml:space="preserve">CPCs shall prohibit </w:t>
      </w:r>
      <w:r w:rsidR="006C749B" w:rsidRPr="00183CC4">
        <w:t xml:space="preserve">bluefin tuna </w:t>
      </w:r>
      <w:r w:rsidR="00B51AC3" w:rsidRPr="00183CC4">
        <w:rPr>
          <w:rFonts w:eastAsiaTheme="minorEastAsia" w:hint="eastAsia"/>
          <w:lang w:eastAsia="ja-JP"/>
        </w:rPr>
        <w:t>a</w:t>
      </w:r>
      <w:r w:rsidR="00783972" w:rsidRPr="00183CC4">
        <w:rPr>
          <w:rFonts w:eastAsiaTheme="minorEastAsia" w:hint="eastAsia"/>
          <w:lang w:eastAsia="ja-JP"/>
        </w:rPr>
        <w:t xml:space="preserve">quaculture operators </w:t>
      </w:r>
      <w:r w:rsidR="00B51AC3" w:rsidRPr="00183CC4">
        <w:t xml:space="preserve">from selling or offering for sale </w:t>
      </w:r>
      <w:proofErr w:type="spellStart"/>
      <w:r w:rsidR="00783972" w:rsidRPr="00183CC4">
        <w:rPr>
          <w:rFonts w:eastAsiaTheme="minorEastAsia" w:hint="eastAsia"/>
          <w:lang w:eastAsia="ja-JP"/>
        </w:rPr>
        <w:t>aquacultured</w:t>
      </w:r>
      <w:proofErr w:type="spellEnd"/>
      <w:r w:rsidR="00B51AC3" w:rsidRPr="00183CC4">
        <w:t xml:space="preserve"> fish</w:t>
      </w:r>
      <w:r w:rsidRPr="00183CC4">
        <w:t xml:space="preserve"> </w:t>
      </w:r>
      <w:r w:rsidR="003B42FF" w:rsidRPr="00183CC4">
        <w:rPr>
          <w:rFonts w:eastAsiaTheme="minorEastAsia" w:hint="eastAsia"/>
          <w:szCs w:val="22"/>
          <w:lang w:eastAsia="ja-JP"/>
        </w:rPr>
        <w:t xml:space="preserve">until the eBCD system has a functionality to </w:t>
      </w:r>
      <w:r w:rsidR="003B42FF" w:rsidRPr="00183CC4">
        <w:rPr>
          <w:szCs w:val="22"/>
        </w:rPr>
        <w:t>register the fish's origin</w:t>
      </w:r>
      <w:r w:rsidR="003B42FF" w:rsidRPr="00183CC4">
        <w:rPr>
          <w:rFonts w:eastAsiaTheme="minorEastAsia" w:hint="eastAsia"/>
          <w:szCs w:val="22"/>
          <w:lang w:eastAsia="ja-JP"/>
        </w:rPr>
        <w:t>.</w:t>
      </w:r>
    </w:p>
    <w:p w14:paraId="35A8717B" w14:textId="77777777" w:rsidR="00522328" w:rsidRPr="00183CC4" w:rsidRDefault="00522328" w:rsidP="00D22547">
      <w:pPr>
        <w:pStyle w:val="BodyText"/>
        <w:jc w:val="both"/>
        <w:rPr>
          <w:szCs w:val="22"/>
        </w:rPr>
      </w:pPr>
    </w:p>
    <w:p w14:paraId="5F0BBF5E" w14:textId="655A74E1" w:rsidR="00C84C0A" w:rsidRPr="00183CC4" w:rsidRDefault="00522328" w:rsidP="00D22547">
      <w:pPr>
        <w:pStyle w:val="BodyText"/>
        <w:numPr>
          <w:ilvl w:val="0"/>
          <w:numId w:val="2"/>
        </w:numPr>
        <w:ind w:left="426" w:hanging="426"/>
        <w:jc w:val="both"/>
        <w:rPr>
          <w:szCs w:val="22"/>
        </w:rPr>
      </w:pPr>
      <w:r w:rsidRPr="00183CC4">
        <w:rPr>
          <w:szCs w:val="22"/>
        </w:rPr>
        <w:t xml:space="preserve">The eBCD </w:t>
      </w:r>
      <w:r w:rsidR="005968F8" w:rsidRPr="00183CC4">
        <w:rPr>
          <w:szCs w:val="22"/>
        </w:rPr>
        <w:t xml:space="preserve">that accompanies each </w:t>
      </w:r>
      <w:r w:rsidR="003A76F6" w:rsidRPr="00183CC4">
        <w:rPr>
          <w:szCs w:val="22"/>
        </w:rPr>
        <w:t>b</w:t>
      </w:r>
      <w:r w:rsidR="005968F8" w:rsidRPr="00183CC4">
        <w:rPr>
          <w:szCs w:val="22"/>
        </w:rPr>
        <w:t xml:space="preserve">luefin tuna produced through aquaculture shall clearly identify the origin of the fish as an aquaculture product and specify the aquaculture facility involved. To facilitate this, the eBCD </w:t>
      </w:r>
      <w:r w:rsidR="00906D6E" w:rsidRPr="00183CC4">
        <w:rPr>
          <w:szCs w:val="22"/>
        </w:rPr>
        <w:t>s</w:t>
      </w:r>
      <w:r w:rsidR="00F11A31" w:rsidRPr="00183CC4">
        <w:rPr>
          <w:szCs w:val="22"/>
        </w:rPr>
        <w:t xml:space="preserve">ystem </w:t>
      </w:r>
      <w:r w:rsidRPr="00183CC4">
        <w:rPr>
          <w:szCs w:val="22"/>
        </w:rPr>
        <w:t xml:space="preserve">rules </w:t>
      </w:r>
      <w:r w:rsidR="005968F8" w:rsidRPr="00183CC4">
        <w:rPr>
          <w:szCs w:val="22"/>
        </w:rPr>
        <w:t xml:space="preserve">shall </w:t>
      </w:r>
      <w:r w:rsidRPr="00183CC4">
        <w:rPr>
          <w:szCs w:val="22"/>
        </w:rPr>
        <w:t xml:space="preserve">be adjusted to </w:t>
      </w:r>
      <w:r w:rsidR="00B33674" w:rsidRPr="00183CC4">
        <w:rPr>
          <w:szCs w:val="22"/>
        </w:rPr>
        <w:t>allow the system</w:t>
      </w:r>
      <w:r w:rsidR="0043773D" w:rsidRPr="00183CC4">
        <w:rPr>
          <w:szCs w:val="22"/>
        </w:rPr>
        <w:t xml:space="preserve"> to register</w:t>
      </w:r>
      <w:r w:rsidRPr="00183CC4">
        <w:rPr>
          <w:szCs w:val="22"/>
        </w:rPr>
        <w:t xml:space="preserve"> the fish's origin, whether from an aquaculture facility or, if wild, from a trap or fishing vessel</w:t>
      </w:r>
      <w:r w:rsidR="00534E73" w:rsidRPr="00183CC4">
        <w:rPr>
          <w:szCs w:val="22"/>
        </w:rPr>
        <w:t>.</w:t>
      </w:r>
    </w:p>
    <w:p w14:paraId="0FC8CC61" w14:textId="77777777" w:rsidR="0047563C" w:rsidRPr="00183CC4" w:rsidRDefault="0047563C" w:rsidP="003A76F6">
      <w:pPr>
        <w:pStyle w:val="BodyText"/>
        <w:ind w:left="426"/>
        <w:jc w:val="both"/>
        <w:rPr>
          <w:szCs w:val="22"/>
        </w:rPr>
      </w:pPr>
    </w:p>
    <w:p w14:paraId="7EECE383" w14:textId="1A74F0FF" w:rsidR="0047563C" w:rsidRPr="00183CC4" w:rsidRDefault="0047563C" w:rsidP="00534E73">
      <w:pPr>
        <w:pStyle w:val="BodyText"/>
        <w:numPr>
          <w:ilvl w:val="0"/>
          <w:numId w:val="2"/>
        </w:numPr>
        <w:ind w:left="426" w:hanging="426"/>
        <w:jc w:val="both"/>
        <w:rPr>
          <w:szCs w:val="22"/>
        </w:rPr>
      </w:pPr>
      <w:r w:rsidRPr="00183CC4">
        <w:t xml:space="preserve">CPCs carrying out aquaculture activities shall </w:t>
      </w:r>
      <w:proofErr w:type="spellStart"/>
      <w:r w:rsidRPr="00183CC4">
        <w:t>endeavo</w:t>
      </w:r>
      <w:r w:rsidR="006B269D" w:rsidRPr="00183CC4">
        <w:t>u</w:t>
      </w:r>
      <w:r w:rsidRPr="00183CC4">
        <w:t>r</w:t>
      </w:r>
      <w:proofErr w:type="spellEnd"/>
      <w:r w:rsidRPr="00183CC4">
        <w:t xml:space="preserve"> to </w:t>
      </w:r>
      <w:r w:rsidRPr="00183CC4">
        <w:rPr>
          <w:szCs w:val="22"/>
        </w:rPr>
        <w:t>implement</w:t>
      </w:r>
      <w:r w:rsidRPr="00183CC4">
        <w:t xml:space="preserve"> strict measure</w:t>
      </w:r>
      <w:r w:rsidR="008E5108" w:rsidRPr="00183CC4">
        <w:t>s</w:t>
      </w:r>
      <w:r w:rsidRPr="00183CC4">
        <w:t xml:space="preserve"> to ensure separation of wild and farmed bluefin tuna populations, including maintaining genetic monitoring, controlled broodstock selection, regulated hatchery practices, and enforced protocols to prevent genetic mixing.</w:t>
      </w:r>
    </w:p>
    <w:p w14:paraId="75F3867D" w14:textId="77777777" w:rsidR="003A76F6" w:rsidRPr="00183CC4" w:rsidRDefault="003A76F6" w:rsidP="00CA3B6D">
      <w:pPr>
        <w:pStyle w:val="BodyText"/>
        <w:jc w:val="both"/>
        <w:rPr>
          <w:szCs w:val="22"/>
        </w:rPr>
      </w:pPr>
    </w:p>
    <w:p w14:paraId="3C73BE54" w14:textId="38C99102" w:rsidR="0043773D" w:rsidRPr="00183CC4" w:rsidRDefault="0043773D" w:rsidP="00534E73">
      <w:pPr>
        <w:pStyle w:val="BodyText"/>
        <w:numPr>
          <w:ilvl w:val="0"/>
          <w:numId w:val="2"/>
        </w:numPr>
        <w:ind w:left="426" w:hanging="426"/>
        <w:jc w:val="both"/>
        <w:rPr>
          <w:szCs w:val="22"/>
        </w:rPr>
      </w:pPr>
      <w:r w:rsidRPr="00183CC4">
        <w:rPr>
          <w:szCs w:val="22"/>
        </w:rPr>
        <w:t xml:space="preserve">The </w:t>
      </w:r>
      <w:r w:rsidR="00A61B71" w:rsidRPr="00183CC4">
        <w:rPr>
          <w:szCs w:val="22"/>
        </w:rPr>
        <w:t xml:space="preserve">Standing </w:t>
      </w:r>
      <w:r w:rsidRPr="00183CC4">
        <w:rPr>
          <w:szCs w:val="22"/>
        </w:rPr>
        <w:t xml:space="preserve">Catch Document </w:t>
      </w:r>
      <w:r w:rsidR="00A61B71" w:rsidRPr="00183CC4">
        <w:rPr>
          <w:szCs w:val="22"/>
        </w:rPr>
        <w:t>Scheme W</w:t>
      </w:r>
      <w:r w:rsidRPr="00183CC4">
        <w:rPr>
          <w:szCs w:val="22"/>
        </w:rPr>
        <w:t xml:space="preserve">orking Group </w:t>
      </w:r>
      <w:r w:rsidR="00F11A31" w:rsidRPr="00183CC4">
        <w:rPr>
          <w:szCs w:val="22"/>
        </w:rPr>
        <w:t xml:space="preserve">(CDS WG) </w:t>
      </w:r>
      <w:r w:rsidR="00E5051C" w:rsidRPr="00183CC4">
        <w:rPr>
          <w:szCs w:val="22"/>
        </w:rPr>
        <w:t xml:space="preserve">shall </w:t>
      </w:r>
      <w:proofErr w:type="spellStart"/>
      <w:r w:rsidR="0098263B" w:rsidRPr="00183CC4">
        <w:rPr>
          <w:szCs w:val="22"/>
        </w:rPr>
        <w:t>endeavo</w:t>
      </w:r>
      <w:r w:rsidR="004076B3" w:rsidRPr="00183CC4">
        <w:rPr>
          <w:szCs w:val="22"/>
        </w:rPr>
        <w:t>u</w:t>
      </w:r>
      <w:r w:rsidR="0098263B" w:rsidRPr="00183CC4">
        <w:rPr>
          <w:szCs w:val="22"/>
        </w:rPr>
        <w:t>r</w:t>
      </w:r>
      <w:proofErr w:type="spellEnd"/>
      <w:r w:rsidRPr="00183CC4">
        <w:rPr>
          <w:szCs w:val="22"/>
        </w:rPr>
        <w:t xml:space="preserve"> to propose the </w:t>
      </w:r>
      <w:r w:rsidR="0098263B" w:rsidRPr="00183CC4">
        <w:rPr>
          <w:szCs w:val="22"/>
        </w:rPr>
        <w:t>necessary</w:t>
      </w:r>
      <w:r w:rsidRPr="00183CC4">
        <w:rPr>
          <w:szCs w:val="22"/>
        </w:rPr>
        <w:t xml:space="preserve"> revisions to R</w:t>
      </w:r>
      <w:r w:rsidR="00A61B71" w:rsidRPr="00183CC4">
        <w:rPr>
          <w:szCs w:val="22"/>
        </w:rPr>
        <w:t>ecommendations</w:t>
      </w:r>
      <w:r w:rsidRPr="00183CC4">
        <w:rPr>
          <w:szCs w:val="22"/>
        </w:rPr>
        <w:t xml:space="preserve"> 2</w:t>
      </w:r>
      <w:r w:rsidR="0042135C" w:rsidRPr="00183CC4">
        <w:rPr>
          <w:szCs w:val="22"/>
        </w:rPr>
        <w:t>4</w:t>
      </w:r>
      <w:r w:rsidR="00B304B0" w:rsidRPr="00183CC4">
        <w:rPr>
          <w:szCs w:val="22"/>
        </w:rPr>
        <w:t>-16</w:t>
      </w:r>
      <w:r w:rsidRPr="00183CC4">
        <w:rPr>
          <w:szCs w:val="22"/>
        </w:rPr>
        <w:t xml:space="preserve"> and 23-21 to </w:t>
      </w:r>
      <w:r w:rsidR="00A61B71" w:rsidRPr="00183CC4">
        <w:rPr>
          <w:szCs w:val="22"/>
        </w:rPr>
        <w:t>incorporate</w:t>
      </w:r>
      <w:r w:rsidRPr="00183CC4">
        <w:rPr>
          <w:szCs w:val="22"/>
        </w:rPr>
        <w:t xml:space="preserve"> the </w:t>
      </w:r>
      <w:r w:rsidR="0098263B" w:rsidRPr="00183CC4">
        <w:rPr>
          <w:szCs w:val="22"/>
        </w:rPr>
        <w:t>requirements</w:t>
      </w:r>
      <w:r w:rsidRPr="00183CC4">
        <w:rPr>
          <w:szCs w:val="22"/>
        </w:rPr>
        <w:t xml:space="preserve"> of paragraph</w:t>
      </w:r>
      <w:r w:rsidR="005968F8" w:rsidRPr="00183CC4">
        <w:rPr>
          <w:szCs w:val="22"/>
        </w:rPr>
        <w:t>s 4 and 5</w:t>
      </w:r>
      <w:r w:rsidR="00E80DD4" w:rsidRPr="00183CC4">
        <w:rPr>
          <w:szCs w:val="22"/>
        </w:rPr>
        <w:t xml:space="preserve"> for the Commission’s consideration in 202</w:t>
      </w:r>
      <w:r w:rsidR="00BE42AF" w:rsidRPr="00183CC4">
        <w:rPr>
          <w:szCs w:val="22"/>
        </w:rPr>
        <w:t>5</w:t>
      </w:r>
      <w:r w:rsidRPr="00183CC4">
        <w:rPr>
          <w:szCs w:val="22"/>
        </w:rPr>
        <w:t>.</w:t>
      </w:r>
    </w:p>
    <w:p w14:paraId="2DFCF954" w14:textId="77777777" w:rsidR="0047563C" w:rsidRPr="00183CC4" w:rsidRDefault="0047563C" w:rsidP="003A76F6">
      <w:pPr>
        <w:pStyle w:val="BodyText"/>
        <w:jc w:val="both"/>
        <w:rPr>
          <w:szCs w:val="22"/>
        </w:rPr>
      </w:pPr>
    </w:p>
    <w:p w14:paraId="2F2C8B85" w14:textId="6C89F6AA" w:rsidR="00605CDC" w:rsidRPr="00183CC4" w:rsidRDefault="00E80DD4" w:rsidP="00534E73">
      <w:pPr>
        <w:pStyle w:val="BodyText"/>
        <w:numPr>
          <w:ilvl w:val="0"/>
          <w:numId w:val="2"/>
        </w:numPr>
        <w:ind w:left="426" w:hanging="426"/>
        <w:jc w:val="both"/>
        <w:rPr>
          <w:szCs w:val="22"/>
        </w:rPr>
      </w:pPr>
      <w:r w:rsidRPr="00183CC4">
        <w:rPr>
          <w:szCs w:val="22"/>
        </w:rPr>
        <w:t>At its meeting in 2027 t</w:t>
      </w:r>
      <w:r w:rsidR="00605CDC" w:rsidRPr="00183CC4">
        <w:rPr>
          <w:szCs w:val="22"/>
        </w:rPr>
        <w:t xml:space="preserve">he </w:t>
      </w:r>
      <w:r w:rsidRPr="00183CC4">
        <w:rPr>
          <w:szCs w:val="22"/>
        </w:rPr>
        <w:t>C</w:t>
      </w:r>
      <w:r w:rsidR="00605CDC" w:rsidRPr="00183CC4">
        <w:rPr>
          <w:szCs w:val="22"/>
        </w:rPr>
        <w:t xml:space="preserve">ommission shall </w:t>
      </w:r>
      <w:r w:rsidRPr="00183CC4">
        <w:rPr>
          <w:szCs w:val="22"/>
        </w:rPr>
        <w:t xml:space="preserve">review the implementation of this </w:t>
      </w:r>
      <w:r w:rsidR="00F621D6" w:rsidRPr="00183CC4">
        <w:rPr>
          <w:szCs w:val="22"/>
        </w:rPr>
        <w:t>Recommendation and</w:t>
      </w:r>
      <w:r w:rsidRPr="00183CC4">
        <w:rPr>
          <w:szCs w:val="22"/>
        </w:rPr>
        <w:t xml:space="preserve"> consider </w:t>
      </w:r>
      <w:r w:rsidR="00605CDC" w:rsidRPr="00183CC4">
        <w:rPr>
          <w:szCs w:val="22"/>
        </w:rPr>
        <w:t>ask</w:t>
      </w:r>
      <w:r w:rsidRPr="00183CC4">
        <w:rPr>
          <w:szCs w:val="22"/>
        </w:rPr>
        <w:t>ing</w:t>
      </w:r>
      <w:r w:rsidR="00605CDC" w:rsidRPr="00183CC4">
        <w:rPr>
          <w:szCs w:val="22"/>
        </w:rPr>
        <w:t xml:space="preserve"> the SCRS to </w:t>
      </w:r>
      <w:r w:rsidR="0047563C" w:rsidRPr="00183CC4">
        <w:rPr>
          <w:szCs w:val="22"/>
        </w:rPr>
        <w:t>assess</w:t>
      </w:r>
      <w:r w:rsidR="00605CDC" w:rsidRPr="00183CC4">
        <w:rPr>
          <w:szCs w:val="22"/>
        </w:rPr>
        <w:t xml:space="preserve"> the </w:t>
      </w:r>
      <w:r w:rsidR="0047563C" w:rsidRPr="00183CC4">
        <w:rPr>
          <w:szCs w:val="22"/>
        </w:rPr>
        <w:t xml:space="preserve">potential </w:t>
      </w:r>
      <w:r w:rsidR="00605CDC" w:rsidRPr="00183CC4">
        <w:rPr>
          <w:szCs w:val="22"/>
        </w:rPr>
        <w:t>impacts of bluefin tuna aquaculture</w:t>
      </w:r>
      <w:r w:rsidRPr="00183CC4">
        <w:rPr>
          <w:szCs w:val="22"/>
        </w:rPr>
        <w:t xml:space="preserve"> undertaken under this Recommendation</w:t>
      </w:r>
      <w:r w:rsidR="00605CDC" w:rsidRPr="00183CC4">
        <w:rPr>
          <w:szCs w:val="22"/>
        </w:rPr>
        <w:t xml:space="preserve"> on the genetics of the wild stock </w:t>
      </w:r>
      <w:r w:rsidRPr="00183CC4">
        <w:rPr>
          <w:szCs w:val="22"/>
        </w:rPr>
        <w:t xml:space="preserve">and </w:t>
      </w:r>
      <w:r w:rsidR="00605CDC" w:rsidRPr="00183CC4">
        <w:rPr>
          <w:szCs w:val="22"/>
        </w:rPr>
        <w:t>on the ecosystem</w:t>
      </w:r>
      <w:r w:rsidR="003A76F6" w:rsidRPr="00183CC4">
        <w:rPr>
          <w:szCs w:val="22"/>
        </w:rPr>
        <w:t>.</w:t>
      </w:r>
    </w:p>
    <w:p w14:paraId="190ADDED" w14:textId="77777777" w:rsidR="0043773D" w:rsidRPr="00183CC4" w:rsidRDefault="0043773D" w:rsidP="00534E73">
      <w:pPr>
        <w:pStyle w:val="BodyText"/>
        <w:ind w:left="426"/>
        <w:jc w:val="both"/>
        <w:rPr>
          <w:szCs w:val="22"/>
        </w:rPr>
      </w:pPr>
    </w:p>
    <w:p w14:paraId="378233D2" w14:textId="64400AF1" w:rsidR="0043773D" w:rsidRPr="00183CC4" w:rsidRDefault="0098263B" w:rsidP="00534E73">
      <w:pPr>
        <w:pStyle w:val="BodyText"/>
        <w:numPr>
          <w:ilvl w:val="0"/>
          <w:numId w:val="2"/>
        </w:numPr>
        <w:ind w:left="426" w:hanging="426"/>
        <w:jc w:val="both"/>
        <w:rPr>
          <w:szCs w:val="22"/>
        </w:rPr>
      </w:pPr>
      <w:r w:rsidRPr="00183CC4">
        <w:rPr>
          <w:szCs w:val="22"/>
        </w:rPr>
        <w:t>ICCAT</w:t>
      </w:r>
      <w:r w:rsidR="0043773D" w:rsidRPr="00183CC4">
        <w:rPr>
          <w:szCs w:val="22"/>
        </w:rPr>
        <w:t xml:space="preserve"> Panel 2 shall </w:t>
      </w:r>
      <w:proofErr w:type="spellStart"/>
      <w:r w:rsidRPr="00183CC4">
        <w:rPr>
          <w:szCs w:val="22"/>
        </w:rPr>
        <w:t>endeavo</w:t>
      </w:r>
      <w:r w:rsidR="005D79D4" w:rsidRPr="00183CC4">
        <w:rPr>
          <w:szCs w:val="22"/>
        </w:rPr>
        <w:t>u</w:t>
      </w:r>
      <w:r w:rsidRPr="00183CC4">
        <w:rPr>
          <w:szCs w:val="22"/>
        </w:rPr>
        <w:t>r</w:t>
      </w:r>
      <w:proofErr w:type="spellEnd"/>
      <w:r w:rsidR="0043773D" w:rsidRPr="00183CC4">
        <w:rPr>
          <w:szCs w:val="22"/>
        </w:rPr>
        <w:t xml:space="preserve"> to </w:t>
      </w:r>
      <w:r w:rsidR="00D3623E" w:rsidRPr="00183CC4">
        <w:rPr>
          <w:szCs w:val="22"/>
        </w:rPr>
        <w:t>propose</w:t>
      </w:r>
      <w:r w:rsidR="00732227" w:rsidRPr="00183CC4">
        <w:rPr>
          <w:szCs w:val="22"/>
        </w:rPr>
        <w:t xml:space="preserve"> to</w:t>
      </w:r>
      <w:r w:rsidR="0008669B" w:rsidRPr="00183CC4">
        <w:rPr>
          <w:szCs w:val="22"/>
        </w:rPr>
        <w:t xml:space="preserve"> the</w:t>
      </w:r>
      <w:r w:rsidR="00732227" w:rsidRPr="00183CC4">
        <w:rPr>
          <w:szCs w:val="22"/>
        </w:rPr>
        <w:t xml:space="preserve"> ICCAT Commission </w:t>
      </w:r>
      <w:r w:rsidR="0043773D" w:rsidRPr="00183CC4">
        <w:rPr>
          <w:szCs w:val="22"/>
        </w:rPr>
        <w:t xml:space="preserve">the </w:t>
      </w:r>
      <w:r w:rsidR="00A61B71" w:rsidRPr="00183CC4">
        <w:rPr>
          <w:szCs w:val="22"/>
        </w:rPr>
        <w:t>necessary amendments</w:t>
      </w:r>
      <w:r w:rsidR="0043773D" w:rsidRPr="00183CC4">
        <w:rPr>
          <w:szCs w:val="22"/>
        </w:rPr>
        <w:t xml:space="preserve"> to R</w:t>
      </w:r>
      <w:r w:rsidR="00A61B71" w:rsidRPr="00183CC4">
        <w:rPr>
          <w:szCs w:val="22"/>
        </w:rPr>
        <w:t>ecommendation</w:t>
      </w:r>
      <w:r w:rsidR="0043773D" w:rsidRPr="00183CC4">
        <w:rPr>
          <w:szCs w:val="22"/>
        </w:rPr>
        <w:t xml:space="preserve"> </w:t>
      </w:r>
      <w:r w:rsidR="00A25210" w:rsidRPr="00183CC4">
        <w:rPr>
          <w:szCs w:val="22"/>
        </w:rPr>
        <w:t>24-</w:t>
      </w:r>
      <w:r w:rsidR="00762106" w:rsidRPr="00183CC4">
        <w:rPr>
          <w:szCs w:val="22"/>
        </w:rPr>
        <w:t>05</w:t>
      </w:r>
      <w:r w:rsidR="0043773D" w:rsidRPr="00183CC4">
        <w:rPr>
          <w:szCs w:val="22"/>
        </w:rPr>
        <w:t xml:space="preserve"> </w:t>
      </w:r>
      <w:r w:rsidRPr="00183CC4">
        <w:rPr>
          <w:szCs w:val="22"/>
        </w:rPr>
        <w:t>to cater for the inclusion of a</w:t>
      </w:r>
      <w:r w:rsidR="0030076C" w:rsidRPr="00183CC4">
        <w:rPr>
          <w:szCs w:val="22"/>
        </w:rPr>
        <w:t>n</w:t>
      </w:r>
      <w:r w:rsidRPr="00183CC4">
        <w:rPr>
          <w:szCs w:val="22"/>
        </w:rPr>
        <w:t xml:space="preserve"> </w:t>
      </w:r>
      <w:r w:rsidR="00F11A31" w:rsidRPr="00183CC4">
        <w:rPr>
          <w:szCs w:val="22"/>
        </w:rPr>
        <w:t xml:space="preserve">Aquaculture </w:t>
      </w:r>
      <w:r w:rsidRPr="00183CC4">
        <w:rPr>
          <w:szCs w:val="22"/>
        </w:rPr>
        <w:t xml:space="preserve">plan into the annual </w:t>
      </w:r>
      <w:r w:rsidR="00F11A31" w:rsidRPr="00183CC4">
        <w:rPr>
          <w:szCs w:val="22"/>
        </w:rPr>
        <w:t>bluefin tuna</w:t>
      </w:r>
      <w:r w:rsidRPr="00183CC4">
        <w:rPr>
          <w:szCs w:val="22"/>
        </w:rPr>
        <w:t xml:space="preserve"> plan.</w:t>
      </w:r>
    </w:p>
    <w:p w14:paraId="662BD3FB" w14:textId="77777777" w:rsidR="003A76F6" w:rsidRPr="00183CC4" w:rsidRDefault="003A76F6" w:rsidP="003A76F6">
      <w:pPr>
        <w:pStyle w:val="ListParagraph"/>
      </w:pPr>
    </w:p>
    <w:p w14:paraId="7CA5B375" w14:textId="2D5E4B80" w:rsidR="001C059D" w:rsidRPr="00183CC4" w:rsidRDefault="001C059D" w:rsidP="003A76F6">
      <w:pPr>
        <w:pStyle w:val="BodyText"/>
        <w:numPr>
          <w:ilvl w:val="0"/>
          <w:numId w:val="2"/>
        </w:numPr>
        <w:ind w:left="426" w:hanging="426"/>
        <w:jc w:val="both"/>
        <w:rPr>
          <w:szCs w:val="22"/>
        </w:rPr>
      </w:pPr>
      <w:r w:rsidRPr="00183CC4">
        <w:rPr>
          <w:szCs w:val="22"/>
        </w:rPr>
        <w:t>Relevant provisions of Recommendation 2</w:t>
      </w:r>
      <w:r w:rsidR="00B304B0" w:rsidRPr="00183CC4">
        <w:rPr>
          <w:szCs w:val="22"/>
        </w:rPr>
        <w:t>4</w:t>
      </w:r>
      <w:r w:rsidRPr="00183CC4">
        <w:rPr>
          <w:szCs w:val="22"/>
        </w:rPr>
        <w:t>-0</w:t>
      </w:r>
      <w:r w:rsidR="00B304B0" w:rsidRPr="00183CC4">
        <w:rPr>
          <w:szCs w:val="22"/>
        </w:rPr>
        <w:t>5</w:t>
      </w:r>
      <w:r w:rsidRPr="00183CC4">
        <w:rPr>
          <w:szCs w:val="22"/>
        </w:rPr>
        <w:t>, notably</w:t>
      </w:r>
      <w:r w:rsidR="00F5672D" w:rsidRPr="00183CC4">
        <w:rPr>
          <w:szCs w:val="22"/>
        </w:rPr>
        <w:t xml:space="preserve"> paragraph </w:t>
      </w:r>
      <w:r w:rsidR="00116EBD" w:rsidRPr="00183CC4">
        <w:rPr>
          <w:szCs w:val="22"/>
        </w:rPr>
        <w:t xml:space="preserve">10 </w:t>
      </w:r>
      <w:r w:rsidRPr="00183CC4">
        <w:rPr>
          <w:szCs w:val="22"/>
        </w:rPr>
        <w:t>shall apply to aquaculture activity of bluefin tuna carried out in</w:t>
      </w:r>
      <w:r w:rsidR="00BD4C27" w:rsidRPr="00183CC4">
        <w:rPr>
          <w:szCs w:val="22"/>
        </w:rPr>
        <w:t xml:space="preserve"> the</w:t>
      </w:r>
      <w:r w:rsidRPr="00183CC4">
        <w:rPr>
          <w:szCs w:val="22"/>
        </w:rPr>
        <w:t xml:space="preserve"> ICCAT </w:t>
      </w:r>
      <w:r w:rsidR="003A76F6" w:rsidRPr="00183CC4">
        <w:rPr>
          <w:szCs w:val="22"/>
        </w:rPr>
        <w:t>C</w:t>
      </w:r>
      <w:r w:rsidRPr="00183CC4">
        <w:rPr>
          <w:szCs w:val="22"/>
        </w:rPr>
        <w:t>onvention area</w:t>
      </w:r>
      <w:r w:rsidR="003A76F6" w:rsidRPr="00183CC4">
        <w:rPr>
          <w:szCs w:val="22"/>
        </w:rPr>
        <w:t>.</w:t>
      </w:r>
    </w:p>
    <w:p w14:paraId="6EFC1A19" w14:textId="77777777" w:rsidR="002A48B4" w:rsidRPr="00183CC4" w:rsidRDefault="002A48B4">
      <w:pPr>
        <w:pStyle w:val="BodyText"/>
      </w:pPr>
    </w:p>
    <w:p w14:paraId="58822CA3" w14:textId="77777777" w:rsidR="002A48B4" w:rsidRPr="00183CC4" w:rsidRDefault="002A48B4">
      <w:pPr>
        <w:pStyle w:val="BodyText"/>
      </w:pPr>
    </w:p>
    <w:p w14:paraId="14F7574A" w14:textId="77777777" w:rsidR="002A48B4" w:rsidRPr="00183CC4" w:rsidRDefault="002A48B4">
      <w:pPr>
        <w:pStyle w:val="BodyText"/>
      </w:pPr>
    </w:p>
    <w:p w14:paraId="6FDC5ED6" w14:textId="77777777" w:rsidR="002A48B4" w:rsidRPr="00183CC4" w:rsidRDefault="002A48B4">
      <w:pPr>
        <w:pStyle w:val="BodyText"/>
      </w:pPr>
    </w:p>
    <w:p w14:paraId="742F3758" w14:textId="77777777" w:rsidR="002A48B4" w:rsidRPr="00183CC4" w:rsidRDefault="002A48B4">
      <w:pPr>
        <w:pStyle w:val="BodyText"/>
      </w:pPr>
    </w:p>
    <w:p w14:paraId="2892110E" w14:textId="77777777" w:rsidR="002A48B4" w:rsidRPr="00183CC4" w:rsidRDefault="002A48B4">
      <w:pPr>
        <w:pStyle w:val="BodyText"/>
        <w:spacing w:before="10"/>
        <w:rPr>
          <w:sz w:val="18"/>
        </w:rPr>
      </w:pPr>
    </w:p>
    <w:p w14:paraId="06A50A93" w14:textId="163A381D" w:rsidR="002A48B4" w:rsidRPr="00183CC4" w:rsidRDefault="002A48B4">
      <w:pPr>
        <w:pStyle w:val="BodyText"/>
        <w:ind w:left="830" w:right="830"/>
        <w:jc w:val="center"/>
      </w:pPr>
    </w:p>
    <w:sectPr w:rsidR="002A48B4" w:rsidRPr="00183CC4" w:rsidSect="00D22547">
      <w:footerReference w:type="default" r:id="rId11"/>
      <w:type w:val="continuous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D1A41" w14:textId="77777777" w:rsidR="00470B05" w:rsidRDefault="00470B05" w:rsidP="00D22547">
      <w:r>
        <w:separator/>
      </w:r>
    </w:p>
  </w:endnote>
  <w:endnote w:type="continuationSeparator" w:id="0">
    <w:p w14:paraId="4AC22C23" w14:textId="77777777" w:rsidR="00470B05" w:rsidRDefault="00470B05" w:rsidP="00D2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AACF5" w14:textId="684EA00A" w:rsidR="00D22547" w:rsidRPr="00D22547" w:rsidRDefault="00000000" w:rsidP="00D22547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eastAsia="Calibri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D22547" w:rsidRPr="00713AD4">
          <w:rPr>
            <w:rFonts w:eastAsia="Calibri" w:cs="Calibri"/>
            <w:sz w:val="20"/>
            <w:szCs w:val="20"/>
          </w:rPr>
          <w:fldChar w:fldCharType="begin"/>
        </w:r>
        <w:r w:rsidR="00D22547" w:rsidRPr="00713AD4">
          <w:rPr>
            <w:rFonts w:eastAsia="Calibri" w:cs="Calibri"/>
            <w:sz w:val="20"/>
            <w:szCs w:val="20"/>
          </w:rPr>
          <w:instrText xml:space="preserve"> PAGE </w:instrText>
        </w:r>
        <w:r w:rsidR="00D22547" w:rsidRPr="00713AD4">
          <w:rPr>
            <w:rFonts w:eastAsia="Calibri" w:cs="Calibri"/>
            <w:sz w:val="20"/>
            <w:szCs w:val="20"/>
          </w:rPr>
          <w:fldChar w:fldCharType="separate"/>
        </w:r>
        <w:r w:rsidR="00E5051C">
          <w:rPr>
            <w:rFonts w:eastAsia="Calibri" w:cs="Calibri"/>
            <w:noProof/>
            <w:sz w:val="20"/>
            <w:szCs w:val="20"/>
          </w:rPr>
          <w:t>3</w:t>
        </w:r>
        <w:r w:rsidR="00D22547" w:rsidRPr="00713AD4">
          <w:rPr>
            <w:rFonts w:eastAsia="Calibri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7D6B9" w14:textId="77777777" w:rsidR="00470B05" w:rsidRDefault="00470B05" w:rsidP="00D22547">
      <w:r>
        <w:separator/>
      </w:r>
    </w:p>
  </w:footnote>
  <w:footnote w:type="continuationSeparator" w:id="0">
    <w:p w14:paraId="4828143B" w14:textId="77777777" w:rsidR="00470B05" w:rsidRDefault="00470B05" w:rsidP="00D2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E83"/>
    <w:multiLevelType w:val="hybridMultilevel"/>
    <w:tmpl w:val="6A989FE2"/>
    <w:lvl w:ilvl="0" w:tplc="040C001B">
      <w:start w:val="1"/>
      <w:numFmt w:val="lowerRoman"/>
      <w:lvlText w:val="%1."/>
      <w:lvlJc w:val="righ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56626"/>
    <w:multiLevelType w:val="hybridMultilevel"/>
    <w:tmpl w:val="054EEBB6"/>
    <w:lvl w:ilvl="0" w:tplc="1809000F">
      <w:start w:val="1"/>
      <w:numFmt w:val="decimal"/>
      <w:lvlText w:val="%1."/>
      <w:lvlJc w:val="left"/>
      <w:pPr>
        <w:ind w:left="4188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667F6"/>
    <w:multiLevelType w:val="hybridMultilevel"/>
    <w:tmpl w:val="0A84C736"/>
    <w:lvl w:ilvl="0" w:tplc="F69ED1CA">
      <w:start w:val="1"/>
      <w:numFmt w:val="decimal"/>
      <w:lvlText w:val="%1."/>
      <w:lvlJc w:val="left"/>
      <w:pPr>
        <w:ind w:left="544" w:hanging="426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1" w:tplc="B43871BE">
      <w:numFmt w:val="bullet"/>
      <w:lvlText w:val="•"/>
      <w:lvlJc w:val="left"/>
      <w:pPr>
        <w:ind w:left="1416" w:hanging="426"/>
      </w:pPr>
      <w:rPr>
        <w:rFonts w:hint="default"/>
        <w:lang w:val="en-US" w:eastAsia="en-US" w:bidi="ar-SA"/>
      </w:rPr>
    </w:lvl>
    <w:lvl w:ilvl="2" w:tplc="291EEA52">
      <w:numFmt w:val="bullet"/>
      <w:lvlText w:val="•"/>
      <w:lvlJc w:val="left"/>
      <w:pPr>
        <w:ind w:left="2293" w:hanging="426"/>
      </w:pPr>
      <w:rPr>
        <w:rFonts w:hint="default"/>
        <w:lang w:val="en-US" w:eastAsia="en-US" w:bidi="ar-SA"/>
      </w:rPr>
    </w:lvl>
    <w:lvl w:ilvl="3" w:tplc="03F2BF60">
      <w:numFmt w:val="bullet"/>
      <w:lvlText w:val="•"/>
      <w:lvlJc w:val="left"/>
      <w:pPr>
        <w:ind w:left="3170" w:hanging="426"/>
      </w:pPr>
      <w:rPr>
        <w:rFonts w:hint="default"/>
        <w:lang w:val="en-US" w:eastAsia="en-US" w:bidi="ar-SA"/>
      </w:rPr>
    </w:lvl>
    <w:lvl w:ilvl="4" w:tplc="4308E328">
      <w:numFmt w:val="bullet"/>
      <w:lvlText w:val="•"/>
      <w:lvlJc w:val="left"/>
      <w:pPr>
        <w:ind w:left="4047" w:hanging="426"/>
      </w:pPr>
      <w:rPr>
        <w:rFonts w:hint="default"/>
        <w:lang w:val="en-US" w:eastAsia="en-US" w:bidi="ar-SA"/>
      </w:rPr>
    </w:lvl>
    <w:lvl w:ilvl="5" w:tplc="00C26120">
      <w:numFmt w:val="bullet"/>
      <w:lvlText w:val="•"/>
      <w:lvlJc w:val="left"/>
      <w:pPr>
        <w:ind w:left="4923" w:hanging="426"/>
      </w:pPr>
      <w:rPr>
        <w:rFonts w:hint="default"/>
        <w:lang w:val="en-US" w:eastAsia="en-US" w:bidi="ar-SA"/>
      </w:rPr>
    </w:lvl>
    <w:lvl w:ilvl="6" w:tplc="6DFA9088">
      <w:numFmt w:val="bullet"/>
      <w:lvlText w:val="•"/>
      <w:lvlJc w:val="left"/>
      <w:pPr>
        <w:ind w:left="5800" w:hanging="426"/>
      </w:pPr>
      <w:rPr>
        <w:rFonts w:hint="default"/>
        <w:lang w:val="en-US" w:eastAsia="en-US" w:bidi="ar-SA"/>
      </w:rPr>
    </w:lvl>
    <w:lvl w:ilvl="7" w:tplc="4AEEDF04">
      <w:numFmt w:val="bullet"/>
      <w:lvlText w:val="•"/>
      <w:lvlJc w:val="left"/>
      <w:pPr>
        <w:ind w:left="6677" w:hanging="426"/>
      </w:pPr>
      <w:rPr>
        <w:rFonts w:hint="default"/>
        <w:lang w:val="en-US" w:eastAsia="en-US" w:bidi="ar-SA"/>
      </w:rPr>
    </w:lvl>
    <w:lvl w:ilvl="8" w:tplc="5F0CA26A">
      <w:numFmt w:val="bullet"/>
      <w:lvlText w:val="•"/>
      <w:lvlJc w:val="left"/>
      <w:pPr>
        <w:ind w:left="7554" w:hanging="426"/>
      </w:pPr>
      <w:rPr>
        <w:rFonts w:hint="default"/>
        <w:lang w:val="en-US" w:eastAsia="en-US" w:bidi="ar-SA"/>
      </w:rPr>
    </w:lvl>
  </w:abstractNum>
  <w:abstractNum w:abstractNumId="3" w15:restartNumberingAfterBreak="0">
    <w:nsid w:val="52A07879"/>
    <w:multiLevelType w:val="hybridMultilevel"/>
    <w:tmpl w:val="06D8F0E6"/>
    <w:lvl w:ilvl="0" w:tplc="2DCA1A24">
      <w:start w:val="1"/>
      <w:numFmt w:val="decimal"/>
      <w:lvlText w:val="%1."/>
      <w:lvlJc w:val="left"/>
      <w:pPr>
        <w:ind w:left="619" w:hanging="39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2ADCBA80">
      <w:numFmt w:val="bullet"/>
      <w:lvlText w:val="•"/>
      <w:lvlJc w:val="left"/>
      <w:pPr>
        <w:ind w:left="1438" w:hanging="394"/>
      </w:pPr>
      <w:rPr>
        <w:rFonts w:hint="default"/>
        <w:lang w:val="en-US" w:eastAsia="en-US" w:bidi="ar-SA"/>
      </w:rPr>
    </w:lvl>
    <w:lvl w:ilvl="2" w:tplc="6A26AB20">
      <w:numFmt w:val="bullet"/>
      <w:lvlText w:val="•"/>
      <w:lvlJc w:val="left"/>
      <w:pPr>
        <w:ind w:left="2256" w:hanging="394"/>
      </w:pPr>
      <w:rPr>
        <w:rFonts w:hint="default"/>
        <w:lang w:val="en-US" w:eastAsia="en-US" w:bidi="ar-SA"/>
      </w:rPr>
    </w:lvl>
    <w:lvl w:ilvl="3" w:tplc="7146F59C">
      <w:numFmt w:val="bullet"/>
      <w:lvlText w:val="•"/>
      <w:lvlJc w:val="left"/>
      <w:pPr>
        <w:ind w:left="3074" w:hanging="394"/>
      </w:pPr>
      <w:rPr>
        <w:rFonts w:hint="default"/>
        <w:lang w:val="en-US" w:eastAsia="en-US" w:bidi="ar-SA"/>
      </w:rPr>
    </w:lvl>
    <w:lvl w:ilvl="4" w:tplc="0D4EDD52">
      <w:numFmt w:val="bullet"/>
      <w:lvlText w:val="•"/>
      <w:lvlJc w:val="left"/>
      <w:pPr>
        <w:ind w:left="3892" w:hanging="394"/>
      </w:pPr>
      <w:rPr>
        <w:rFonts w:hint="default"/>
        <w:lang w:val="en-US" w:eastAsia="en-US" w:bidi="ar-SA"/>
      </w:rPr>
    </w:lvl>
    <w:lvl w:ilvl="5" w:tplc="26A6290C">
      <w:numFmt w:val="bullet"/>
      <w:lvlText w:val="•"/>
      <w:lvlJc w:val="left"/>
      <w:pPr>
        <w:ind w:left="4710" w:hanging="394"/>
      </w:pPr>
      <w:rPr>
        <w:rFonts w:hint="default"/>
        <w:lang w:val="en-US" w:eastAsia="en-US" w:bidi="ar-SA"/>
      </w:rPr>
    </w:lvl>
    <w:lvl w:ilvl="6" w:tplc="360E26B8">
      <w:numFmt w:val="bullet"/>
      <w:lvlText w:val="•"/>
      <w:lvlJc w:val="left"/>
      <w:pPr>
        <w:ind w:left="5528" w:hanging="394"/>
      </w:pPr>
      <w:rPr>
        <w:rFonts w:hint="default"/>
        <w:lang w:val="en-US" w:eastAsia="en-US" w:bidi="ar-SA"/>
      </w:rPr>
    </w:lvl>
    <w:lvl w:ilvl="7" w:tplc="DE585ADE">
      <w:numFmt w:val="bullet"/>
      <w:lvlText w:val="•"/>
      <w:lvlJc w:val="left"/>
      <w:pPr>
        <w:ind w:left="6346" w:hanging="394"/>
      </w:pPr>
      <w:rPr>
        <w:rFonts w:hint="default"/>
        <w:lang w:val="en-US" w:eastAsia="en-US" w:bidi="ar-SA"/>
      </w:rPr>
    </w:lvl>
    <w:lvl w:ilvl="8" w:tplc="6D803880">
      <w:numFmt w:val="bullet"/>
      <w:lvlText w:val="•"/>
      <w:lvlJc w:val="left"/>
      <w:pPr>
        <w:ind w:left="7164" w:hanging="394"/>
      </w:pPr>
      <w:rPr>
        <w:rFonts w:hint="default"/>
        <w:lang w:val="en-US" w:eastAsia="en-US" w:bidi="ar-SA"/>
      </w:rPr>
    </w:lvl>
  </w:abstractNum>
  <w:num w:numId="1" w16cid:durableId="1940484693">
    <w:abstractNumId w:val="2"/>
  </w:num>
  <w:num w:numId="2" w16cid:durableId="1703550974">
    <w:abstractNumId w:val="1"/>
  </w:num>
  <w:num w:numId="3" w16cid:durableId="1473866755">
    <w:abstractNumId w:val="3"/>
  </w:num>
  <w:num w:numId="4" w16cid:durableId="127856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DateAndTime/>
  <w:bordersDoNotSurroundHeader/>
  <w:bordersDoNotSurroundFooter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A48B4"/>
    <w:rsid w:val="00000040"/>
    <w:rsid w:val="00006881"/>
    <w:rsid w:val="00011399"/>
    <w:rsid w:val="000122BB"/>
    <w:rsid w:val="00014219"/>
    <w:rsid w:val="00046C7A"/>
    <w:rsid w:val="00055E41"/>
    <w:rsid w:val="000762B2"/>
    <w:rsid w:val="00081078"/>
    <w:rsid w:val="000811EF"/>
    <w:rsid w:val="0008669B"/>
    <w:rsid w:val="000A0A0B"/>
    <w:rsid w:val="000D7447"/>
    <w:rsid w:val="000F31AA"/>
    <w:rsid w:val="000F6FDB"/>
    <w:rsid w:val="00114C0B"/>
    <w:rsid w:val="00116EBD"/>
    <w:rsid w:val="0013012B"/>
    <w:rsid w:val="00156212"/>
    <w:rsid w:val="00167C59"/>
    <w:rsid w:val="0017511A"/>
    <w:rsid w:val="00183CC4"/>
    <w:rsid w:val="001858D9"/>
    <w:rsid w:val="00196017"/>
    <w:rsid w:val="001A153E"/>
    <w:rsid w:val="001C059D"/>
    <w:rsid w:val="002056C8"/>
    <w:rsid w:val="00221ED3"/>
    <w:rsid w:val="002224AA"/>
    <w:rsid w:val="002236FB"/>
    <w:rsid w:val="00224C2D"/>
    <w:rsid w:val="00237285"/>
    <w:rsid w:val="00241A1E"/>
    <w:rsid w:val="00241FBF"/>
    <w:rsid w:val="00254E32"/>
    <w:rsid w:val="00261292"/>
    <w:rsid w:val="002777B8"/>
    <w:rsid w:val="00287284"/>
    <w:rsid w:val="002A48B4"/>
    <w:rsid w:val="002B1B87"/>
    <w:rsid w:val="002C432A"/>
    <w:rsid w:val="002C53DA"/>
    <w:rsid w:val="002E1307"/>
    <w:rsid w:val="002E4D9C"/>
    <w:rsid w:val="0030076C"/>
    <w:rsid w:val="003113B4"/>
    <w:rsid w:val="003122C3"/>
    <w:rsid w:val="003138DF"/>
    <w:rsid w:val="00325A28"/>
    <w:rsid w:val="00335D27"/>
    <w:rsid w:val="00344A9E"/>
    <w:rsid w:val="00347977"/>
    <w:rsid w:val="003624A0"/>
    <w:rsid w:val="00366501"/>
    <w:rsid w:val="00395375"/>
    <w:rsid w:val="003A2ADE"/>
    <w:rsid w:val="003A31C0"/>
    <w:rsid w:val="003A76F6"/>
    <w:rsid w:val="003B42FF"/>
    <w:rsid w:val="003B5ECB"/>
    <w:rsid w:val="003C03B7"/>
    <w:rsid w:val="003C5CC1"/>
    <w:rsid w:val="004013A9"/>
    <w:rsid w:val="0040429F"/>
    <w:rsid w:val="00405BA4"/>
    <w:rsid w:val="004070DD"/>
    <w:rsid w:val="00407575"/>
    <w:rsid w:val="004076B3"/>
    <w:rsid w:val="004157F0"/>
    <w:rsid w:val="0042135C"/>
    <w:rsid w:val="00430701"/>
    <w:rsid w:val="00431341"/>
    <w:rsid w:val="0043773D"/>
    <w:rsid w:val="00444E11"/>
    <w:rsid w:val="00452118"/>
    <w:rsid w:val="004569D2"/>
    <w:rsid w:val="00457928"/>
    <w:rsid w:val="00470B05"/>
    <w:rsid w:val="0047563C"/>
    <w:rsid w:val="00495A16"/>
    <w:rsid w:val="004D4438"/>
    <w:rsid w:val="004E0DDF"/>
    <w:rsid w:val="004E54B2"/>
    <w:rsid w:val="004E70C5"/>
    <w:rsid w:val="00500875"/>
    <w:rsid w:val="00511914"/>
    <w:rsid w:val="00522328"/>
    <w:rsid w:val="00522E96"/>
    <w:rsid w:val="00534E73"/>
    <w:rsid w:val="00540C58"/>
    <w:rsid w:val="00561414"/>
    <w:rsid w:val="005679D5"/>
    <w:rsid w:val="00591093"/>
    <w:rsid w:val="00594D87"/>
    <w:rsid w:val="005968F8"/>
    <w:rsid w:val="005A0109"/>
    <w:rsid w:val="005B0D08"/>
    <w:rsid w:val="005D1FCD"/>
    <w:rsid w:val="005D380F"/>
    <w:rsid w:val="005D79D4"/>
    <w:rsid w:val="005E718D"/>
    <w:rsid w:val="00605CDC"/>
    <w:rsid w:val="006130CD"/>
    <w:rsid w:val="006573E4"/>
    <w:rsid w:val="00673598"/>
    <w:rsid w:val="006835DB"/>
    <w:rsid w:val="006854F0"/>
    <w:rsid w:val="00694998"/>
    <w:rsid w:val="006979B2"/>
    <w:rsid w:val="006B269D"/>
    <w:rsid w:val="006B64C6"/>
    <w:rsid w:val="006C749B"/>
    <w:rsid w:val="006E4B35"/>
    <w:rsid w:val="006E6327"/>
    <w:rsid w:val="00717813"/>
    <w:rsid w:val="007260B1"/>
    <w:rsid w:val="007273A8"/>
    <w:rsid w:val="00732227"/>
    <w:rsid w:val="007446D7"/>
    <w:rsid w:val="00750B08"/>
    <w:rsid w:val="00755FD5"/>
    <w:rsid w:val="0076029A"/>
    <w:rsid w:val="00762106"/>
    <w:rsid w:val="00773C57"/>
    <w:rsid w:val="00783972"/>
    <w:rsid w:val="007A7D96"/>
    <w:rsid w:val="007C7EA1"/>
    <w:rsid w:val="007E1B1E"/>
    <w:rsid w:val="007F3A25"/>
    <w:rsid w:val="00804E23"/>
    <w:rsid w:val="00815E92"/>
    <w:rsid w:val="00852000"/>
    <w:rsid w:val="00881344"/>
    <w:rsid w:val="008923CB"/>
    <w:rsid w:val="008B35EF"/>
    <w:rsid w:val="008C2CDE"/>
    <w:rsid w:val="008C643B"/>
    <w:rsid w:val="008D39FD"/>
    <w:rsid w:val="008E5108"/>
    <w:rsid w:val="008F106D"/>
    <w:rsid w:val="00906D6E"/>
    <w:rsid w:val="009363BD"/>
    <w:rsid w:val="00950B64"/>
    <w:rsid w:val="009646D4"/>
    <w:rsid w:val="0097153D"/>
    <w:rsid w:val="0097456C"/>
    <w:rsid w:val="0098263B"/>
    <w:rsid w:val="00985202"/>
    <w:rsid w:val="009B1E71"/>
    <w:rsid w:val="009B3A08"/>
    <w:rsid w:val="009D02C4"/>
    <w:rsid w:val="009D271E"/>
    <w:rsid w:val="009D62D7"/>
    <w:rsid w:val="009E1FEE"/>
    <w:rsid w:val="009F38CA"/>
    <w:rsid w:val="00A00980"/>
    <w:rsid w:val="00A2164D"/>
    <w:rsid w:val="00A23F66"/>
    <w:rsid w:val="00A25210"/>
    <w:rsid w:val="00A31AB6"/>
    <w:rsid w:val="00A35F39"/>
    <w:rsid w:val="00A40FCD"/>
    <w:rsid w:val="00A61B71"/>
    <w:rsid w:val="00A82083"/>
    <w:rsid w:val="00A84D43"/>
    <w:rsid w:val="00A85643"/>
    <w:rsid w:val="00A9376B"/>
    <w:rsid w:val="00AA6B17"/>
    <w:rsid w:val="00AB23B9"/>
    <w:rsid w:val="00AB61C7"/>
    <w:rsid w:val="00AF0A4E"/>
    <w:rsid w:val="00AF5E32"/>
    <w:rsid w:val="00B005F1"/>
    <w:rsid w:val="00B02D7B"/>
    <w:rsid w:val="00B304B0"/>
    <w:rsid w:val="00B33674"/>
    <w:rsid w:val="00B51AC3"/>
    <w:rsid w:val="00B56B44"/>
    <w:rsid w:val="00B57A1E"/>
    <w:rsid w:val="00B627BF"/>
    <w:rsid w:val="00B730DA"/>
    <w:rsid w:val="00B7422F"/>
    <w:rsid w:val="00B814D7"/>
    <w:rsid w:val="00BB2768"/>
    <w:rsid w:val="00BD0909"/>
    <w:rsid w:val="00BD0FB0"/>
    <w:rsid w:val="00BD4C27"/>
    <w:rsid w:val="00BD7672"/>
    <w:rsid w:val="00BE0138"/>
    <w:rsid w:val="00BE211C"/>
    <w:rsid w:val="00BE42AF"/>
    <w:rsid w:val="00BF5497"/>
    <w:rsid w:val="00C05C86"/>
    <w:rsid w:val="00C25993"/>
    <w:rsid w:val="00C663DD"/>
    <w:rsid w:val="00C84C0A"/>
    <w:rsid w:val="00CA3B6D"/>
    <w:rsid w:val="00CB527B"/>
    <w:rsid w:val="00CB6EF8"/>
    <w:rsid w:val="00CC1337"/>
    <w:rsid w:val="00CD7011"/>
    <w:rsid w:val="00CE23F9"/>
    <w:rsid w:val="00CF546E"/>
    <w:rsid w:val="00D011B6"/>
    <w:rsid w:val="00D20E55"/>
    <w:rsid w:val="00D22547"/>
    <w:rsid w:val="00D3623E"/>
    <w:rsid w:val="00D476B5"/>
    <w:rsid w:val="00D478A0"/>
    <w:rsid w:val="00D516F7"/>
    <w:rsid w:val="00D75219"/>
    <w:rsid w:val="00D7614E"/>
    <w:rsid w:val="00D814BC"/>
    <w:rsid w:val="00D8781B"/>
    <w:rsid w:val="00D93876"/>
    <w:rsid w:val="00D93DE3"/>
    <w:rsid w:val="00D956FE"/>
    <w:rsid w:val="00DA783D"/>
    <w:rsid w:val="00DC5EA7"/>
    <w:rsid w:val="00DC7D2F"/>
    <w:rsid w:val="00DF3BEF"/>
    <w:rsid w:val="00E1089C"/>
    <w:rsid w:val="00E43D0A"/>
    <w:rsid w:val="00E47279"/>
    <w:rsid w:val="00E5034A"/>
    <w:rsid w:val="00E5051C"/>
    <w:rsid w:val="00E5679C"/>
    <w:rsid w:val="00E80DD4"/>
    <w:rsid w:val="00E90540"/>
    <w:rsid w:val="00E93562"/>
    <w:rsid w:val="00E93C83"/>
    <w:rsid w:val="00E943BF"/>
    <w:rsid w:val="00E95AB1"/>
    <w:rsid w:val="00EA5076"/>
    <w:rsid w:val="00EA5B7D"/>
    <w:rsid w:val="00EB3107"/>
    <w:rsid w:val="00ED2412"/>
    <w:rsid w:val="00ED3866"/>
    <w:rsid w:val="00ED4AF3"/>
    <w:rsid w:val="00EE29A5"/>
    <w:rsid w:val="00EF11E9"/>
    <w:rsid w:val="00F03B56"/>
    <w:rsid w:val="00F11A31"/>
    <w:rsid w:val="00F5321D"/>
    <w:rsid w:val="00F565DC"/>
    <w:rsid w:val="00F5672D"/>
    <w:rsid w:val="00F57DA8"/>
    <w:rsid w:val="00F621D6"/>
    <w:rsid w:val="00F7195E"/>
    <w:rsid w:val="00F93E4B"/>
    <w:rsid w:val="00FA5AB0"/>
    <w:rsid w:val="00FA7266"/>
    <w:rsid w:val="00FC138B"/>
    <w:rsid w:val="00FC6901"/>
    <w:rsid w:val="00FD13D3"/>
    <w:rsid w:val="00FF0174"/>
    <w:rsid w:val="00FF05D1"/>
    <w:rsid w:val="00F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9B971"/>
  <w15:docId w15:val="{03ECB95B-4353-4257-A996-8776D8F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284"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right="83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44" w:right="255" w:hanging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E4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D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D9C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D9C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9C"/>
    <w:rPr>
      <w:rFonts w:ascii="Segoe UI" w:eastAsia="Cambr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11B6"/>
    <w:pPr>
      <w:widowControl/>
      <w:autoSpaceDE/>
      <w:autoSpaceDN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D22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54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25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547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534E73"/>
    <w:rPr>
      <w:color w:val="0000F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34E7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87284"/>
    <w:rPr>
      <w:rFonts w:ascii="Cambria" w:eastAsia="Cambria" w:hAnsi="Cambria" w:cs="Cambr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8" ma:contentTypeDescription="Create a new document." ma:contentTypeScope="" ma:versionID="76c4afeff166677ca1bd60ada8c3ccac">
  <xsd:schema xmlns:xsd="http://www.w3.org/2001/XMLSchema" xmlns:xs="http://www.w3.org/2001/XMLSchema" xmlns:p="http://schemas.microsoft.com/office/2006/metadata/properties" xmlns:ns1="http://schemas.microsoft.com/sharepoint/v3" xmlns:ns2="33e07890-6196-4e26-9dd2-53178dae8e48" xmlns:ns3="faa54b14-608b-44ba-8621-4287d9574b27" targetNamespace="http://schemas.microsoft.com/office/2006/metadata/properties" ma:root="true" ma:fieldsID="f594ce8ffa3666a1c08abd4334e8c190" ns1:_="" ns2:_="" ns3:_="">
    <xsd:import namespace="http://schemas.microsoft.com/sharepoint/v3"/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6a6631-4353-4bc1-8e74-4a49f1add123}" ma:internalName="TaxCatchAll" ma:showField="CatchAllData" ma:web="faa54b14-608b-44ba-8621-4287d9574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aa54b14-608b-44ba-8621-4287d9574b27" xsi:nil="true"/>
    <lcf76f155ced4ddcb4097134ff3c332f xmlns="33e07890-6196-4e26-9dd2-53178dae8e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1AD3CD-BD03-42C1-B87C-8B6BEAB83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4817C-D248-47C8-AB3C-4181D3EFB2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0962A5-1451-4598-8924-6698D4B62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BE4DA-BFE5-4C84-B5B3-6F34B8AB3D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a54b14-608b-44ba-8621-4287d9574b27"/>
    <ds:schemaRef ds:uri="33e07890-6196-4e26-9dd2-53178dae8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RIBEIRO Cristina (MARE);Bouchra HAOUJAR</dc:creator>
  <cp:lastModifiedBy>Rebecca Campoy</cp:lastModifiedBy>
  <cp:revision>54</cp:revision>
  <dcterms:created xsi:type="dcterms:W3CDTF">2024-11-17T17:26:00Z</dcterms:created>
  <dcterms:modified xsi:type="dcterms:W3CDTF">2024-12-04T13:24:00Z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2024-11-14T13:45:31Z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846b6573-691f-462f-ba2d-c7a44dee026e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0x010100ECFDF3D715AA394A9B15E0E0FAA07E37</vt:lpwstr>
  </property>
  <property fmtid="{D5CDD505-2E9C-101B-9397-08002B2CF9AE}" pid="10" name="MediaServiceImageTags">
    <vt:lpwstr/>
  </property>
</Properties>
</file>