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1144C" w14:textId="06075393" w:rsidR="00CE59B6" w:rsidRPr="000468AB" w:rsidRDefault="00CE59B6" w:rsidP="00CE59B6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libri"/>
          <w:b/>
          <w:kern w:val="0"/>
          <w:sz w:val="20"/>
          <w:szCs w:val="20"/>
          <w14:ligatures w14:val="none"/>
        </w:rPr>
      </w:pPr>
      <w:bookmarkStart w:id="0" w:name="_Hlk183524421"/>
      <w:bookmarkStart w:id="1" w:name="_Toc146807660"/>
      <w:r w:rsidRPr="000468AB">
        <w:rPr>
          <w:rFonts w:ascii="Cambria" w:eastAsia="Calibri" w:hAnsi="Cambria" w:cs="Calibri"/>
          <w:b/>
          <w:kern w:val="0"/>
          <w:sz w:val="20"/>
          <w:szCs w:val="20"/>
          <w14:ligatures w14:val="none"/>
        </w:rPr>
        <w:t>24-06</w:t>
      </w:r>
      <w:r w:rsidRPr="000468AB">
        <w:rPr>
          <w:rFonts w:ascii="Cambria" w:eastAsia="Calibri" w:hAnsi="Cambria" w:cs="Calibri"/>
          <w:b/>
          <w:kern w:val="0"/>
          <w:sz w:val="20"/>
          <w:szCs w:val="20"/>
          <w14:ligatures w14:val="none"/>
        </w:rPr>
        <w:tab/>
        <w:t>BFT</w:t>
      </w:r>
    </w:p>
    <w:p w14:paraId="5CF0A1D5" w14:textId="7D5BECB7" w:rsidR="00CE59B6" w:rsidRPr="000468AB" w:rsidRDefault="00CE59B6" w:rsidP="00CE59B6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0"/>
          <w:szCs w:val="20"/>
          <w14:ligatures w14:val="none"/>
        </w:rPr>
      </w:pPr>
      <w:r w:rsidRPr="000468AB">
        <w:rPr>
          <w:rFonts w:ascii="Cambria" w:eastAsia="Calibri" w:hAnsi="Cambria" w:cs="Calibri"/>
          <w:b/>
          <w:kern w:val="0"/>
          <w:sz w:val="20"/>
          <w:szCs w:val="20"/>
          <w14:ligatures w14:val="none"/>
        </w:rPr>
        <w:t xml:space="preserve">RECOMENDACIÓN DE ICCAT QUE ENMIENDA LA RECOMENDACIÓN 23-08 PARA </w:t>
      </w:r>
    </w:p>
    <w:p w14:paraId="40EB8983" w14:textId="7B49E55A" w:rsidR="00181B83" w:rsidRPr="000468AB" w:rsidRDefault="00CE59B6" w:rsidP="00CE59B6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0"/>
          <w:szCs w:val="20"/>
          <w14:ligatures w14:val="none"/>
        </w:rPr>
      </w:pPr>
      <w:r w:rsidRPr="000468AB">
        <w:rPr>
          <w:rFonts w:ascii="Cambria" w:eastAsia="Calibri" w:hAnsi="Cambria" w:cs="Calibri"/>
          <w:b/>
          <w:kern w:val="0"/>
          <w:sz w:val="20"/>
          <w:szCs w:val="20"/>
          <w14:ligatures w14:val="none"/>
        </w:rPr>
        <w:t>UN PROYECTO PILOTO DE CRÍA DE ATÚN ROJO (</w:t>
      </w:r>
      <w:r w:rsidRPr="000468AB">
        <w:rPr>
          <w:rFonts w:ascii="Cambria" w:eastAsia="Calibri" w:hAnsi="Cambria" w:cs="Calibri"/>
          <w:b/>
          <w:i/>
          <w:iCs/>
          <w:kern w:val="0"/>
          <w:sz w:val="20"/>
          <w:szCs w:val="20"/>
          <w14:ligatures w14:val="none"/>
        </w:rPr>
        <w:t>THUNNUS THYNNUS</w:t>
      </w:r>
      <w:r w:rsidRPr="000468AB">
        <w:rPr>
          <w:rFonts w:ascii="Cambria" w:eastAsia="Calibri" w:hAnsi="Cambria" w:cs="Calibri"/>
          <w:b/>
          <w:kern w:val="0"/>
          <w:sz w:val="20"/>
          <w:szCs w:val="20"/>
          <w14:ligatures w14:val="none"/>
        </w:rPr>
        <w:t>) EN EL MAR CANTÁBRICO</w:t>
      </w:r>
    </w:p>
    <w:p w14:paraId="6562BF9C" w14:textId="77777777" w:rsidR="009D282D" w:rsidRPr="000468AB" w:rsidRDefault="009D282D" w:rsidP="00181B83">
      <w:pPr>
        <w:tabs>
          <w:tab w:val="left" w:pos="480"/>
        </w:tabs>
        <w:spacing w:after="0" w:line="240" w:lineRule="auto"/>
        <w:jc w:val="center"/>
        <w:rPr>
          <w:rFonts w:ascii="Cambria" w:hAnsi="Cambria"/>
          <w:b/>
          <w:sz w:val="20"/>
        </w:rPr>
      </w:pPr>
    </w:p>
    <w:p w14:paraId="1316688F" w14:textId="77777777" w:rsidR="00345590" w:rsidRPr="000468AB" w:rsidRDefault="00345590" w:rsidP="00181B83">
      <w:pPr>
        <w:tabs>
          <w:tab w:val="left" w:pos="480"/>
        </w:tabs>
        <w:spacing w:after="0" w:line="240" w:lineRule="auto"/>
        <w:jc w:val="center"/>
        <w:rPr>
          <w:rFonts w:ascii="Cambria" w:hAnsi="Cambria"/>
          <w:b/>
          <w:sz w:val="20"/>
        </w:rPr>
      </w:pPr>
    </w:p>
    <w:p w14:paraId="14BEDA09" w14:textId="5DB5E05B" w:rsidR="00C274CF" w:rsidRPr="000468AB" w:rsidRDefault="00345590" w:rsidP="00345590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hAnsi="Cambria"/>
          <w:b/>
          <w:sz w:val="20"/>
        </w:rPr>
        <w:tab/>
      </w:r>
      <w:r w:rsidR="00C274CF" w:rsidRPr="000468AB">
        <w:rPr>
          <w:rFonts w:ascii="Cambria" w:eastAsiaTheme="minorHAnsi" w:hAnsi="Cambria"/>
          <w:i/>
          <w:iCs/>
          <w:sz w:val="20"/>
        </w:rPr>
        <w:t>TENIENDO EN CUENTA</w:t>
      </w:r>
      <w:r w:rsidR="00C274CF" w:rsidRPr="000468AB">
        <w:rPr>
          <w:rFonts w:ascii="Cambria" w:eastAsiaTheme="minorHAnsi" w:hAnsi="Cambria"/>
          <w:sz w:val="20"/>
        </w:rPr>
        <w:t xml:space="preserve"> que ICCAT ha adoptado la </w:t>
      </w:r>
      <w:r w:rsidR="00C274CF" w:rsidRPr="000468AB">
        <w:rPr>
          <w:rFonts w:ascii="Cambria" w:eastAsiaTheme="minorHAnsi" w:hAnsi="Cambria"/>
          <w:i/>
          <w:iCs/>
          <w:sz w:val="20"/>
        </w:rPr>
        <w:t>Recomendación de ICCAT que enmienda la Recomendación 21-08 que establece un plan de ordenación plurianual para el atún rojo en el Atlántico este y el Mediterráneo</w:t>
      </w:r>
      <w:r w:rsidR="00C274CF" w:rsidRPr="000468AB">
        <w:rPr>
          <w:rFonts w:ascii="Cambria" w:eastAsiaTheme="minorHAnsi" w:hAnsi="Cambria"/>
          <w:sz w:val="20"/>
        </w:rPr>
        <w:t xml:space="preserve"> (Rec. 22-08), la </w:t>
      </w:r>
      <w:r w:rsidR="00C274CF" w:rsidRPr="000468AB">
        <w:rPr>
          <w:rFonts w:ascii="Cambria" w:eastAsiaTheme="minorHAnsi" w:hAnsi="Cambria"/>
          <w:i/>
          <w:iCs/>
          <w:sz w:val="20"/>
        </w:rPr>
        <w:t>Recomendación de ICCAT que enmienda la Recomendación 21-18 sobre la aplicación del sistema eBCD</w:t>
      </w:r>
      <w:r w:rsidR="00C274CF" w:rsidRPr="000468AB">
        <w:rPr>
          <w:rFonts w:ascii="Cambria" w:eastAsiaTheme="minorHAnsi" w:hAnsi="Cambria"/>
          <w:sz w:val="20"/>
        </w:rPr>
        <w:t xml:space="preserve"> (Rec. 22-16) y la </w:t>
      </w:r>
      <w:r w:rsidR="00C274CF" w:rsidRPr="000468AB">
        <w:rPr>
          <w:rFonts w:ascii="Cambria" w:eastAsiaTheme="minorHAnsi" w:hAnsi="Cambria"/>
          <w:i/>
          <w:iCs/>
          <w:sz w:val="20"/>
        </w:rPr>
        <w:t xml:space="preserve">Recomendación de ICCAT que enmienda la Recomendación 18-‍13 para reemplazar la Recomendación 11-20 sobre el programa ICCAT de documentación de capturas de atún rojo </w:t>
      </w:r>
      <w:r w:rsidR="00C274CF" w:rsidRPr="000468AB">
        <w:rPr>
          <w:rFonts w:ascii="Cambria" w:eastAsiaTheme="minorHAnsi" w:hAnsi="Cambria"/>
          <w:sz w:val="20"/>
        </w:rPr>
        <w:t>(Rec. 21-19);</w:t>
      </w:r>
    </w:p>
    <w:bookmarkEnd w:id="0"/>
    <w:p w14:paraId="78BF47BC" w14:textId="77777777" w:rsidR="00C274CF" w:rsidRPr="000468AB" w:rsidRDefault="00C274CF" w:rsidP="00C274CF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5D2FE78A" w14:textId="20DDAA57" w:rsidR="00C274CF" w:rsidRPr="000468AB" w:rsidRDefault="00C274CF" w:rsidP="00C274CF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ab/>
      </w:r>
      <w:r w:rsidRPr="000468AB">
        <w:rPr>
          <w:rFonts w:ascii="Cambria" w:eastAsiaTheme="minorHAnsi" w:hAnsi="Cambria"/>
          <w:i/>
          <w:iCs/>
          <w:sz w:val="20"/>
        </w:rPr>
        <w:t>RECORDANDO</w:t>
      </w:r>
      <w:r w:rsidRPr="000468AB">
        <w:rPr>
          <w:rFonts w:ascii="Cambria" w:eastAsiaTheme="minorHAnsi" w:hAnsi="Cambria"/>
          <w:sz w:val="20"/>
        </w:rPr>
        <w:t xml:space="preserve"> que, en su 23ª Reunión extraordinaria, la Comisión de ICCAT adoptó un procedimiento de ordenación</w:t>
      </w:r>
      <w:r w:rsidR="00DC679C" w:rsidRPr="000468AB">
        <w:rPr>
          <w:rFonts w:ascii="Cambria" w:eastAsiaTheme="minorHAnsi" w:hAnsi="Cambria"/>
          <w:sz w:val="20"/>
        </w:rPr>
        <w:t xml:space="preserve"> (MP)</w:t>
      </w:r>
      <w:r w:rsidRPr="000468AB">
        <w:rPr>
          <w:rFonts w:ascii="Cambria" w:eastAsiaTheme="minorHAnsi" w:hAnsi="Cambria"/>
          <w:sz w:val="20"/>
        </w:rPr>
        <w:t xml:space="preserve"> para el atún rojo (Rec. 22-09) con el objetivo de garantizar la ordenación sostenible de la pesquería de atún rojo y proporcionar estabilidad y previsibilidad a la actividad pesquera del atún rojo, incluido el sector de cría;</w:t>
      </w:r>
    </w:p>
    <w:p w14:paraId="11D276DF" w14:textId="77777777" w:rsidR="00C274CF" w:rsidRPr="000468AB" w:rsidRDefault="00C274CF" w:rsidP="00C274CF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52270567" w14:textId="326766F1" w:rsidR="00C274CF" w:rsidRPr="000468AB" w:rsidRDefault="00C274CF" w:rsidP="00C274CF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ab/>
      </w:r>
      <w:r w:rsidRPr="000468AB">
        <w:rPr>
          <w:rFonts w:ascii="Cambria" w:eastAsiaTheme="minorHAnsi" w:hAnsi="Cambria"/>
          <w:i/>
          <w:iCs/>
          <w:sz w:val="20"/>
        </w:rPr>
        <w:t>OBSERVANDO</w:t>
      </w:r>
      <w:r w:rsidRPr="000468AB">
        <w:rPr>
          <w:rFonts w:ascii="Cambria" w:eastAsiaTheme="minorHAnsi" w:hAnsi="Cambria"/>
          <w:sz w:val="20"/>
        </w:rPr>
        <w:t xml:space="preserve"> el interés por explorar formas de: a) criar atún rojo en zonas distintas del Mediterráneo, b) explorar la innovación tecnológica para la introducción en jaulas y la cría de atún rojo, y c) evaluar la viabilidad de implementar la disposición actual sobre el seguimiento de la operación de cría cuando la granja opera en condiciones de mar abierto;</w:t>
      </w:r>
    </w:p>
    <w:p w14:paraId="3E0729B1" w14:textId="77777777" w:rsidR="00C274CF" w:rsidRPr="000468AB" w:rsidRDefault="00C274CF" w:rsidP="00C274CF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ab/>
      </w:r>
    </w:p>
    <w:p w14:paraId="33D74D02" w14:textId="77777777" w:rsidR="00C274CF" w:rsidRPr="000468AB" w:rsidRDefault="00C274CF" w:rsidP="00C274CF">
      <w:pPr>
        <w:tabs>
          <w:tab w:val="left" w:pos="480"/>
        </w:tabs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ab/>
      </w:r>
      <w:r w:rsidRPr="000468AB">
        <w:rPr>
          <w:rFonts w:ascii="Cambria" w:eastAsiaTheme="minorHAnsi" w:hAnsi="Cambria"/>
          <w:i/>
          <w:iCs/>
          <w:sz w:val="20"/>
        </w:rPr>
        <w:t>RECONOCIENDO</w:t>
      </w:r>
      <w:r w:rsidRPr="000468AB">
        <w:rPr>
          <w:rFonts w:ascii="Cambria" w:eastAsiaTheme="minorHAnsi" w:hAnsi="Cambria"/>
          <w:sz w:val="20"/>
        </w:rPr>
        <w:t xml:space="preserve"> que los resultados de la investigación que se va a llevar a cabo sobre la pesca de cerco y la cría de atún rojo en el mar Cantábrico podría indicar la necesidad de realizar ajustes en las medidas pertinentes de ICCAT, o la elaboración de otras nuevas, incluida la necesidad de incluir normas adicionales a la temporada de pesca en consecuencia y/o añadir o revisar las disposiciones actuales relacionadas con las medidas de seguimiento y control de las actividades de cría fuera del mar Mediterráneo;</w:t>
      </w:r>
    </w:p>
    <w:p w14:paraId="65B21A2B" w14:textId="77777777" w:rsidR="00C274CF" w:rsidRPr="000468AB" w:rsidRDefault="00C274CF" w:rsidP="00C274CF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7CA2D8A8" w14:textId="77777777" w:rsidR="00C274CF" w:rsidRPr="000468AB" w:rsidRDefault="00C274CF" w:rsidP="00C274CF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LA COMISIÓN INTERNACIONAL PARA LA CONSERVACIÓN</w:t>
      </w:r>
    </w:p>
    <w:p w14:paraId="0E5E9A99" w14:textId="77777777" w:rsidR="00C274CF" w:rsidRPr="000468AB" w:rsidRDefault="00C274CF" w:rsidP="00C274CF">
      <w:pPr>
        <w:spacing w:after="0" w:line="240" w:lineRule="auto"/>
        <w:jc w:val="center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DEL ATÚN ATLÁNTICO (ICCAT) RECOMIENDA LO SIGUIENTE:</w:t>
      </w:r>
    </w:p>
    <w:p w14:paraId="5E5D92E8" w14:textId="77777777" w:rsidR="00C274CF" w:rsidRPr="000468AB" w:rsidRDefault="00C274CF" w:rsidP="00C274CF">
      <w:pPr>
        <w:widowControl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46D9B861" w14:textId="582E8BB6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El objetivo del proyecto piloto de cría de atún rojo (</w:t>
      </w:r>
      <w:proofErr w:type="spellStart"/>
      <w:r w:rsidRPr="000468AB">
        <w:rPr>
          <w:rFonts w:ascii="Cambria" w:eastAsiaTheme="minorHAnsi" w:hAnsi="Cambria"/>
          <w:i/>
          <w:iCs/>
          <w:sz w:val="20"/>
        </w:rPr>
        <w:t>Thunnus</w:t>
      </w:r>
      <w:proofErr w:type="spellEnd"/>
      <w:r w:rsidRPr="000468AB">
        <w:rPr>
          <w:rFonts w:ascii="Cambria" w:eastAsiaTheme="minorHAnsi" w:hAnsi="Cambria"/>
          <w:i/>
          <w:iCs/>
          <w:sz w:val="20"/>
        </w:rPr>
        <w:t xml:space="preserve"> </w:t>
      </w:r>
      <w:proofErr w:type="spellStart"/>
      <w:r w:rsidRPr="000468AB">
        <w:rPr>
          <w:rFonts w:ascii="Cambria" w:eastAsiaTheme="minorHAnsi" w:hAnsi="Cambria"/>
          <w:i/>
          <w:iCs/>
          <w:sz w:val="20"/>
        </w:rPr>
        <w:t>thynnus</w:t>
      </w:r>
      <w:proofErr w:type="spellEnd"/>
      <w:r w:rsidRPr="000468AB">
        <w:rPr>
          <w:rFonts w:ascii="Cambria" w:eastAsiaTheme="minorHAnsi" w:hAnsi="Cambria"/>
          <w:sz w:val="20"/>
        </w:rPr>
        <w:t>) (</w:t>
      </w:r>
      <w:proofErr w:type="spellStart"/>
      <w:r w:rsidRPr="000468AB">
        <w:rPr>
          <w:rFonts w:ascii="Cambria" w:eastAsiaTheme="minorHAnsi" w:hAnsi="Cambria"/>
          <w:sz w:val="20"/>
        </w:rPr>
        <w:t>BFT</w:t>
      </w:r>
      <w:proofErr w:type="spellEnd"/>
      <w:r w:rsidRPr="000468AB">
        <w:rPr>
          <w:rFonts w:ascii="Cambria" w:eastAsiaTheme="minorHAnsi" w:hAnsi="Cambria"/>
          <w:sz w:val="20"/>
        </w:rPr>
        <w:t xml:space="preserve">) en el mar Cantábrico es evaluar las condiciones para la pesca y </w:t>
      </w:r>
      <w:r w:rsidR="00D70349" w:rsidRPr="000468AB">
        <w:rPr>
          <w:rFonts w:ascii="Cambria" w:eastAsiaTheme="minorHAnsi" w:hAnsi="Cambria"/>
          <w:sz w:val="20"/>
        </w:rPr>
        <w:t xml:space="preserve">la </w:t>
      </w:r>
      <w:r w:rsidRPr="000468AB">
        <w:rPr>
          <w:rFonts w:ascii="Cambria" w:eastAsiaTheme="minorHAnsi" w:hAnsi="Cambria"/>
          <w:sz w:val="20"/>
        </w:rPr>
        <w:t>cría de atún rojo en el mar Cantábrico para aportar información para el posible desarrollo futuro de tales actividades.</w:t>
      </w:r>
    </w:p>
    <w:p w14:paraId="298342DF" w14:textId="77777777" w:rsidR="00C274CF" w:rsidRPr="000468AB" w:rsidRDefault="00C274CF" w:rsidP="00C274CF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2BA9327D" w14:textId="77777777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 xml:space="preserve">La investigación llevada a cabo como parte del proyecto piloto debería tener como objetivo proporcionar respuestas a las preguntas clave relacionadas con la pesca y la cría de atún rojo en el mar Cantábrico, incluyendo, entre otras, las siguientes: </w:t>
      </w:r>
    </w:p>
    <w:p w14:paraId="1502B835" w14:textId="77777777" w:rsidR="00C274CF" w:rsidRPr="000468AB" w:rsidRDefault="00C274CF" w:rsidP="00C274CF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24619815" w14:textId="77777777" w:rsidR="00C274CF" w:rsidRPr="000468AB" w:rsidRDefault="00C274CF" w:rsidP="00D70349">
      <w:pPr>
        <w:widowControl w:val="0"/>
        <w:numPr>
          <w:ilvl w:val="0"/>
          <w:numId w:val="4"/>
        </w:numPr>
        <w:spacing w:after="80" w:line="240" w:lineRule="auto"/>
        <w:ind w:left="850" w:hanging="425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Evaluación del funcionamiento de los desarrollos tecnológicos de las jaulas sumergibles en condiciones meteorológicas extremas.</w:t>
      </w:r>
    </w:p>
    <w:p w14:paraId="4F141467" w14:textId="0CB29C7D" w:rsidR="00C274CF" w:rsidRPr="000468AB" w:rsidRDefault="00C274CF" w:rsidP="00D70349">
      <w:pPr>
        <w:widowControl w:val="0"/>
        <w:numPr>
          <w:ilvl w:val="0"/>
          <w:numId w:val="4"/>
        </w:numPr>
        <w:spacing w:after="80" w:line="240" w:lineRule="auto"/>
        <w:ind w:left="850" w:hanging="425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Evaluación de la disponibilidad de bancos adecuados (peces medianos-grandes) para los cerqueros en esa zona durante los meses de julio a noviembre.</w:t>
      </w:r>
    </w:p>
    <w:p w14:paraId="505F84CA" w14:textId="77777777" w:rsidR="00C274CF" w:rsidRPr="000468AB" w:rsidRDefault="00C274CF" w:rsidP="00D70349">
      <w:pPr>
        <w:widowControl w:val="0"/>
        <w:numPr>
          <w:ilvl w:val="0"/>
          <w:numId w:val="4"/>
        </w:numPr>
        <w:spacing w:after="80" w:line="240" w:lineRule="auto"/>
        <w:ind w:left="850" w:hanging="425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Evaluación del crecimiento y engorde del atún rojo en esta zona y exploración del valor añadido potencial de la actividad, incluso en términos de beneficios directos para los pescadores.</w:t>
      </w:r>
    </w:p>
    <w:p w14:paraId="7B761D42" w14:textId="263D4859" w:rsidR="00C274CF" w:rsidRPr="000468AB" w:rsidRDefault="00C274CF" w:rsidP="00C274CF">
      <w:pPr>
        <w:widowControl w:val="0"/>
        <w:numPr>
          <w:ilvl w:val="0"/>
          <w:numId w:val="4"/>
        </w:numPr>
        <w:spacing w:after="0" w:line="240" w:lineRule="auto"/>
        <w:ind w:left="851" w:hanging="425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Evaluación</w:t>
      </w:r>
      <w:r w:rsidR="00D70349" w:rsidRPr="000468AB">
        <w:rPr>
          <w:rFonts w:ascii="Cambria" w:eastAsiaTheme="minorHAnsi" w:hAnsi="Cambria"/>
          <w:sz w:val="20"/>
        </w:rPr>
        <w:t xml:space="preserve"> de</w:t>
      </w:r>
      <w:r w:rsidRPr="000468AB">
        <w:rPr>
          <w:rFonts w:ascii="Cambria" w:eastAsiaTheme="minorHAnsi" w:hAnsi="Cambria"/>
          <w:sz w:val="20"/>
        </w:rPr>
        <w:t xml:space="preserve"> si el seguimiento y el control de las actividades de pesca, transferencia y cría establecidos por la </w:t>
      </w:r>
      <w:r w:rsidRPr="000468AB">
        <w:rPr>
          <w:rFonts w:ascii="Cambria" w:eastAsiaTheme="minorHAnsi" w:hAnsi="Cambria"/>
          <w:i/>
          <w:iCs/>
          <w:sz w:val="20"/>
        </w:rPr>
        <w:t>Recomendación</w:t>
      </w:r>
      <w:r w:rsidR="00D70349" w:rsidRPr="000468AB">
        <w:rPr>
          <w:rFonts w:ascii="Cambria" w:eastAsiaTheme="minorHAnsi" w:hAnsi="Cambria"/>
          <w:i/>
          <w:iCs/>
          <w:sz w:val="20"/>
        </w:rPr>
        <w:t xml:space="preserve"> de ICCAT que enmienda la Recomendación 22-08 que establece un plan de ordenación plurianual para el atún rojo del Atlántico este y Mediterráneo </w:t>
      </w:r>
      <w:r w:rsidR="00D70349" w:rsidRPr="000468AB">
        <w:rPr>
          <w:rFonts w:ascii="Cambria" w:eastAsiaTheme="minorHAnsi" w:hAnsi="Cambria"/>
          <w:sz w:val="20"/>
        </w:rPr>
        <w:t>(Rec.</w:t>
      </w:r>
      <w:r w:rsidRPr="000468AB">
        <w:rPr>
          <w:rFonts w:ascii="Cambria" w:eastAsiaTheme="minorHAnsi" w:hAnsi="Cambria"/>
          <w:sz w:val="20"/>
        </w:rPr>
        <w:t xml:space="preserve"> 2</w:t>
      </w:r>
      <w:r w:rsidR="00D70349" w:rsidRPr="000468AB">
        <w:rPr>
          <w:rFonts w:ascii="Cambria" w:eastAsiaTheme="minorHAnsi" w:hAnsi="Cambria"/>
          <w:sz w:val="20"/>
        </w:rPr>
        <w:t>4</w:t>
      </w:r>
      <w:r w:rsidRPr="000468AB">
        <w:rPr>
          <w:rFonts w:ascii="Cambria" w:eastAsiaTheme="minorHAnsi" w:hAnsi="Cambria"/>
          <w:sz w:val="20"/>
        </w:rPr>
        <w:t>-0</w:t>
      </w:r>
      <w:r w:rsidR="00D70349" w:rsidRPr="000468AB">
        <w:rPr>
          <w:rFonts w:ascii="Cambria" w:eastAsiaTheme="minorHAnsi" w:hAnsi="Cambria"/>
          <w:sz w:val="20"/>
        </w:rPr>
        <w:t>5)</w:t>
      </w:r>
      <w:r w:rsidRPr="000468AB">
        <w:rPr>
          <w:rFonts w:ascii="Cambria" w:eastAsiaTheme="minorHAnsi" w:hAnsi="Cambria"/>
          <w:sz w:val="20"/>
        </w:rPr>
        <w:t xml:space="preserve"> de ICCAT son adecuados y factibles de aplicar.</w:t>
      </w:r>
    </w:p>
    <w:p w14:paraId="7D4D720C" w14:textId="77777777" w:rsidR="00C274CF" w:rsidRPr="000468AB" w:rsidRDefault="00C274CF" w:rsidP="00C274CF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1F1D26FB" w14:textId="77777777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El proyecto piloto se llevará a cabo a escala limitada, durante un año, con un número limitado de ejemplares (a saber, 50 ejemplares de atún rojo).</w:t>
      </w:r>
    </w:p>
    <w:p w14:paraId="3C6D1EF6" w14:textId="77777777" w:rsidR="00C274CF" w:rsidRPr="000468AB" w:rsidRDefault="00C274CF" w:rsidP="00C274CF">
      <w:pPr>
        <w:widowControl w:val="0"/>
        <w:spacing w:after="0" w:line="240" w:lineRule="auto"/>
        <w:ind w:left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41498A8D" w14:textId="503CCD11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No obstante lo dispuesto en </w:t>
      </w:r>
      <w:r w:rsidRPr="005D4549">
        <w:rPr>
          <w:rFonts w:ascii="Cambria" w:eastAsia="Cambria" w:hAnsi="Cambria" w:cs="Cambria"/>
          <w:kern w:val="0"/>
          <w:sz w:val="20"/>
          <w:szCs w:val="20"/>
          <w14:ligatures w14:val="none"/>
        </w:rPr>
        <w:t>el párrafo 2</w:t>
      </w:r>
      <w:r w:rsidR="00896F71" w:rsidRPr="005D4549">
        <w:rPr>
          <w:rFonts w:ascii="Cambria" w:eastAsia="Cambria" w:hAnsi="Cambria" w:cs="Cambria"/>
          <w:kern w:val="0"/>
          <w:sz w:val="20"/>
          <w:szCs w:val="20"/>
          <w14:ligatures w14:val="none"/>
        </w:rPr>
        <w:t>8</w:t>
      </w:r>
      <w:r w:rsidRPr="005D4549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 de la Rec. </w:t>
      </w:r>
      <w:r w:rsidR="00D70349" w:rsidRPr="005D4549">
        <w:rPr>
          <w:rFonts w:ascii="Cambria" w:eastAsia="Cambria" w:hAnsi="Cambria" w:cs="Cambria"/>
          <w:kern w:val="0"/>
          <w:sz w:val="20"/>
          <w:szCs w:val="20"/>
          <w14:ligatures w14:val="none"/>
        </w:rPr>
        <w:t>2</w:t>
      </w:r>
      <w:r w:rsidR="00D70349" w:rsidRPr="000468AB">
        <w:rPr>
          <w:rFonts w:ascii="Cambria" w:eastAsia="Cambria" w:hAnsi="Cambria" w:cs="Cambria"/>
          <w:kern w:val="0"/>
          <w:sz w:val="20"/>
          <w:szCs w:val="20"/>
          <w14:ligatures w14:val="none"/>
        </w:rPr>
        <w:t>4</w:t>
      </w:r>
      <w:r w:rsidRPr="000468AB">
        <w:rPr>
          <w:rFonts w:ascii="Cambria" w:eastAsia="Cambria" w:hAnsi="Cambria" w:cs="Cambria"/>
          <w:kern w:val="0"/>
          <w:sz w:val="20"/>
          <w:szCs w:val="20"/>
          <w14:ligatures w14:val="none"/>
        </w:rPr>
        <w:t>-0</w:t>
      </w:r>
      <w:r w:rsidR="00D70349" w:rsidRPr="000468AB">
        <w:rPr>
          <w:rFonts w:ascii="Cambria" w:eastAsia="Cambria" w:hAnsi="Cambria" w:cs="Cambria"/>
          <w:kern w:val="0"/>
          <w:sz w:val="20"/>
          <w:szCs w:val="20"/>
          <w14:ligatures w14:val="none"/>
        </w:rPr>
        <w:t>5</w:t>
      </w:r>
      <w:r w:rsidRPr="000468AB">
        <w:rPr>
          <w:rFonts w:ascii="Cambria" w:eastAsia="Cambria" w:hAnsi="Cambria" w:cs="Cambria"/>
          <w:kern w:val="0"/>
          <w:sz w:val="20"/>
          <w:szCs w:val="20"/>
          <w14:ligatures w14:val="none"/>
        </w:rPr>
        <w:t>, la temporada de pesca para este proyecto piloto podría ampliarse hasta el 30 de septiembre.</w:t>
      </w:r>
    </w:p>
    <w:p w14:paraId="4DB8254A" w14:textId="77777777" w:rsidR="00FD4A6F" w:rsidRPr="000468AB" w:rsidRDefault="00FD4A6F" w:rsidP="00FD4A6F">
      <w:pPr>
        <w:pStyle w:val="ListParagrap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02BF1DB7" w14:textId="7BD7B9A3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lastRenderedPageBreak/>
        <w:t xml:space="preserve">Los detalles precisos del proyecto piloto se incluirán en los planes anuales de pesca, de cría y de inspección de </w:t>
      </w:r>
      <w:r w:rsidR="00D060BF" w:rsidRPr="000468AB">
        <w:rPr>
          <w:rFonts w:ascii="Cambria" w:eastAsiaTheme="minorHAnsi" w:hAnsi="Cambria"/>
          <w:sz w:val="20"/>
        </w:rPr>
        <w:t xml:space="preserve">2025 </w:t>
      </w:r>
      <w:r w:rsidRPr="000468AB">
        <w:rPr>
          <w:rFonts w:ascii="Cambria" w:eastAsiaTheme="minorHAnsi" w:hAnsi="Cambria"/>
          <w:sz w:val="20"/>
        </w:rPr>
        <w:t xml:space="preserve">establecidos de conformidad con el párrafo 10 de la Recomendación </w:t>
      </w:r>
      <w:r w:rsidR="00D70349" w:rsidRPr="000468AB">
        <w:rPr>
          <w:rFonts w:ascii="Cambria" w:eastAsiaTheme="minorHAnsi" w:hAnsi="Cambria"/>
          <w:sz w:val="20"/>
        </w:rPr>
        <w:t>24</w:t>
      </w:r>
      <w:r w:rsidRPr="000468AB">
        <w:rPr>
          <w:rFonts w:ascii="Cambria" w:eastAsiaTheme="minorHAnsi" w:hAnsi="Cambria"/>
          <w:sz w:val="20"/>
        </w:rPr>
        <w:t>-</w:t>
      </w:r>
      <w:r w:rsidR="00D70349" w:rsidRPr="000468AB">
        <w:rPr>
          <w:rFonts w:ascii="Cambria" w:eastAsiaTheme="minorHAnsi" w:hAnsi="Cambria"/>
          <w:sz w:val="20"/>
        </w:rPr>
        <w:t>05</w:t>
      </w:r>
      <w:r w:rsidR="004F0130" w:rsidRPr="000468AB">
        <w:rPr>
          <w:rFonts w:ascii="Cambria" w:eastAsiaTheme="minorHAnsi" w:hAnsi="Cambria"/>
          <w:sz w:val="20"/>
        </w:rPr>
        <w:t xml:space="preserve"> de ICCAT</w:t>
      </w:r>
      <w:r w:rsidRPr="000468AB">
        <w:rPr>
          <w:rFonts w:ascii="Cambria" w:eastAsiaTheme="minorHAnsi" w:hAnsi="Cambria"/>
          <w:sz w:val="20"/>
        </w:rPr>
        <w:t>.</w:t>
      </w:r>
    </w:p>
    <w:p w14:paraId="79B3E048" w14:textId="77777777" w:rsidR="00D70349" w:rsidRPr="000468AB" w:rsidRDefault="00D70349" w:rsidP="00D70349">
      <w:pPr>
        <w:widowControl w:val="0"/>
        <w:spacing w:after="0" w:line="240" w:lineRule="auto"/>
        <w:ind w:left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525C7F17" w14:textId="5E623C65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 xml:space="preserve">La asignación de la cuota nacional de las CPC al proyecto piloto se especificará en el plan anual de pesca y será de una escala limitada y aprobada por la Subcomisión 2. </w:t>
      </w:r>
    </w:p>
    <w:p w14:paraId="41846E72" w14:textId="77777777" w:rsidR="00C274CF" w:rsidRPr="000468AB" w:rsidRDefault="00C274CF" w:rsidP="00C274CF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108DE422" w14:textId="6971D00B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 xml:space="preserve">Este plan también incluirá </w:t>
      </w:r>
      <w:r w:rsidR="00D70349" w:rsidRPr="000468AB">
        <w:rPr>
          <w:rFonts w:ascii="Cambria" w:eastAsiaTheme="minorHAnsi" w:hAnsi="Cambria"/>
          <w:sz w:val="20"/>
        </w:rPr>
        <w:t xml:space="preserve">información detallada sobre </w:t>
      </w:r>
      <w:r w:rsidRPr="000468AB">
        <w:rPr>
          <w:rFonts w:ascii="Cambria" w:eastAsiaTheme="minorHAnsi" w:hAnsi="Cambria"/>
          <w:sz w:val="20"/>
        </w:rPr>
        <w:t xml:space="preserve">las medidas de control que tienen que establecerse para garantizar que la actividad se lleva a cabo de acuerdo con las normas de ICCAT y con esta Recomendación, así como la forma en que estas normas se harán obligatorias para los operadores. El plan será analizado y, en su caso, aprobado por la Subcomisión 2 durante el periodo intersesiones (Rec. </w:t>
      </w:r>
      <w:r w:rsidR="00D70349" w:rsidRPr="000468AB">
        <w:rPr>
          <w:rFonts w:ascii="Cambria" w:eastAsiaTheme="minorHAnsi" w:hAnsi="Cambria"/>
          <w:sz w:val="20"/>
        </w:rPr>
        <w:t>24</w:t>
      </w:r>
      <w:r w:rsidRPr="000468AB">
        <w:rPr>
          <w:rFonts w:ascii="Cambria" w:eastAsiaTheme="minorHAnsi" w:hAnsi="Cambria"/>
          <w:sz w:val="20"/>
        </w:rPr>
        <w:t>-</w:t>
      </w:r>
      <w:r w:rsidR="00D70349" w:rsidRPr="000468AB">
        <w:rPr>
          <w:rFonts w:ascii="Cambria" w:eastAsiaTheme="minorHAnsi" w:hAnsi="Cambria"/>
          <w:sz w:val="20"/>
        </w:rPr>
        <w:t>05</w:t>
      </w:r>
      <w:r w:rsidRPr="000468AB">
        <w:rPr>
          <w:rFonts w:ascii="Cambria" w:eastAsiaTheme="minorHAnsi" w:hAnsi="Cambria"/>
          <w:sz w:val="20"/>
        </w:rPr>
        <w:t xml:space="preserve">, párrafo 11). </w:t>
      </w:r>
    </w:p>
    <w:p w14:paraId="2E75A23A" w14:textId="77777777" w:rsidR="00C274CF" w:rsidRPr="000468AB" w:rsidRDefault="00C274CF" w:rsidP="00C274CF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71DD558C" w14:textId="65791CCB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 xml:space="preserve">Los resultados del proyecto piloto serán evaluados por la Comisión en </w:t>
      </w:r>
      <w:r w:rsidR="00D060BF" w:rsidRPr="000468AB">
        <w:rPr>
          <w:rFonts w:ascii="Cambria" w:eastAsiaTheme="minorHAnsi" w:hAnsi="Cambria"/>
          <w:sz w:val="20"/>
        </w:rPr>
        <w:t>2025</w:t>
      </w:r>
      <w:r w:rsidRPr="000468AB">
        <w:rPr>
          <w:rFonts w:ascii="Cambria" w:eastAsiaTheme="minorHAnsi" w:hAnsi="Cambria"/>
          <w:sz w:val="20"/>
        </w:rPr>
        <w:t xml:space="preserve"> para determinar, en caso de que el proyecto ofrezca resultados positivos, si la actividad comercial podría tener lugar más allá de la fase de proyecto piloto y de qué manera.</w:t>
      </w:r>
    </w:p>
    <w:p w14:paraId="5327CAD4" w14:textId="77777777" w:rsidR="00C274CF" w:rsidRPr="000468AB" w:rsidRDefault="00C274CF" w:rsidP="00C274CF">
      <w:pPr>
        <w:widowControl w:val="0"/>
        <w:spacing w:after="0" w:line="240" w:lineRule="auto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</w:p>
    <w:p w14:paraId="389D014E" w14:textId="242EC11B" w:rsidR="00C274CF" w:rsidRPr="000468AB" w:rsidRDefault="00C274CF" w:rsidP="00C274CF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0468AB">
        <w:rPr>
          <w:rFonts w:ascii="Cambria" w:eastAsiaTheme="minorHAnsi" w:hAnsi="Cambria"/>
          <w:sz w:val="20"/>
        </w:rPr>
        <w:t>Las CPC que participen en el proyecto piloto presentarán un informe sobre los resultados del proyecto para su consideración por el Comité permanente de investigación y estadísticas</w:t>
      </w:r>
      <w:r w:rsidR="00D70349" w:rsidRPr="000468AB">
        <w:rPr>
          <w:rFonts w:ascii="Cambria" w:eastAsiaTheme="minorHAnsi" w:hAnsi="Cambria"/>
          <w:sz w:val="20"/>
        </w:rPr>
        <w:t xml:space="preserve"> (SCRS)</w:t>
      </w:r>
      <w:r w:rsidR="00256D02" w:rsidRPr="000468AB">
        <w:rPr>
          <w:rFonts w:ascii="Cambria" w:eastAsiaTheme="minorHAnsi" w:hAnsi="Cambria"/>
          <w:sz w:val="20"/>
        </w:rPr>
        <w:t xml:space="preserve"> </w:t>
      </w:r>
      <w:r w:rsidRPr="000468AB">
        <w:rPr>
          <w:rFonts w:ascii="Cambria" w:eastAsiaTheme="minorHAnsi" w:hAnsi="Cambria"/>
          <w:sz w:val="20"/>
        </w:rPr>
        <w:t>y la Comisión a más tardar a finales de 202</w:t>
      </w:r>
      <w:r w:rsidR="00D55AF2" w:rsidRPr="000468AB">
        <w:rPr>
          <w:rFonts w:ascii="Cambria" w:eastAsiaTheme="minorHAnsi" w:hAnsi="Cambria"/>
          <w:sz w:val="20"/>
        </w:rPr>
        <w:t>5</w:t>
      </w:r>
      <w:r w:rsidRPr="000468AB">
        <w:rPr>
          <w:rFonts w:ascii="Cambria" w:eastAsiaTheme="minorHAnsi" w:hAnsi="Cambria"/>
          <w:sz w:val="20"/>
        </w:rPr>
        <w:t xml:space="preserve">. El informe proporcionará información detallada sobre las cuestiones clave </w:t>
      </w:r>
      <w:r w:rsidR="00D70349" w:rsidRPr="000468AB">
        <w:rPr>
          <w:rFonts w:ascii="Cambria" w:eastAsiaTheme="minorHAnsi" w:hAnsi="Cambria"/>
          <w:sz w:val="20"/>
        </w:rPr>
        <w:t xml:space="preserve">mencionadas </w:t>
      </w:r>
      <w:r w:rsidRPr="000468AB">
        <w:rPr>
          <w:rFonts w:ascii="Cambria" w:eastAsiaTheme="minorHAnsi" w:hAnsi="Cambria"/>
          <w:sz w:val="20"/>
        </w:rPr>
        <w:t>en el párrafo 2 anterior, así como los datos estadísticos relevantes, incluido el número final de atún rojo capturado/introducido en jaula y el peso y la talla individuales de los peces en el momento de la captura y en el momento del sacrificio en la jaula. El informe también identificará los retos o dificultades encontrados, incluyendo los relacionados con la recopilación de datos y el control, seguimiento y vigilancia. En particular, el informe incluirá un análisis de la idoneidad de las disposiciones actuales de ICCAT para esta actividad.</w:t>
      </w:r>
    </w:p>
    <w:p w14:paraId="7A47E274" w14:textId="77777777" w:rsidR="00C274CF" w:rsidRPr="000468AB" w:rsidRDefault="00C274CF" w:rsidP="00D70349">
      <w:pPr>
        <w:widowControl w:val="0"/>
        <w:spacing w:after="0" w:line="240" w:lineRule="auto"/>
        <w:ind w:left="426"/>
        <w:contextualSpacing/>
        <w:jc w:val="both"/>
        <w:rPr>
          <w:rFonts w:ascii="Cambria" w:eastAsiaTheme="minorHAnsi" w:hAnsi="Cambria"/>
          <w:sz w:val="20"/>
        </w:rPr>
      </w:pPr>
    </w:p>
    <w:p w14:paraId="09551634" w14:textId="682B06EC" w:rsidR="00D70349" w:rsidRPr="000468AB" w:rsidRDefault="00D70349" w:rsidP="00C703E4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Theme="minorHAnsi" w:hAnsi="Cambria"/>
          <w:sz w:val="20"/>
        </w:rPr>
      </w:pPr>
      <w:r w:rsidRPr="000468AB">
        <w:rPr>
          <w:rFonts w:ascii="Cambria" w:eastAsiaTheme="minorHAnsi" w:hAnsi="Cambria"/>
          <w:sz w:val="20"/>
        </w:rPr>
        <w:t>Esta Recomendación revoca la</w:t>
      </w:r>
      <w:r w:rsidRPr="000468AB">
        <w:rPr>
          <w:rFonts w:ascii="Cambria" w:eastAsiaTheme="minorHAnsi" w:hAnsi="Cambria"/>
          <w:i/>
          <w:iCs/>
          <w:sz w:val="20"/>
        </w:rPr>
        <w:t xml:space="preserve"> Recomendación de ICCAT para un proyecto piloto de cría de atún rojo </w:t>
      </w:r>
      <w:r w:rsidRPr="000468AB">
        <w:rPr>
          <w:rFonts w:ascii="Cambria" w:eastAsiaTheme="minorHAnsi" w:hAnsi="Cambria"/>
          <w:sz w:val="20"/>
        </w:rPr>
        <w:t>(</w:t>
      </w:r>
      <w:proofErr w:type="spellStart"/>
      <w:r w:rsidRPr="000468AB">
        <w:rPr>
          <w:rFonts w:ascii="Cambria" w:eastAsiaTheme="minorHAnsi" w:hAnsi="Cambria"/>
          <w:sz w:val="20"/>
        </w:rPr>
        <w:t>Thunnus</w:t>
      </w:r>
      <w:proofErr w:type="spellEnd"/>
      <w:r w:rsidRPr="000468AB">
        <w:rPr>
          <w:rFonts w:ascii="Cambria" w:eastAsiaTheme="minorHAnsi" w:hAnsi="Cambria"/>
          <w:i/>
          <w:iCs/>
          <w:sz w:val="20"/>
        </w:rPr>
        <w:t xml:space="preserve"> </w:t>
      </w:r>
      <w:proofErr w:type="spellStart"/>
      <w:r w:rsidRPr="000468AB">
        <w:rPr>
          <w:rFonts w:ascii="Cambria" w:eastAsiaTheme="minorHAnsi" w:hAnsi="Cambria"/>
          <w:sz w:val="20"/>
        </w:rPr>
        <w:t>thynnus</w:t>
      </w:r>
      <w:proofErr w:type="spellEnd"/>
      <w:r w:rsidRPr="000468AB">
        <w:rPr>
          <w:rFonts w:ascii="Cambria" w:eastAsiaTheme="minorHAnsi" w:hAnsi="Cambria"/>
          <w:sz w:val="20"/>
        </w:rPr>
        <w:t xml:space="preserve">) </w:t>
      </w:r>
      <w:r w:rsidRPr="000468AB">
        <w:rPr>
          <w:rFonts w:ascii="Cambria" w:eastAsiaTheme="minorHAnsi" w:hAnsi="Cambria"/>
          <w:i/>
          <w:iCs/>
          <w:sz w:val="20"/>
        </w:rPr>
        <w:t xml:space="preserve">en el mar Cantábrico </w:t>
      </w:r>
      <w:r w:rsidRPr="000468AB">
        <w:rPr>
          <w:rFonts w:ascii="Cambria" w:eastAsiaTheme="minorHAnsi" w:hAnsi="Cambria"/>
          <w:sz w:val="20"/>
        </w:rPr>
        <w:t>(Rec. 23-08) y la sustituye.</w:t>
      </w:r>
    </w:p>
    <w:p w14:paraId="32C7632B" w14:textId="20417F84" w:rsidR="00C274CF" w:rsidRPr="000468AB" w:rsidRDefault="00C274CF" w:rsidP="00D70349">
      <w:pPr>
        <w:widowControl w:val="0"/>
        <w:spacing w:after="0" w:line="240" w:lineRule="auto"/>
        <w:ind w:left="426"/>
        <w:contextualSpacing/>
        <w:jc w:val="both"/>
        <w:rPr>
          <w:rFonts w:ascii="Cambria" w:eastAsiaTheme="minorHAnsi" w:hAnsi="Cambria"/>
          <w:sz w:val="20"/>
        </w:rPr>
      </w:pPr>
    </w:p>
    <w:bookmarkEnd w:id="1"/>
    <w:p w14:paraId="5F19BE0C" w14:textId="05D20C07" w:rsidR="005B1F10" w:rsidRPr="000468AB" w:rsidRDefault="005B1F10" w:rsidP="00F80C2B">
      <w:pPr>
        <w:rPr>
          <w:rFonts w:ascii="Cambria" w:hAnsi="Cambria"/>
          <w:kern w:val="0"/>
          <w:sz w:val="20"/>
          <w14:ligatures w14:val="none"/>
        </w:rPr>
      </w:pPr>
    </w:p>
    <w:sectPr w:rsidR="005B1F10" w:rsidRPr="000468AB" w:rsidSect="00892604">
      <w:footerReference w:type="default" r:id="rId10"/>
      <w:pgSz w:w="11906" w:h="16838" w:code="9"/>
      <w:pgMar w:top="1418" w:right="1418" w:bottom="1418" w:left="1418" w:header="851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0A579" w14:textId="77777777" w:rsidR="00272291" w:rsidRDefault="00272291" w:rsidP="00DD1A1D">
      <w:pPr>
        <w:spacing w:after="0" w:line="240" w:lineRule="auto"/>
      </w:pPr>
      <w:r>
        <w:separator/>
      </w:r>
    </w:p>
  </w:endnote>
  <w:endnote w:type="continuationSeparator" w:id="0">
    <w:p w14:paraId="164908DA" w14:textId="77777777" w:rsidR="00272291" w:rsidRDefault="00272291" w:rsidP="00DD1A1D">
      <w:pPr>
        <w:spacing w:after="0" w:line="240" w:lineRule="auto"/>
      </w:pPr>
      <w:r>
        <w:continuationSeparator/>
      </w:r>
    </w:p>
  </w:endnote>
  <w:endnote w:type="continuationNotice" w:id="1">
    <w:p w14:paraId="1CC03906" w14:textId="77777777" w:rsidR="00272291" w:rsidRDefault="00272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DFBE2" w14:textId="3DA01808" w:rsidR="00ED6497" w:rsidRPr="00D92816" w:rsidRDefault="00ED6497" w:rsidP="00994820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  <w:r w:rsidRPr="00D92816">
      <w:rPr>
        <w:rFonts w:ascii="Cambria" w:eastAsia="Calibri" w:hAnsi="Cambria" w:cs="Calibri"/>
        <w:sz w:val="20"/>
      </w:rPr>
      <w:fldChar w:fldCharType="begin"/>
    </w:r>
    <w:r w:rsidRPr="00D92816">
      <w:rPr>
        <w:rFonts w:ascii="Cambria" w:eastAsia="Calibri" w:hAnsi="Cambria" w:cs="Calibri"/>
        <w:sz w:val="20"/>
      </w:rPr>
      <w:instrText xml:space="preserve"> PAGE </w:instrText>
    </w:r>
    <w:r w:rsidRPr="00D92816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1</w:t>
    </w:r>
    <w:r w:rsidRPr="00D92816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7E30E" w14:textId="77777777" w:rsidR="00272291" w:rsidRDefault="00272291" w:rsidP="00DD1A1D">
      <w:pPr>
        <w:spacing w:after="0" w:line="240" w:lineRule="auto"/>
      </w:pPr>
      <w:r>
        <w:separator/>
      </w:r>
    </w:p>
  </w:footnote>
  <w:footnote w:type="continuationSeparator" w:id="0">
    <w:p w14:paraId="64A2CBA3" w14:textId="77777777" w:rsidR="00272291" w:rsidRDefault="00272291" w:rsidP="00DD1A1D">
      <w:pPr>
        <w:spacing w:after="0" w:line="240" w:lineRule="auto"/>
      </w:pPr>
      <w:r>
        <w:continuationSeparator/>
      </w:r>
    </w:p>
  </w:footnote>
  <w:footnote w:type="continuationNotice" w:id="1">
    <w:p w14:paraId="2B3E1CF4" w14:textId="77777777" w:rsidR="00272291" w:rsidRDefault="002722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49A5"/>
    <w:multiLevelType w:val="hybridMultilevel"/>
    <w:tmpl w:val="D41E29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79A"/>
    <w:multiLevelType w:val="hybridMultilevel"/>
    <w:tmpl w:val="3A509860"/>
    <w:lvl w:ilvl="0" w:tplc="3DECE2F4">
      <w:start w:val="1"/>
      <w:numFmt w:val="bullet"/>
      <w:lvlText w:val="-"/>
      <w:lvlJc w:val="left"/>
      <w:pPr>
        <w:ind w:left="764" w:hanging="360"/>
      </w:pPr>
      <w:rPr>
        <w:rFonts w:ascii="Cambria" w:hAnsi="Cambria" w:hint="default"/>
      </w:rPr>
    </w:lvl>
    <w:lvl w:ilvl="1" w:tplc="1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69B6CD7"/>
    <w:multiLevelType w:val="hybridMultilevel"/>
    <w:tmpl w:val="8FC4D9D0"/>
    <w:lvl w:ilvl="0" w:tplc="3DECE2F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E05BCB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EA467EF"/>
    <w:multiLevelType w:val="multilevel"/>
    <w:tmpl w:val="0414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852720981">
    <w:abstractNumId w:val="3"/>
  </w:num>
  <w:num w:numId="2" w16cid:durableId="1694766559">
    <w:abstractNumId w:val="4"/>
  </w:num>
  <w:num w:numId="3" w16cid:durableId="1388724477">
    <w:abstractNumId w:val="0"/>
  </w:num>
  <w:num w:numId="4" w16cid:durableId="839082848">
    <w:abstractNumId w:val="2"/>
  </w:num>
  <w:num w:numId="5" w16cid:durableId="975917635">
    <w:abstractNumId w:val="1"/>
  </w:num>
  <w:num w:numId="6" w16cid:durableId="3712524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E1A66"/>
    <w:rsid w:val="00003975"/>
    <w:rsid w:val="00012079"/>
    <w:rsid w:val="00020168"/>
    <w:rsid w:val="0002371C"/>
    <w:rsid w:val="00031D96"/>
    <w:rsid w:val="0004124F"/>
    <w:rsid w:val="00044800"/>
    <w:rsid w:val="000468AB"/>
    <w:rsid w:val="0005586B"/>
    <w:rsid w:val="000749B3"/>
    <w:rsid w:val="00076824"/>
    <w:rsid w:val="00077D71"/>
    <w:rsid w:val="00090706"/>
    <w:rsid w:val="000B2063"/>
    <w:rsid w:val="000B2D5A"/>
    <w:rsid w:val="000B4903"/>
    <w:rsid w:val="000D32AA"/>
    <w:rsid w:val="000D72B2"/>
    <w:rsid w:val="001056AC"/>
    <w:rsid w:val="001306EE"/>
    <w:rsid w:val="001322AB"/>
    <w:rsid w:val="00163C40"/>
    <w:rsid w:val="0016615A"/>
    <w:rsid w:val="001717A5"/>
    <w:rsid w:val="00181B83"/>
    <w:rsid w:val="00184E67"/>
    <w:rsid w:val="001B6503"/>
    <w:rsid w:val="001C16F3"/>
    <w:rsid w:val="001C63CC"/>
    <w:rsid w:val="001D054A"/>
    <w:rsid w:val="001F1A21"/>
    <w:rsid w:val="001F4021"/>
    <w:rsid w:val="00205995"/>
    <w:rsid w:val="00232CA6"/>
    <w:rsid w:val="00234711"/>
    <w:rsid w:val="00240B87"/>
    <w:rsid w:val="00256D02"/>
    <w:rsid w:val="0026278A"/>
    <w:rsid w:val="00272291"/>
    <w:rsid w:val="00286A81"/>
    <w:rsid w:val="002A301A"/>
    <w:rsid w:val="002B33EE"/>
    <w:rsid w:val="002C60CD"/>
    <w:rsid w:val="002D47F7"/>
    <w:rsid w:val="00307DAE"/>
    <w:rsid w:val="003135EC"/>
    <w:rsid w:val="00313C29"/>
    <w:rsid w:val="0033564C"/>
    <w:rsid w:val="00340803"/>
    <w:rsid w:val="00345590"/>
    <w:rsid w:val="003460A4"/>
    <w:rsid w:val="00351370"/>
    <w:rsid w:val="00365E63"/>
    <w:rsid w:val="003919AE"/>
    <w:rsid w:val="00395546"/>
    <w:rsid w:val="00397A55"/>
    <w:rsid w:val="00397D84"/>
    <w:rsid w:val="003A31E1"/>
    <w:rsid w:val="003A5869"/>
    <w:rsid w:val="003B3F22"/>
    <w:rsid w:val="003D6D68"/>
    <w:rsid w:val="003F4FC1"/>
    <w:rsid w:val="003F6E10"/>
    <w:rsid w:val="00403798"/>
    <w:rsid w:val="00404697"/>
    <w:rsid w:val="00417B17"/>
    <w:rsid w:val="00420240"/>
    <w:rsid w:val="00420261"/>
    <w:rsid w:val="0042127B"/>
    <w:rsid w:val="00426E36"/>
    <w:rsid w:val="00442A7E"/>
    <w:rsid w:val="004519E4"/>
    <w:rsid w:val="004706D2"/>
    <w:rsid w:val="00481B8D"/>
    <w:rsid w:val="0048307A"/>
    <w:rsid w:val="00493B52"/>
    <w:rsid w:val="004A0D12"/>
    <w:rsid w:val="004A32B2"/>
    <w:rsid w:val="004B12F9"/>
    <w:rsid w:val="004B430E"/>
    <w:rsid w:val="004C0002"/>
    <w:rsid w:val="004D5081"/>
    <w:rsid w:val="004F0130"/>
    <w:rsid w:val="004F5F13"/>
    <w:rsid w:val="004F6E81"/>
    <w:rsid w:val="00502BA0"/>
    <w:rsid w:val="0051308F"/>
    <w:rsid w:val="005142B3"/>
    <w:rsid w:val="00540166"/>
    <w:rsid w:val="005829AB"/>
    <w:rsid w:val="005859F0"/>
    <w:rsid w:val="005935C8"/>
    <w:rsid w:val="005A2939"/>
    <w:rsid w:val="005B1F10"/>
    <w:rsid w:val="005D4549"/>
    <w:rsid w:val="005D5E07"/>
    <w:rsid w:val="00601206"/>
    <w:rsid w:val="0060460A"/>
    <w:rsid w:val="006079EB"/>
    <w:rsid w:val="006412C4"/>
    <w:rsid w:val="00656910"/>
    <w:rsid w:val="00674D85"/>
    <w:rsid w:val="006751E3"/>
    <w:rsid w:val="00675CA5"/>
    <w:rsid w:val="00675E7D"/>
    <w:rsid w:val="006824D4"/>
    <w:rsid w:val="00687626"/>
    <w:rsid w:val="0069198A"/>
    <w:rsid w:val="00696FFC"/>
    <w:rsid w:val="006B530C"/>
    <w:rsid w:val="006C0AF9"/>
    <w:rsid w:val="006C0B30"/>
    <w:rsid w:val="006D4475"/>
    <w:rsid w:val="006D4664"/>
    <w:rsid w:val="006E33D1"/>
    <w:rsid w:val="006E3A3B"/>
    <w:rsid w:val="006F5E1C"/>
    <w:rsid w:val="007064C5"/>
    <w:rsid w:val="0070733D"/>
    <w:rsid w:val="00707DBC"/>
    <w:rsid w:val="00720412"/>
    <w:rsid w:val="007208A6"/>
    <w:rsid w:val="007219E1"/>
    <w:rsid w:val="00737F61"/>
    <w:rsid w:val="00741CC7"/>
    <w:rsid w:val="00743AF9"/>
    <w:rsid w:val="00747BDF"/>
    <w:rsid w:val="00747CBC"/>
    <w:rsid w:val="00755D88"/>
    <w:rsid w:val="00756F32"/>
    <w:rsid w:val="0076214B"/>
    <w:rsid w:val="00776FF9"/>
    <w:rsid w:val="00785E09"/>
    <w:rsid w:val="00793531"/>
    <w:rsid w:val="007972C7"/>
    <w:rsid w:val="007A3908"/>
    <w:rsid w:val="007B2B06"/>
    <w:rsid w:val="007B65E1"/>
    <w:rsid w:val="007C40DC"/>
    <w:rsid w:val="007C72A3"/>
    <w:rsid w:val="007D4513"/>
    <w:rsid w:val="007D6043"/>
    <w:rsid w:val="007E3B4E"/>
    <w:rsid w:val="00807FE2"/>
    <w:rsid w:val="008200E9"/>
    <w:rsid w:val="00822CB6"/>
    <w:rsid w:val="008267B1"/>
    <w:rsid w:val="00832548"/>
    <w:rsid w:val="00844012"/>
    <w:rsid w:val="0084475F"/>
    <w:rsid w:val="00864905"/>
    <w:rsid w:val="00876A27"/>
    <w:rsid w:val="00882F05"/>
    <w:rsid w:val="00892604"/>
    <w:rsid w:val="008949F9"/>
    <w:rsid w:val="00896F71"/>
    <w:rsid w:val="008B0174"/>
    <w:rsid w:val="008D10AF"/>
    <w:rsid w:val="008E2C2E"/>
    <w:rsid w:val="008E67E2"/>
    <w:rsid w:val="00905A20"/>
    <w:rsid w:val="00907725"/>
    <w:rsid w:val="00931196"/>
    <w:rsid w:val="009740B8"/>
    <w:rsid w:val="009818BE"/>
    <w:rsid w:val="009830DC"/>
    <w:rsid w:val="00983945"/>
    <w:rsid w:val="0098632C"/>
    <w:rsid w:val="00986F8E"/>
    <w:rsid w:val="00987C05"/>
    <w:rsid w:val="00994820"/>
    <w:rsid w:val="009B059B"/>
    <w:rsid w:val="009D282D"/>
    <w:rsid w:val="009D28FE"/>
    <w:rsid w:val="009D3873"/>
    <w:rsid w:val="009D6FD3"/>
    <w:rsid w:val="009E1A66"/>
    <w:rsid w:val="00A16DE1"/>
    <w:rsid w:val="00A31F15"/>
    <w:rsid w:val="00A32F6B"/>
    <w:rsid w:val="00A41B50"/>
    <w:rsid w:val="00A507B1"/>
    <w:rsid w:val="00A51720"/>
    <w:rsid w:val="00A568B2"/>
    <w:rsid w:val="00A6464B"/>
    <w:rsid w:val="00A64DC4"/>
    <w:rsid w:val="00A67D4B"/>
    <w:rsid w:val="00A7284E"/>
    <w:rsid w:val="00A765BA"/>
    <w:rsid w:val="00A81052"/>
    <w:rsid w:val="00A86638"/>
    <w:rsid w:val="00A925F4"/>
    <w:rsid w:val="00A95E68"/>
    <w:rsid w:val="00AC25D3"/>
    <w:rsid w:val="00AC5449"/>
    <w:rsid w:val="00AC7268"/>
    <w:rsid w:val="00AF6E0E"/>
    <w:rsid w:val="00B04FA0"/>
    <w:rsid w:val="00B368DC"/>
    <w:rsid w:val="00B50C50"/>
    <w:rsid w:val="00B769F1"/>
    <w:rsid w:val="00B80026"/>
    <w:rsid w:val="00B833AA"/>
    <w:rsid w:val="00B92889"/>
    <w:rsid w:val="00BA1984"/>
    <w:rsid w:val="00BA4AB0"/>
    <w:rsid w:val="00BB42D1"/>
    <w:rsid w:val="00BB5105"/>
    <w:rsid w:val="00BB5B5F"/>
    <w:rsid w:val="00BC09A9"/>
    <w:rsid w:val="00BC3A38"/>
    <w:rsid w:val="00BC5F68"/>
    <w:rsid w:val="00BE2362"/>
    <w:rsid w:val="00BE237A"/>
    <w:rsid w:val="00BE4725"/>
    <w:rsid w:val="00BF1370"/>
    <w:rsid w:val="00C02C29"/>
    <w:rsid w:val="00C0371A"/>
    <w:rsid w:val="00C04622"/>
    <w:rsid w:val="00C20F98"/>
    <w:rsid w:val="00C25AA3"/>
    <w:rsid w:val="00C26E76"/>
    <w:rsid w:val="00C274CF"/>
    <w:rsid w:val="00C4243F"/>
    <w:rsid w:val="00C51A76"/>
    <w:rsid w:val="00C6737F"/>
    <w:rsid w:val="00C7025D"/>
    <w:rsid w:val="00C74D7A"/>
    <w:rsid w:val="00C80241"/>
    <w:rsid w:val="00CB5949"/>
    <w:rsid w:val="00CC1A61"/>
    <w:rsid w:val="00CC4B35"/>
    <w:rsid w:val="00CD70EC"/>
    <w:rsid w:val="00CE230E"/>
    <w:rsid w:val="00CE59B6"/>
    <w:rsid w:val="00CF5124"/>
    <w:rsid w:val="00CF7738"/>
    <w:rsid w:val="00D060BF"/>
    <w:rsid w:val="00D06C55"/>
    <w:rsid w:val="00D109DC"/>
    <w:rsid w:val="00D20258"/>
    <w:rsid w:val="00D24F52"/>
    <w:rsid w:val="00D3382A"/>
    <w:rsid w:val="00D34A93"/>
    <w:rsid w:val="00D513A0"/>
    <w:rsid w:val="00D55AF2"/>
    <w:rsid w:val="00D67DC6"/>
    <w:rsid w:val="00D70349"/>
    <w:rsid w:val="00D7092F"/>
    <w:rsid w:val="00D9611C"/>
    <w:rsid w:val="00DA2054"/>
    <w:rsid w:val="00DA3B5D"/>
    <w:rsid w:val="00DA5326"/>
    <w:rsid w:val="00DA785A"/>
    <w:rsid w:val="00DB2B05"/>
    <w:rsid w:val="00DB4724"/>
    <w:rsid w:val="00DC241C"/>
    <w:rsid w:val="00DC3FE1"/>
    <w:rsid w:val="00DC62A1"/>
    <w:rsid w:val="00DC679C"/>
    <w:rsid w:val="00DD1A1D"/>
    <w:rsid w:val="00DD56C8"/>
    <w:rsid w:val="00DE14C4"/>
    <w:rsid w:val="00DE2236"/>
    <w:rsid w:val="00E06A65"/>
    <w:rsid w:val="00E06CA8"/>
    <w:rsid w:val="00E0709F"/>
    <w:rsid w:val="00E16D6B"/>
    <w:rsid w:val="00E36893"/>
    <w:rsid w:val="00E40EB6"/>
    <w:rsid w:val="00E5784A"/>
    <w:rsid w:val="00E66DCF"/>
    <w:rsid w:val="00E66E28"/>
    <w:rsid w:val="00E858EF"/>
    <w:rsid w:val="00E92997"/>
    <w:rsid w:val="00E955F3"/>
    <w:rsid w:val="00EB608F"/>
    <w:rsid w:val="00EC5A50"/>
    <w:rsid w:val="00ED4CEF"/>
    <w:rsid w:val="00ED6497"/>
    <w:rsid w:val="00EE3D7C"/>
    <w:rsid w:val="00EF5012"/>
    <w:rsid w:val="00EF5449"/>
    <w:rsid w:val="00F100E4"/>
    <w:rsid w:val="00F1427B"/>
    <w:rsid w:val="00F26215"/>
    <w:rsid w:val="00F36E14"/>
    <w:rsid w:val="00F40C7F"/>
    <w:rsid w:val="00F43C0E"/>
    <w:rsid w:val="00F518D0"/>
    <w:rsid w:val="00F70D4F"/>
    <w:rsid w:val="00F729D2"/>
    <w:rsid w:val="00F80C2B"/>
    <w:rsid w:val="00F82B47"/>
    <w:rsid w:val="00F84C10"/>
    <w:rsid w:val="00F87E8D"/>
    <w:rsid w:val="00F9257F"/>
    <w:rsid w:val="00FA4526"/>
    <w:rsid w:val="00FA45FA"/>
    <w:rsid w:val="00FB42C2"/>
    <w:rsid w:val="00FB7861"/>
    <w:rsid w:val="00FC3F87"/>
    <w:rsid w:val="00FD130A"/>
    <w:rsid w:val="00FD4A6F"/>
    <w:rsid w:val="00FD6EB6"/>
    <w:rsid w:val="00FE3E15"/>
    <w:rsid w:val="00FF6683"/>
    <w:rsid w:val="15EE6D60"/>
    <w:rsid w:val="1BD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1EC4"/>
  <w15:chartTrackingRefBased/>
  <w15:docId w15:val="{BA90F5C3-4E7D-40D4-B5AE-90B5A57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E1"/>
  </w:style>
  <w:style w:type="paragraph" w:styleId="Heading1">
    <w:name w:val="heading 1"/>
    <w:basedOn w:val="ListParagraph"/>
    <w:next w:val="Normal"/>
    <w:link w:val="Heading1Char"/>
    <w:uiPriority w:val="9"/>
    <w:qFormat/>
    <w:rsid w:val="00DC3FE1"/>
    <w:pPr>
      <w:numPr>
        <w:numId w:val="1"/>
      </w:numPr>
      <w:spacing w:before="240" w:after="240"/>
      <w:ind w:left="431" w:hanging="431"/>
      <w:outlineLvl w:val="0"/>
    </w:pPr>
    <w:rPr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C3FE1"/>
    <w:pPr>
      <w:numPr>
        <w:ilvl w:val="1"/>
      </w:numPr>
      <w:outlineLvl w:val="1"/>
    </w:pPr>
    <w:rPr>
      <w:bCs w:val="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196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F8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F8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F8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F8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F8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F8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E1A66"/>
  </w:style>
  <w:style w:type="paragraph" w:styleId="ListParagraph">
    <w:name w:val="List Paragraph"/>
    <w:basedOn w:val="Normal"/>
    <w:uiPriority w:val="34"/>
    <w:qFormat/>
    <w:rsid w:val="009E1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3FE1"/>
    <w:rPr>
      <w:b/>
      <w:bCs/>
      <w:sz w:val="32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DC3FE1"/>
    <w:rPr>
      <w:b/>
      <w:sz w:val="28"/>
      <w:szCs w:val="24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931196"/>
    <w:rPr>
      <w:rFonts w:eastAsiaTheme="majorEastAsia" w:cstheme="majorBidi"/>
      <w:i/>
      <w:color w:val="000000" w:themeColor="text1"/>
      <w:sz w:val="24"/>
      <w:szCs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F8E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F8E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F8E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F8E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F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F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customStyle="1" w:styleId="Default">
    <w:name w:val="Default"/>
    <w:rsid w:val="00FD13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numbering" w:customStyle="1" w:styleId="Style1">
    <w:name w:val="Style1"/>
    <w:uiPriority w:val="99"/>
    <w:rsid w:val="00FD130A"/>
    <w:pPr>
      <w:numPr>
        <w:numId w:val="2"/>
      </w:numPr>
    </w:pPr>
  </w:style>
  <w:style w:type="table" w:styleId="TableGrid">
    <w:name w:val="Table Grid"/>
    <w:basedOn w:val="TableNormal"/>
    <w:uiPriority w:val="39"/>
    <w:rsid w:val="00FD130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FD130A"/>
  </w:style>
  <w:style w:type="character" w:styleId="CommentReference">
    <w:name w:val="annotation reference"/>
    <w:basedOn w:val="DefaultParagraphFont"/>
    <w:uiPriority w:val="99"/>
    <w:semiHidden/>
    <w:unhideWhenUsed/>
    <w:rsid w:val="00FD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30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130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FD130A"/>
    <w:rPr>
      <w:color w:val="2B579A"/>
      <w:shd w:val="clear" w:color="auto" w:fill="E1DFDD"/>
    </w:rPr>
  </w:style>
  <w:style w:type="paragraph" w:customStyle="1" w:styleId="pf0">
    <w:name w:val="pf0"/>
    <w:basedOn w:val="Normal"/>
    <w:rsid w:val="00FD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customStyle="1" w:styleId="cf01">
    <w:name w:val="cf01"/>
    <w:basedOn w:val="DefaultParagraphFont"/>
    <w:rsid w:val="00FD130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C3FE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E1"/>
    <w:rPr>
      <w:b/>
      <w:bCs/>
      <w:sz w:val="20"/>
      <w:szCs w:val="20"/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6E3A3B"/>
    <w:pPr>
      <w:keepNext/>
      <w:keepLines/>
      <w:numPr>
        <w:numId w:val="0"/>
      </w:numPr>
      <w:spacing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E3A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E3A3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3A3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D1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A1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DD1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A1D"/>
    <w:rPr>
      <w:lang w:val="es-ES"/>
    </w:rPr>
  </w:style>
  <w:style w:type="table" w:customStyle="1" w:styleId="TableGrid1">
    <w:name w:val="Table Grid1"/>
    <w:basedOn w:val="TableNormal"/>
    <w:next w:val="TableGrid"/>
    <w:uiPriority w:val="39"/>
    <w:rsid w:val="0026278A"/>
    <w:pPr>
      <w:spacing w:after="0" w:line="240" w:lineRule="auto"/>
      <w:jc w:val="both"/>
    </w:pPr>
    <w:rPr>
      <w:rFonts w:eastAsia="Malgun Gothic"/>
      <w:sz w:val="2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8" ma:contentTypeDescription="Create a new document." ma:contentTypeScope="" ma:versionID="76c4afeff166677ca1bd60ada8c3ccac">
  <xsd:schema xmlns:xsd="http://www.w3.org/2001/XMLSchema" xmlns:xs="http://www.w3.org/2001/XMLSchema" xmlns:p="http://schemas.microsoft.com/office/2006/metadata/properties" xmlns:ns1="http://schemas.microsoft.com/sharepoint/v3" xmlns:ns2="33e07890-6196-4e26-9dd2-53178dae8e48" xmlns:ns3="faa54b14-608b-44ba-8621-4287d9574b27" targetNamespace="http://schemas.microsoft.com/office/2006/metadata/properties" ma:root="true" ma:fieldsID="f594ce8ffa3666a1c08abd4334e8c190" ns1:_="" ns2:_="" ns3:_="">
    <xsd:import namespace="http://schemas.microsoft.com/sharepoint/v3"/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6a6631-4353-4bc1-8e74-4a49f1add123}" ma:internalName="TaxCatchAll" ma:showField="CatchAllData" ma:web="faa54b14-608b-44ba-8621-4287d9574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aa54b14-608b-44ba-8621-4287d9574b27" xsi:nil="true"/>
    <lcf76f155ced4ddcb4097134ff3c332f xmlns="33e07890-6196-4e26-9dd2-53178dae8e4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91214-DEE3-4F11-A115-A0CBB161B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85875-DC1E-4C1B-A5A8-610049E7BD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a54b14-608b-44ba-8621-4287d9574b27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7884FD3D-B18B-49D5-8087-E24358BB5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Author</cp:lastModifiedBy>
  <cp:revision>13</cp:revision>
  <dcterms:created xsi:type="dcterms:W3CDTF">2024-10-18T09:17:00Z</dcterms:created>
  <dcterms:modified xsi:type="dcterms:W3CDTF">2024-12-12T11:17:00Z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2024-10-02T16:07:41Z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cd4d6afe-6e70-4225-a97e-a4736657c554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0x010100ECFDF3D715AA394A9B15E0E0FAA07E37</vt:lpwstr>
  </property>
</Properties>
</file>