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1791C" w:rsidRDefault="002230DC">
      <w:pPr>
        <w:pBdr>
          <w:top w:val="single" w:sz="4" w:space="1" w:color="000000"/>
          <w:left w:val="single" w:sz="4" w:space="4" w:color="000000"/>
          <w:bottom w:val="single" w:sz="4" w:space="1" w:color="000000"/>
          <w:right w:val="single" w:sz="4" w:space="4" w:color="000000"/>
        </w:pBdr>
        <w:rPr>
          <w:rFonts w:ascii="Cambria" w:eastAsia="Cambria" w:hAnsi="Cambria" w:cs="Cambria"/>
          <w:b/>
          <w:sz w:val="20"/>
          <w:szCs w:val="20"/>
        </w:rPr>
      </w:pPr>
      <w:r>
        <w:rPr>
          <w:rFonts w:ascii="Cambria" w:eastAsia="Cambria" w:hAnsi="Cambria" w:cs="Cambria"/>
          <w:b/>
          <w:sz w:val="20"/>
          <w:szCs w:val="20"/>
        </w:rPr>
        <w:t>24-04</w:t>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t>TRO</w:t>
      </w:r>
    </w:p>
    <w:p w14:paraId="00000002" w14:textId="77777777" w:rsidR="0011791C" w:rsidRDefault="002230DC">
      <w:pPr>
        <w:pBdr>
          <w:top w:val="single" w:sz="4" w:space="1" w:color="000000"/>
          <w:left w:val="single" w:sz="4" w:space="4" w:color="000000"/>
          <w:bottom w:val="single" w:sz="4" w:space="1" w:color="000000"/>
          <w:right w:val="single" w:sz="4" w:space="4" w:color="000000"/>
        </w:pBdr>
        <w:jc w:val="center"/>
        <w:rPr>
          <w:rFonts w:ascii="Cambria" w:eastAsia="Cambria" w:hAnsi="Cambria" w:cs="Cambria"/>
          <w:b/>
          <w:sz w:val="20"/>
          <w:szCs w:val="20"/>
        </w:rPr>
      </w:pPr>
      <w:r>
        <w:rPr>
          <w:rFonts w:ascii="Cambria" w:eastAsia="Cambria" w:hAnsi="Cambria" w:cs="Cambria"/>
          <w:b/>
          <w:sz w:val="20"/>
          <w:szCs w:val="20"/>
        </w:rPr>
        <w:t xml:space="preserve">RECOMMENDATION BY ICCAT ON A CANDIDATE MANAGEMENT PROCEDURE </w:t>
      </w:r>
    </w:p>
    <w:p w14:paraId="00000003" w14:textId="77777777" w:rsidR="0011791C" w:rsidRDefault="002230DC">
      <w:pPr>
        <w:pBdr>
          <w:top w:val="single" w:sz="4" w:space="1" w:color="000000"/>
          <w:left w:val="single" w:sz="4" w:space="4" w:color="000000"/>
          <w:bottom w:val="single" w:sz="4" w:space="1" w:color="000000"/>
          <w:right w:val="single" w:sz="4" w:space="4" w:color="000000"/>
        </w:pBdr>
        <w:jc w:val="center"/>
        <w:rPr>
          <w:rFonts w:ascii="Cambria" w:eastAsia="Cambria" w:hAnsi="Cambria" w:cs="Cambria"/>
          <w:b/>
          <w:sz w:val="20"/>
          <w:szCs w:val="20"/>
        </w:rPr>
      </w:pPr>
      <w:r>
        <w:rPr>
          <w:rFonts w:ascii="Cambria" w:eastAsia="Cambria" w:hAnsi="Cambria" w:cs="Cambria"/>
          <w:b/>
          <w:sz w:val="20"/>
          <w:szCs w:val="20"/>
        </w:rPr>
        <w:t>FOR WESTERN ATLANTIC SKIPJACK TUNA</w:t>
      </w:r>
    </w:p>
    <w:p w14:paraId="00000004" w14:textId="77777777" w:rsidR="0011791C" w:rsidRDefault="0011791C">
      <w:pPr>
        <w:spacing w:line="234" w:lineRule="auto"/>
        <w:ind w:right="68"/>
        <w:rPr>
          <w:rFonts w:ascii="Cambria" w:eastAsia="Cambria" w:hAnsi="Cambria" w:cs="Cambria"/>
          <w:b/>
          <w:sz w:val="20"/>
          <w:szCs w:val="20"/>
        </w:rPr>
      </w:pPr>
    </w:p>
    <w:p w14:paraId="00000005" w14:textId="5C54E4BF" w:rsidR="0011791C" w:rsidRDefault="0011791C">
      <w:pPr>
        <w:spacing w:line="234" w:lineRule="auto"/>
        <w:rPr>
          <w:rFonts w:ascii="Cambria" w:eastAsia="Cambria" w:hAnsi="Cambria" w:cs="Cambria"/>
          <w:b/>
          <w:sz w:val="20"/>
          <w:szCs w:val="20"/>
        </w:rPr>
      </w:pPr>
    </w:p>
    <w:p w14:paraId="00000006" w14:textId="77777777" w:rsidR="0011791C" w:rsidRDefault="0011791C">
      <w:pPr>
        <w:spacing w:line="234" w:lineRule="auto"/>
        <w:rPr>
          <w:rFonts w:ascii="Cambria" w:eastAsia="Cambria" w:hAnsi="Cambria" w:cs="Cambria"/>
          <w:b/>
          <w:sz w:val="20"/>
          <w:szCs w:val="20"/>
        </w:rPr>
      </w:pPr>
    </w:p>
    <w:p w14:paraId="00000007" w14:textId="77777777" w:rsidR="0011791C" w:rsidRDefault="002230DC">
      <w:pPr>
        <w:widowControl w:val="0"/>
        <w:pBdr>
          <w:top w:val="nil"/>
          <w:left w:val="nil"/>
          <w:bottom w:val="nil"/>
          <w:right w:val="nil"/>
          <w:between w:val="nil"/>
        </w:pBdr>
        <w:ind w:firstLine="432"/>
        <w:jc w:val="both"/>
        <w:rPr>
          <w:rFonts w:ascii="Cambria" w:eastAsia="Cambria" w:hAnsi="Cambria" w:cs="Cambria"/>
          <w:color w:val="000000"/>
          <w:sz w:val="20"/>
          <w:szCs w:val="20"/>
        </w:rPr>
      </w:pPr>
      <w:r>
        <w:rPr>
          <w:rFonts w:ascii="Cambria" w:eastAsia="Cambria" w:hAnsi="Cambria" w:cs="Cambria"/>
          <w:i/>
          <w:color w:val="000000"/>
          <w:sz w:val="20"/>
          <w:szCs w:val="20"/>
        </w:rPr>
        <w:t xml:space="preserve">RECALLING </w:t>
      </w:r>
      <w:r>
        <w:rPr>
          <w:rFonts w:ascii="Cambria" w:eastAsia="Cambria" w:hAnsi="Cambria" w:cs="Cambria"/>
          <w:color w:val="000000"/>
          <w:sz w:val="20"/>
          <w:szCs w:val="20"/>
        </w:rPr>
        <w:t xml:space="preserve">the intent of the Commission to adopt management procedures (MPs) tested through management strategy evaluation (MSE) for priority stocks, including western skipjack tuna, as established in the </w:t>
      </w:r>
      <w:r>
        <w:rPr>
          <w:rFonts w:ascii="Cambria" w:eastAsia="Cambria" w:hAnsi="Cambria" w:cs="Cambria"/>
          <w:i/>
          <w:color w:val="000000"/>
          <w:sz w:val="20"/>
          <w:szCs w:val="20"/>
        </w:rPr>
        <w:t>Recommendation by ICCAT on the development of harvest control rules and of management strategy evaluation</w:t>
      </w:r>
      <w:r>
        <w:rPr>
          <w:rFonts w:ascii="Cambria" w:eastAsia="Cambria" w:hAnsi="Cambria" w:cs="Cambria"/>
          <w:color w:val="000000"/>
          <w:sz w:val="20"/>
          <w:szCs w:val="20"/>
        </w:rPr>
        <w:t xml:space="preserve"> (Rec. 15-07) to manage fisheries more effectively in the face of identified uncertainties; </w:t>
      </w:r>
    </w:p>
    <w:p w14:paraId="00000008" w14:textId="77777777" w:rsidR="0011791C" w:rsidRDefault="0011791C">
      <w:pPr>
        <w:widowControl w:val="0"/>
        <w:pBdr>
          <w:top w:val="nil"/>
          <w:left w:val="nil"/>
          <w:bottom w:val="nil"/>
          <w:right w:val="nil"/>
          <w:between w:val="nil"/>
        </w:pBdr>
        <w:ind w:firstLine="432"/>
        <w:jc w:val="both"/>
        <w:rPr>
          <w:rFonts w:ascii="Cambria" w:eastAsia="Cambria" w:hAnsi="Cambria" w:cs="Cambria"/>
          <w:color w:val="000000"/>
          <w:sz w:val="20"/>
          <w:szCs w:val="20"/>
        </w:rPr>
      </w:pPr>
    </w:p>
    <w:p w14:paraId="00000009" w14:textId="44D0491C" w:rsidR="0011791C" w:rsidRDefault="002230DC">
      <w:pPr>
        <w:widowControl w:val="0"/>
        <w:pBdr>
          <w:top w:val="nil"/>
          <w:left w:val="nil"/>
          <w:bottom w:val="nil"/>
          <w:right w:val="nil"/>
          <w:between w:val="nil"/>
        </w:pBdr>
        <w:ind w:firstLine="432"/>
        <w:jc w:val="both"/>
        <w:rPr>
          <w:rFonts w:ascii="Cambria" w:eastAsia="Cambria" w:hAnsi="Cambria" w:cs="Cambria"/>
          <w:color w:val="000000"/>
          <w:sz w:val="20"/>
          <w:szCs w:val="20"/>
        </w:rPr>
      </w:pPr>
      <w:r>
        <w:rPr>
          <w:rFonts w:ascii="Cambria" w:eastAsia="Cambria" w:hAnsi="Cambria" w:cs="Cambria"/>
          <w:i/>
          <w:color w:val="000000"/>
          <w:sz w:val="20"/>
          <w:szCs w:val="20"/>
        </w:rPr>
        <w:t>RECALLING</w:t>
      </w:r>
      <w:r>
        <w:rPr>
          <w:rFonts w:ascii="Cambria" w:eastAsia="Cambria" w:hAnsi="Cambria" w:cs="Cambria"/>
          <w:color w:val="000000"/>
          <w:sz w:val="20"/>
          <w:szCs w:val="20"/>
        </w:rPr>
        <w:t xml:space="preserve"> the application of the precautionary approach in accordance with relevant international standards as established in the </w:t>
      </w:r>
      <w:r>
        <w:rPr>
          <w:rFonts w:ascii="Cambria" w:eastAsia="Cambria" w:hAnsi="Cambria" w:cs="Cambria"/>
          <w:i/>
          <w:color w:val="000000"/>
          <w:sz w:val="20"/>
          <w:szCs w:val="20"/>
        </w:rPr>
        <w:t>Resolution by ICCAT concerning the use of a precautionary approach in implementing ICCAT conservation and management measures</w:t>
      </w:r>
      <w:r>
        <w:rPr>
          <w:rFonts w:ascii="Cambria" w:eastAsia="Cambria" w:hAnsi="Cambria" w:cs="Cambria"/>
          <w:color w:val="000000"/>
          <w:sz w:val="20"/>
          <w:szCs w:val="20"/>
        </w:rPr>
        <w:t xml:space="preserve"> (Res. 15-12); </w:t>
      </w:r>
    </w:p>
    <w:p w14:paraId="0000000A" w14:textId="77777777" w:rsidR="0011791C" w:rsidRDefault="0011791C">
      <w:pPr>
        <w:widowControl w:val="0"/>
        <w:pBdr>
          <w:top w:val="nil"/>
          <w:left w:val="nil"/>
          <w:bottom w:val="nil"/>
          <w:right w:val="nil"/>
          <w:between w:val="nil"/>
        </w:pBdr>
        <w:ind w:firstLine="432"/>
        <w:jc w:val="both"/>
        <w:rPr>
          <w:rFonts w:ascii="Cambria" w:eastAsia="Cambria" w:hAnsi="Cambria" w:cs="Cambria"/>
          <w:color w:val="000000"/>
          <w:sz w:val="20"/>
          <w:szCs w:val="20"/>
        </w:rPr>
      </w:pPr>
    </w:p>
    <w:p w14:paraId="0000000B" w14:textId="77777777" w:rsidR="0011791C" w:rsidRDefault="002230DC">
      <w:pPr>
        <w:widowControl w:val="0"/>
        <w:pBdr>
          <w:top w:val="nil"/>
          <w:left w:val="nil"/>
          <w:bottom w:val="nil"/>
          <w:right w:val="nil"/>
          <w:between w:val="nil"/>
        </w:pBdr>
        <w:ind w:firstLine="432"/>
        <w:jc w:val="both"/>
        <w:rPr>
          <w:rFonts w:ascii="Cambria" w:eastAsia="Cambria" w:hAnsi="Cambria" w:cs="Cambria"/>
          <w:color w:val="000000"/>
          <w:sz w:val="20"/>
          <w:szCs w:val="20"/>
        </w:rPr>
      </w:pPr>
      <w:r>
        <w:rPr>
          <w:rFonts w:ascii="Cambria" w:eastAsia="Cambria" w:hAnsi="Cambria" w:cs="Cambria"/>
          <w:i/>
          <w:color w:val="000000"/>
          <w:sz w:val="20"/>
          <w:szCs w:val="20"/>
        </w:rPr>
        <w:t>TAKING INTO ACCOUNT</w:t>
      </w:r>
      <w:r>
        <w:rPr>
          <w:rFonts w:ascii="Cambria" w:eastAsia="Cambria" w:hAnsi="Cambria" w:cs="Cambria"/>
          <w:color w:val="000000"/>
          <w:sz w:val="20"/>
          <w:szCs w:val="20"/>
        </w:rPr>
        <w:t xml:space="preserve"> the efforts to sustainably manage the western Atlantic skipjack stock, consistent with the objectives of the Convention and the </w:t>
      </w:r>
      <w:r>
        <w:rPr>
          <w:rFonts w:ascii="Cambria" w:eastAsia="Cambria" w:hAnsi="Cambria" w:cs="Cambria"/>
          <w:i/>
          <w:color w:val="000000"/>
          <w:sz w:val="20"/>
          <w:szCs w:val="20"/>
        </w:rPr>
        <w:t>Recommendation by ICCAT on the principles of decision making for ICCAT conservation and management measures</w:t>
      </w:r>
      <w:r>
        <w:rPr>
          <w:rFonts w:ascii="Cambria" w:eastAsia="Cambria" w:hAnsi="Cambria" w:cs="Cambria"/>
          <w:color w:val="000000"/>
          <w:sz w:val="20"/>
          <w:szCs w:val="20"/>
        </w:rPr>
        <w:t xml:space="preserve"> (Rec. 11-13); </w:t>
      </w:r>
    </w:p>
    <w:p w14:paraId="0000000C" w14:textId="77777777" w:rsidR="0011791C" w:rsidRDefault="0011791C">
      <w:pPr>
        <w:widowControl w:val="0"/>
        <w:pBdr>
          <w:top w:val="nil"/>
          <w:left w:val="nil"/>
          <w:bottom w:val="nil"/>
          <w:right w:val="nil"/>
          <w:between w:val="nil"/>
        </w:pBdr>
        <w:ind w:firstLine="432"/>
        <w:jc w:val="both"/>
        <w:rPr>
          <w:rFonts w:ascii="Cambria" w:eastAsia="Cambria" w:hAnsi="Cambria" w:cs="Cambria"/>
          <w:color w:val="000000"/>
          <w:sz w:val="20"/>
          <w:szCs w:val="20"/>
        </w:rPr>
      </w:pPr>
    </w:p>
    <w:p w14:paraId="0000000D" w14:textId="6E407E32" w:rsidR="0011791C" w:rsidRDefault="002230DC">
      <w:pPr>
        <w:widowControl w:val="0"/>
        <w:pBdr>
          <w:top w:val="nil"/>
          <w:left w:val="nil"/>
          <w:bottom w:val="nil"/>
          <w:right w:val="nil"/>
          <w:between w:val="nil"/>
        </w:pBdr>
        <w:ind w:firstLine="432"/>
        <w:jc w:val="both"/>
        <w:rPr>
          <w:rFonts w:ascii="Cambria" w:eastAsia="Cambria" w:hAnsi="Cambria" w:cs="Cambria"/>
          <w:color w:val="000000"/>
          <w:sz w:val="20"/>
          <w:szCs w:val="20"/>
        </w:rPr>
      </w:pPr>
      <w:r>
        <w:rPr>
          <w:rFonts w:ascii="Cambria" w:eastAsia="Cambria" w:hAnsi="Cambria" w:cs="Cambria"/>
          <w:i/>
          <w:color w:val="000000"/>
          <w:sz w:val="20"/>
          <w:szCs w:val="20"/>
        </w:rPr>
        <w:t>TAKING FURTHER INTO ACCOUNT</w:t>
      </w:r>
      <w:r>
        <w:rPr>
          <w:rFonts w:ascii="Cambria" w:eastAsia="Cambria" w:hAnsi="Cambria" w:cs="Cambria"/>
          <w:color w:val="000000"/>
          <w:sz w:val="20"/>
          <w:szCs w:val="20"/>
        </w:rPr>
        <w:t xml:space="preserve"> the relatively short life cycle and highly variable population dynamic of the skipjack tuna species;</w:t>
      </w:r>
    </w:p>
    <w:p w14:paraId="0000000E" w14:textId="77777777" w:rsidR="0011791C" w:rsidRDefault="002230DC">
      <w:pPr>
        <w:widowControl w:val="0"/>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 xml:space="preserve"> </w:t>
      </w:r>
    </w:p>
    <w:p w14:paraId="0000000F" w14:textId="77777777" w:rsidR="0011791C" w:rsidRDefault="002230DC">
      <w:pPr>
        <w:widowControl w:val="0"/>
        <w:pBdr>
          <w:top w:val="nil"/>
          <w:left w:val="nil"/>
          <w:bottom w:val="nil"/>
          <w:right w:val="nil"/>
          <w:between w:val="nil"/>
        </w:pBdr>
        <w:ind w:firstLine="432"/>
        <w:jc w:val="both"/>
        <w:rPr>
          <w:rFonts w:ascii="Cambria" w:eastAsia="Cambria" w:hAnsi="Cambria" w:cs="Cambria"/>
          <w:color w:val="000000"/>
          <w:sz w:val="20"/>
          <w:szCs w:val="20"/>
        </w:rPr>
      </w:pPr>
      <w:r>
        <w:rPr>
          <w:rFonts w:ascii="Cambria" w:eastAsia="Cambria" w:hAnsi="Cambria" w:cs="Cambria"/>
          <w:i/>
          <w:color w:val="000000"/>
          <w:sz w:val="20"/>
          <w:szCs w:val="20"/>
        </w:rPr>
        <w:t>NOTING</w:t>
      </w:r>
      <w:r>
        <w:rPr>
          <w:rFonts w:ascii="Cambria" w:eastAsia="Cambria" w:hAnsi="Cambria" w:cs="Cambria"/>
          <w:color w:val="000000"/>
          <w:sz w:val="20"/>
          <w:szCs w:val="20"/>
        </w:rPr>
        <w:t xml:space="preserve"> the conclusions of the 2022 Stock Assessment conducted by the ICCAT Standing Committee on Research and Statistics (SCRS), which indicated that the western Atlantic skipjack stock is most likely located in the green quadrant of the Kobe plot, indicating that the stock is not overfished and overfishing is not occurring; </w:t>
      </w:r>
    </w:p>
    <w:p w14:paraId="00000010" w14:textId="77777777" w:rsidR="0011791C" w:rsidRDefault="0011791C">
      <w:pPr>
        <w:widowControl w:val="0"/>
        <w:pBdr>
          <w:top w:val="nil"/>
          <w:left w:val="nil"/>
          <w:bottom w:val="nil"/>
          <w:right w:val="nil"/>
          <w:between w:val="nil"/>
        </w:pBdr>
        <w:ind w:right="68" w:firstLine="432"/>
        <w:jc w:val="both"/>
        <w:rPr>
          <w:rFonts w:ascii="Cambria" w:eastAsia="Cambria" w:hAnsi="Cambria" w:cs="Cambria"/>
          <w:color w:val="000000"/>
          <w:sz w:val="20"/>
          <w:szCs w:val="20"/>
        </w:rPr>
      </w:pPr>
    </w:p>
    <w:p w14:paraId="00000011" w14:textId="77777777" w:rsidR="0011791C" w:rsidRDefault="002230DC">
      <w:pPr>
        <w:widowControl w:val="0"/>
        <w:pBdr>
          <w:top w:val="nil"/>
          <w:left w:val="nil"/>
          <w:bottom w:val="nil"/>
          <w:right w:val="nil"/>
          <w:between w:val="nil"/>
        </w:pBdr>
        <w:ind w:right="68" w:firstLine="432"/>
        <w:jc w:val="both"/>
        <w:rPr>
          <w:rFonts w:ascii="Cambria" w:eastAsia="Cambria" w:hAnsi="Cambria" w:cs="Cambria"/>
          <w:color w:val="000000"/>
          <w:sz w:val="20"/>
          <w:szCs w:val="20"/>
        </w:rPr>
      </w:pPr>
      <w:r>
        <w:rPr>
          <w:rFonts w:ascii="Cambria" w:eastAsia="Cambria" w:hAnsi="Cambria" w:cs="Cambria"/>
          <w:i/>
          <w:color w:val="000000"/>
          <w:sz w:val="20"/>
          <w:szCs w:val="20"/>
        </w:rPr>
        <w:t>RECALLING</w:t>
      </w:r>
      <w:r>
        <w:rPr>
          <w:rFonts w:ascii="Cambria" w:eastAsia="Cambria" w:hAnsi="Cambria" w:cs="Cambria"/>
          <w:color w:val="000000"/>
          <w:sz w:val="20"/>
          <w:szCs w:val="20"/>
        </w:rPr>
        <w:t xml:space="preserve"> that the preliminary performance indicators agreed to by the Commission for tropical tunas, as outlined in </w:t>
      </w:r>
      <w:r>
        <w:rPr>
          <w:rFonts w:ascii="Cambria" w:eastAsia="Cambria" w:hAnsi="Cambria" w:cs="Cambria"/>
          <w:i/>
          <w:color w:val="000000"/>
          <w:sz w:val="20"/>
          <w:szCs w:val="20"/>
        </w:rPr>
        <w:t>Recommendation by ICCAT on a Multi-annual Conservation and Management Programme for Tropical Tunas</w:t>
      </w:r>
      <w:r>
        <w:rPr>
          <w:rFonts w:ascii="Cambria" w:eastAsia="Cambria" w:hAnsi="Cambria" w:cs="Cambria"/>
          <w:color w:val="000000"/>
          <w:sz w:val="20"/>
          <w:szCs w:val="20"/>
        </w:rPr>
        <w:t xml:space="preserve"> (Rec. 16-01), included four categories of management objectives, namely Status, Safety, Yield and Stability;</w:t>
      </w:r>
    </w:p>
    <w:p w14:paraId="00000012" w14:textId="77777777" w:rsidR="0011791C" w:rsidRDefault="0011791C">
      <w:pPr>
        <w:widowControl w:val="0"/>
        <w:pBdr>
          <w:top w:val="nil"/>
          <w:left w:val="nil"/>
          <w:bottom w:val="nil"/>
          <w:right w:val="nil"/>
          <w:between w:val="nil"/>
        </w:pBdr>
        <w:ind w:right="68" w:firstLine="432"/>
        <w:jc w:val="both"/>
        <w:rPr>
          <w:rFonts w:ascii="Cambria" w:eastAsia="Cambria" w:hAnsi="Cambria" w:cs="Cambria"/>
          <w:color w:val="000000"/>
          <w:sz w:val="20"/>
          <w:szCs w:val="20"/>
        </w:rPr>
      </w:pPr>
    </w:p>
    <w:p w14:paraId="00000013" w14:textId="77777777" w:rsidR="0011791C" w:rsidRDefault="002230DC">
      <w:pPr>
        <w:widowControl w:val="0"/>
        <w:pBdr>
          <w:top w:val="nil"/>
          <w:left w:val="nil"/>
          <w:bottom w:val="nil"/>
          <w:right w:val="nil"/>
          <w:between w:val="nil"/>
        </w:pBdr>
        <w:ind w:right="68" w:firstLine="432"/>
        <w:jc w:val="both"/>
        <w:rPr>
          <w:rFonts w:ascii="Cambria" w:eastAsia="Cambria" w:hAnsi="Cambria" w:cs="Cambria"/>
          <w:color w:val="000000"/>
          <w:sz w:val="20"/>
          <w:szCs w:val="20"/>
        </w:rPr>
      </w:pPr>
      <w:r>
        <w:rPr>
          <w:rFonts w:ascii="Cambria" w:eastAsia="Cambria" w:hAnsi="Cambria" w:cs="Cambria"/>
          <w:i/>
          <w:color w:val="000000"/>
          <w:sz w:val="20"/>
          <w:szCs w:val="20"/>
        </w:rPr>
        <w:t>RECALLING</w:t>
      </w:r>
      <w:r>
        <w:rPr>
          <w:rFonts w:ascii="Cambria" w:eastAsia="Cambria" w:hAnsi="Cambria" w:cs="Cambria"/>
          <w:color w:val="000000"/>
          <w:sz w:val="20"/>
          <w:szCs w:val="20"/>
        </w:rPr>
        <w:t xml:space="preserve"> the conceptual management objectives agreed by ICCAT for western skipjack in </w:t>
      </w:r>
      <w:r>
        <w:rPr>
          <w:rFonts w:ascii="Cambria" w:eastAsia="Cambria" w:hAnsi="Cambria" w:cs="Cambria"/>
          <w:i/>
          <w:color w:val="000000"/>
          <w:sz w:val="20"/>
          <w:szCs w:val="20"/>
        </w:rPr>
        <w:t>Resolution by ICCAT on development of initial conceptual management objectives for western Atlantic skipjack</w:t>
      </w:r>
      <w:r>
        <w:rPr>
          <w:rFonts w:ascii="Cambria" w:eastAsia="Cambria" w:hAnsi="Cambria" w:cs="Cambria"/>
          <w:color w:val="000000"/>
          <w:sz w:val="20"/>
          <w:szCs w:val="20"/>
        </w:rPr>
        <w:t xml:space="preserve"> (Res. 22-02); </w:t>
      </w:r>
    </w:p>
    <w:p w14:paraId="00000014" w14:textId="77777777" w:rsidR="0011791C" w:rsidRDefault="0011791C">
      <w:pPr>
        <w:widowControl w:val="0"/>
        <w:pBdr>
          <w:top w:val="nil"/>
          <w:left w:val="nil"/>
          <w:bottom w:val="nil"/>
          <w:right w:val="nil"/>
          <w:between w:val="nil"/>
        </w:pBdr>
        <w:ind w:right="68" w:firstLine="432"/>
        <w:jc w:val="both"/>
        <w:rPr>
          <w:rFonts w:ascii="Cambria" w:eastAsia="Cambria" w:hAnsi="Cambria" w:cs="Cambria"/>
          <w:color w:val="000000"/>
          <w:sz w:val="20"/>
          <w:szCs w:val="20"/>
        </w:rPr>
      </w:pPr>
    </w:p>
    <w:p w14:paraId="00000015" w14:textId="77777777" w:rsidR="0011791C" w:rsidRDefault="002230DC">
      <w:pPr>
        <w:widowControl w:val="0"/>
        <w:pBdr>
          <w:top w:val="nil"/>
          <w:left w:val="nil"/>
          <w:bottom w:val="nil"/>
          <w:right w:val="nil"/>
          <w:between w:val="nil"/>
        </w:pBdr>
        <w:ind w:right="68" w:firstLine="432"/>
        <w:jc w:val="both"/>
        <w:rPr>
          <w:rFonts w:ascii="Cambria" w:eastAsia="Cambria" w:hAnsi="Cambria" w:cs="Cambria"/>
          <w:color w:val="000000"/>
          <w:sz w:val="20"/>
          <w:szCs w:val="20"/>
        </w:rPr>
      </w:pPr>
      <w:r>
        <w:rPr>
          <w:rFonts w:ascii="Cambria" w:eastAsia="Cambria" w:hAnsi="Cambria" w:cs="Cambria"/>
          <w:i/>
          <w:color w:val="000000"/>
          <w:sz w:val="20"/>
          <w:szCs w:val="20"/>
        </w:rPr>
        <w:t xml:space="preserve">NOTING </w:t>
      </w:r>
      <w:r>
        <w:rPr>
          <w:rFonts w:ascii="Cambria" w:eastAsia="Cambria" w:hAnsi="Cambria" w:cs="Cambria"/>
          <w:color w:val="000000"/>
          <w:sz w:val="20"/>
          <w:szCs w:val="20"/>
        </w:rPr>
        <w:t>that the objective of the Convention is to maintain populations of tuna and tuna-like species at levels that will support maximum sustainable catch (usually referred to as Maximum Sustainable Yield (MSY));</w:t>
      </w:r>
    </w:p>
    <w:p w14:paraId="00000016" w14:textId="77777777" w:rsidR="0011791C" w:rsidRDefault="0011791C">
      <w:pPr>
        <w:widowControl w:val="0"/>
        <w:pBdr>
          <w:top w:val="nil"/>
          <w:left w:val="nil"/>
          <w:bottom w:val="nil"/>
          <w:right w:val="nil"/>
          <w:between w:val="nil"/>
        </w:pBdr>
        <w:spacing w:before="1"/>
        <w:ind w:right="68"/>
        <w:rPr>
          <w:rFonts w:ascii="Cambria" w:eastAsia="Cambria" w:hAnsi="Cambria" w:cs="Cambria"/>
          <w:color w:val="000000"/>
          <w:sz w:val="20"/>
          <w:szCs w:val="20"/>
        </w:rPr>
      </w:pPr>
    </w:p>
    <w:p w14:paraId="00000017" w14:textId="77777777" w:rsidR="0011791C" w:rsidRDefault="002230DC">
      <w:pPr>
        <w:widowControl w:val="0"/>
        <w:pBdr>
          <w:top w:val="nil"/>
          <w:left w:val="nil"/>
          <w:bottom w:val="nil"/>
          <w:right w:val="nil"/>
          <w:between w:val="nil"/>
        </w:pBdr>
        <w:ind w:right="68" w:firstLine="427"/>
        <w:jc w:val="both"/>
        <w:rPr>
          <w:rFonts w:ascii="Cambria" w:eastAsia="Cambria" w:hAnsi="Cambria" w:cs="Cambria"/>
          <w:color w:val="000000"/>
          <w:sz w:val="20"/>
          <w:szCs w:val="20"/>
        </w:rPr>
      </w:pPr>
      <w:r>
        <w:rPr>
          <w:rFonts w:ascii="Cambria" w:eastAsia="Cambria" w:hAnsi="Cambria" w:cs="Cambria"/>
          <w:i/>
          <w:color w:val="000000"/>
          <w:sz w:val="20"/>
          <w:szCs w:val="20"/>
        </w:rPr>
        <w:t xml:space="preserve">CONSIDERING </w:t>
      </w:r>
      <w:r>
        <w:rPr>
          <w:rFonts w:ascii="Cambria" w:eastAsia="Cambria" w:hAnsi="Cambria" w:cs="Cambria"/>
          <w:color w:val="000000"/>
          <w:sz w:val="20"/>
          <w:szCs w:val="20"/>
        </w:rPr>
        <w:t>the work of the SCRS since 2020 to test through MSE several candidate MPs;</w:t>
      </w:r>
    </w:p>
    <w:p w14:paraId="00000018" w14:textId="77777777" w:rsidR="0011791C" w:rsidRDefault="0011791C">
      <w:pPr>
        <w:widowControl w:val="0"/>
        <w:pBdr>
          <w:top w:val="nil"/>
          <w:left w:val="nil"/>
          <w:bottom w:val="nil"/>
          <w:right w:val="nil"/>
          <w:between w:val="nil"/>
        </w:pBdr>
        <w:ind w:right="68" w:firstLine="427"/>
        <w:jc w:val="both"/>
        <w:rPr>
          <w:rFonts w:ascii="Cambria" w:eastAsia="Cambria" w:hAnsi="Cambria" w:cs="Cambria"/>
          <w:color w:val="000000"/>
          <w:sz w:val="20"/>
          <w:szCs w:val="20"/>
        </w:rPr>
      </w:pPr>
    </w:p>
    <w:p w14:paraId="00000019" w14:textId="77777777" w:rsidR="0011791C" w:rsidRDefault="002230DC">
      <w:pPr>
        <w:widowControl w:val="0"/>
        <w:pBdr>
          <w:top w:val="nil"/>
          <w:left w:val="nil"/>
          <w:bottom w:val="nil"/>
          <w:right w:val="nil"/>
          <w:between w:val="nil"/>
        </w:pBdr>
        <w:ind w:right="68" w:firstLine="427"/>
        <w:jc w:val="both"/>
        <w:rPr>
          <w:rFonts w:ascii="Cambria" w:eastAsia="Cambria" w:hAnsi="Cambria" w:cs="Cambria"/>
          <w:color w:val="000000"/>
          <w:sz w:val="20"/>
          <w:szCs w:val="20"/>
        </w:rPr>
      </w:pPr>
      <w:r>
        <w:rPr>
          <w:rFonts w:ascii="Cambria" w:eastAsia="Cambria" w:hAnsi="Cambria" w:cs="Cambria"/>
          <w:i/>
          <w:color w:val="000000"/>
          <w:sz w:val="20"/>
          <w:szCs w:val="20"/>
        </w:rPr>
        <w:t>RECALLING</w:t>
      </w:r>
      <w:r>
        <w:rPr>
          <w:rFonts w:ascii="Cambria" w:eastAsia="Cambria" w:hAnsi="Cambria" w:cs="Cambria"/>
          <w:color w:val="000000"/>
          <w:sz w:val="20"/>
          <w:szCs w:val="20"/>
        </w:rPr>
        <w:t xml:space="preserve"> that the Commission requested the SCRS to continue testing various candidate MPs in 2024 and to meet with Panel 1 to review the results and support the Panel in selecting one to adopt in 2024 and for this purpose Panel 1 held three intersessional meetings in 2024, including one dedicated to the Western Skipjack MSE;</w:t>
      </w:r>
    </w:p>
    <w:p w14:paraId="0000001A" w14:textId="77777777" w:rsidR="0011791C" w:rsidRDefault="0011791C">
      <w:pPr>
        <w:widowControl w:val="0"/>
        <w:pBdr>
          <w:top w:val="nil"/>
          <w:left w:val="nil"/>
          <w:bottom w:val="nil"/>
          <w:right w:val="nil"/>
          <w:between w:val="nil"/>
        </w:pBdr>
        <w:spacing w:before="11"/>
        <w:ind w:right="68"/>
        <w:rPr>
          <w:rFonts w:ascii="Cambria" w:eastAsia="Cambria" w:hAnsi="Cambria" w:cs="Cambria"/>
          <w:color w:val="000000"/>
          <w:sz w:val="19"/>
          <w:szCs w:val="19"/>
        </w:rPr>
      </w:pPr>
    </w:p>
    <w:p w14:paraId="0000001B" w14:textId="77777777" w:rsidR="0011791C" w:rsidRDefault="002230DC">
      <w:pPr>
        <w:widowControl w:val="0"/>
        <w:pBdr>
          <w:top w:val="nil"/>
          <w:left w:val="nil"/>
          <w:bottom w:val="nil"/>
          <w:right w:val="nil"/>
          <w:between w:val="nil"/>
        </w:pBdr>
        <w:ind w:right="68" w:firstLine="427"/>
        <w:jc w:val="both"/>
        <w:rPr>
          <w:rFonts w:ascii="Cambria" w:eastAsia="Cambria" w:hAnsi="Cambria" w:cs="Cambria"/>
          <w:color w:val="000000"/>
          <w:sz w:val="20"/>
          <w:szCs w:val="20"/>
        </w:rPr>
      </w:pPr>
      <w:r>
        <w:rPr>
          <w:rFonts w:ascii="Cambria" w:eastAsia="Cambria" w:hAnsi="Cambria" w:cs="Cambria"/>
          <w:i/>
          <w:color w:val="000000"/>
          <w:sz w:val="20"/>
          <w:szCs w:val="20"/>
        </w:rPr>
        <w:t xml:space="preserve">RECOGNISING </w:t>
      </w:r>
      <w:r>
        <w:rPr>
          <w:rFonts w:ascii="Cambria" w:eastAsia="Cambria" w:hAnsi="Cambria" w:cs="Cambria"/>
          <w:color w:val="000000"/>
          <w:sz w:val="20"/>
          <w:szCs w:val="20"/>
        </w:rPr>
        <w:t>that after 6 years of implementation of the MP it is advisable to review;</w:t>
      </w:r>
    </w:p>
    <w:p w14:paraId="0000001C" w14:textId="77777777" w:rsidR="0011791C" w:rsidRDefault="0011791C">
      <w:pPr>
        <w:widowControl w:val="0"/>
        <w:pBdr>
          <w:top w:val="nil"/>
          <w:left w:val="nil"/>
          <w:bottom w:val="nil"/>
          <w:right w:val="nil"/>
          <w:between w:val="nil"/>
        </w:pBdr>
        <w:spacing w:before="11"/>
        <w:ind w:right="68"/>
        <w:rPr>
          <w:rFonts w:ascii="Cambria" w:eastAsia="Cambria" w:hAnsi="Cambria" w:cs="Cambria"/>
          <w:color w:val="000000"/>
          <w:sz w:val="19"/>
          <w:szCs w:val="19"/>
        </w:rPr>
      </w:pPr>
    </w:p>
    <w:p w14:paraId="0000001D" w14:textId="77777777" w:rsidR="0011791C" w:rsidRDefault="002230DC">
      <w:pPr>
        <w:widowControl w:val="0"/>
        <w:pBdr>
          <w:top w:val="nil"/>
          <w:left w:val="nil"/>
          <w:bottom w:val="nil"/>
          <w:right w:val="nil"/>
          <w:between w:val="nil"/>
        </w:pBdr>
        <w:ind w:right="68"/>
        <w:jc w:val="center"/>
        <w:rPr>
          <w:rFonts w:ascii="Cambria" w:eastAsia="Cambria" w:hAnsi="Cambria" w:cs="Cambria"/>
          <w:color w:val="000000"/>
          <w:sz w:val="20"/>
          <w:szCs w:val="20"/>
        </w:rPr>
      </w:pPr>
      <w:r>
        <w:rPr>
          <w:rFonts w:ascii="Cambria" w:eastAsia="Cambria" w:hAnsi="Cambria" w:cs="Cambria"/>
          <w:color w:val="000000"/>
          <w:sz w:val="20"/>
          <w:szCs w:val="20"/>
        </w:rPr>
        <w:t xml:space="preserve">THE INTERNATIONAL COMMISSION FOR THE CONSERVATION </w:t>
      </w:r>
    </w:p>
    <w:p w14:paraId="0000001E" w14:textId="77777777" w:rsidR="0011791C" w:rsidRDefault="002230DC">
      <w:pPr>
        <w:widowControl w:val="0"/>
        <w:pBdr>
          <w:top w:val="nil"/>
          <w:left w:val="nil"/>
          <w:bottom w:val="nil"/>
          <w:right w:val="nil"/>
          <w:between w:val="nil"/>
        </w:pBdr>
        <w:ind w:right="68"/>
        <w:jc w:val="center"/>
        <w:rPr>
          <w:rFonts w:ascii="Cambria" w:eastAsia="Cambria" w:hAnsi="Cambria" w:cs="Cambria"/>
          <w:color w:val="000000"/>
          <w:sz w:val="20"/>
          <w:szCs w:val="20"/>
        </w:rPr>
      </w:pPr>
      <w:r>
        <w:rPr>
          <w:rFonts w:ascii="Cambria" w:eastAsia="Cambria" w:hAnsi="Cambria" w:cs="Cambria"/>
          <w:color w:val="000000"/>
          <w:sz w:val="20"/>
          <w:szCs w:val="20"/>
        </w:rPr>
        <w:t>OF ATLANTIC TUNAS (ICCAT) RECOMMENDS THAT:</w:t>
      </w:r>
    </w:p>
    <w:p w14:paraId="0000001F" w14:textId="77777777" w:rsidR="0011791C" w:rsidRDefault="0011791C">
      <w:pPr>
        <w:widowControl w:val="0"/>
        <w:pBdr>
          <w:top w:val="nil"/>
          <w:left w:val="nil"/>
          <w:bottom w:val="nil"/>
          <w:right w:val="nil"/>
          <w:between w:val="nil"/>
        </w:pBdr>
        <w:ind w:right="68"/>
        <w:rPr>
          <w:rFonts w:ascii="Cambria" w:eastAsia="Cambria" w:hAnsi="Cambria" w:cs="Cambria"/>
          <w:color w:val="000000"/>
          <w:sz w:val="22"/>
          <w:szCs w:val="22"/>
        </w:rPr>
      </w:pPr>
    </w:p>
    <w:p w14:paraId="00000020" w14:textId="77777777" w:rsidR="0011791C" w:rsidRDefault="002230DC">
      <w:pPr>
        <w:pStyle w:val="Heading1"/>
        <w:spacing w:before="0"/>
        <w:ind w:left="360" w:right="68"/>
        <w:jc w:val="center"/>
      </w:pPr>
      <w:r>
        <w:t xml:space="preserve">Part I </w:t>
      </w:r>
    </w:p>
    <w:p w14:paraId="00000021" w14:textId="77777777" w:rsidR="0011791C" w:rsidRDefault="002230DC">
      <w:pPr>
        <w:pStyle w:val="Heading1"/>
        <w:spacing w:before="0"/>
        <w:ind w:left="360" w:right="68"/>
        <w:jc w:val="center"/>
      </w:pPr>
      <w:r>
        <w:t>General provisions</w:t>
      </w:r>
    </w:p>
    <w:p w14:paraId="00000022" w14:textId="77777777" w:rsidR="0011791C" w:rsidRDefault="0011791C">
      <w:pPr>
        <w:widowControl w:val="0"/>
        <w:pBdr>
          <w:top w:val="nil"/>
          <w:left w:val="nil"/>
          <w:bottom w:val="nil"/>
          <w:right w:val="nil"/>
          <w:between w:val="nil"/>
        </w:pBdr>
        <w:ind w:left="360" w:right="68"/>
        <w:rPr>
          <w:rFonts w:ascii="Cambria" w:eastAsia="Cambria" w:hAnsi="Cambria" w:cs="Cambria"/>
          <w:b/>
          <w:color w:val="000000"/>
          <w:sz w:val="20"/>
          <w:szCs w:val="20"/>
        </w:rPr>
      </w:pPr>
    </w:p>
    <w:p w14:paraId="00000023" w14:textId="77777777" w:rsidR="0011791C" w:rsidRDefault="002230DC">
      <w:pPr>
        <w:widowControl w:val="0"/>
        <w:numPr>
          <w:ilvl w:val="0"/>
          <w:numId w:val="1"/>
        </w:numPr>
        <w:pBdr>
          <w:top w:val="nil"/>
          <w:left w:val="nil"/>
          <w:bottom w:val="nil"/>
          <w:right w:val="nil"/>
          <w:between w:val="nil"/>
        </w:pBdr>
        <w:tabs>
          <w:tab w:val="left" w:pos="426"/>
        </w:tabs>
        <w:ind w:left="426" w:right="68" w:hanging="494"/>
        <w:jc w:val="both"/>
        <w:rPr>
          <w:rFonts w:ascii="Cambria" w:eastAsia="Cambria" w:hAnsi="Cambria" w:cs="Cambria"/>
          <w:color w:val="000000"/>
          <w:sz w:val="20"/>
          <w:szCs w:val="20"/>
        </w:rPr>
      </w:pPr>
      <w:r>
        <w:rPr>
          <w:rFonts w:ascii="Cambria" w:eastAsia="Cambria" w:hAnsi="Cambria" w:cs="Cambria"/>
          <w:color w:val="000000"/>
          <w:sz w:val="20"/>
          <w:szCs w:val="20"/>
        </w:rPr>
        <w:t>Contracting Parties and Cooperating non-Contracting Parties, Entities or Fishing Entities (CPCs) whose vessels fish for western Atlantic skipjack tuna in the Convention area shall implement the following [MP]. This [MP] shall be used to calculate the Total Allowable Catch (TAC) for the western Atlantic management area for 2026 and beyond.</w:t>
      </w:r>
    </w:p>
    <w:p w14:paraId="00000024" w14:textId="77777777" w:rsidR="0011791C" w:rsidRDefault="002230DC">
      <w:pPr>
        <w:pStyle w:val="Heading2"/>
        <w:ind w:left="360" w:right="68"/>
        <w:rPr>
          <w:i w:val="0"/>
        </w:rPr>
      </w:pPr>
      <w:r>
        <w:rPr>
          <w:i w:val="0"/>
        </w:rPr>
        <w:lastRenderedPageBreak/>
        <w:t>Management objectives</w:t>
      </w:r>
    </w:p>
    <w:p w14:paraId="00000025" w14:textId="77777777" w:rsidR="0011791C" w:rsidRDefault="0011791C">
      <w:pPr>
        <w:widowControl w:val="0"/>
        <w:pBdr>
          <w:top w:val="nil"/>
          <w:left w:val="nil"/>
          <w:bottom w:val="nil"/>
          <w:right w:val="nil"/>
          <w:between w:val="nil"/>
        </w:pBdr>
        <w:spacing w:before="1"/>
        <w:ind w:left="360" w:right="68"/>
        <w:rPr>
          <w:rFonts w:ascii="Cambria" w:eastAsia="Cambria" w:hAnsi="Cambria" w:cs="Cambria"/>
          <w:b/>
          <w:i/>
          <w:color w:val="000000"/>
          <w:sz w:val="20"/>
          <w:szCs w:val="20"/>
        </w:rPr>
      </w:pPr>
    </w:p>
    <w:p w14:paraId="00000026"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t>The management objectives for the western Atlantic skipjack tuna stock are:</w:t>
      </w:r>
    </w:p>
    <w:p w14:paraId="00000027" w14:textId="77777777" w:rsidR="0011791C" w:rsidRDefault="0011791C">
      <w:pPr>
        <w:widowControl w:val="0"/>
        <w:pBdr>
          <w:top w:val="nil"/>
          <w:left w:val="nil"/>
          <w:bottom w:val="nil"/>
          <w:right w:val="nil"/>
          <w:between w:val="nil"/>
        </w:pBdr>
        <w:spacing w:before="11"/>
        <w:ind w:left="360" w:right="68"/>
        <w:rPr>
          <w:rFonts w:ascii="Cambria" w:eastAsia="Cambria" w:hAnsi="Cambria" w:cs="Cambria"/>
          <w:color w:val="000000"/>
          <w:sz w:val="20"/>
          <w:szCs w:val="20"/>
        </w:rPr>
      </w:pPr>
    </w:p>
    <w:p w14:paraId="00000028" w14:textId="77777777" w:rsidR="0011791C" w:rsidRDefault="002230DC">
      <w:pPr>
        <w:widowControl w:val="0"/>
        <w:numPr>
          <w:ilvl w:val="0"/>
          <w:numId w:val="2"/>
        </w:numPr>
        <w:pBdr>
          <w:top w:val="nil"/>
          <w:left w:val="nil"/>
          <w:bottom w:val="nil"/>
          <w:right w:val="nil"/>
          <w:between w:val="nil"/>
        </w:pBdr>
        <w:tabs>
          <w:tab w:val="left" w:pos="972"/>
        </w:tabs>
        <w:ind w:left="851" w:right="68" w:hanging="425"/>
        <w:jc w:val="both"/>
        <w:rPr>
          <w:rFonts w:ascii="Cambria" w:eastAsia="Cambria" w:hAnsi="Cambria" w:cs="Cambria"/>
          <w:color w:val="000000"/>
          <w:sz w:val="20"/>
          <w:szCs w:val="20"/>
        </w:rPr>
      </w:pPr>
      <w:r>
        <w:rPr>
          <w:rFonts w:ascii="Cambria" w:eastAsia="Cambria" w:hAnsi="Cambria" w:cs="Cambria"/>
          <w:color w:val="000000"/>
          <w:sz w:val="20"/>
          <w:szCs w:val="20"/>
        </w:rPr>
        <w:t>Stock status: The stock should have a 60% or greater probability of occurring in the green quadrant of the Kobe matrix over the medium-term (4-10 years) using a 30-year projection period.</w:t>
      </w:r>
    </w:p>
    <w:p w14:paraId="00000029" w14:textId="77777777" w:rsidR="0011791C" w:rsidRDefault="0011791C">
      <w:pPr>
        <w:widowControl w:val="0"/>
        <w:pBdr>
          <w:top w:val="nil"/>
          <w:left w:val="nil"/>
          <w:bottom w:val="nil"/>
          <w:right w:val="nil"/>
          <w:between w:val="nil"/>
        </w:pBdr>
        <w:ind w:left="720" w:right="68"/>
        <w:rPr>
          <w:rFonts w:ascii="Cambria" w:eastAsia="Cambria" w:hAnsi="Cambria" w:cs="Cambria"/>
          <w:color w:val="000000"/>
          <w:sz w:val="20"/>
          <w:szCs w:val="20"/>
        </w:rPr>
      </w:pPr>
    </w:p>
    <w:p w14:paraId="0000002A" w14:textId="77777777" w:rsidR="0011791C" w:rsidRDefault="002230DC">
      <w:pPr>
        <w:widowControl w:val="0"/>
        <w:numPr>
          <w:ilvl w:val="0"/>
          <w:numId w:val="2"/>
        </w:numPr>
        <w:pBdr>
          <w:top w:val="nil"/>
          <w:left w:val="nil"/>
          <w:bottom w:val="nil"/>
          <w:right w:val="nil"/>
          <w:between w:val="nil"/>
        </w:pBdr>
        <w:tabs>
          <w:tab w:val="left" w:pos="972"/>
        </w:tabs>
        <w:ind w:left="851" w:right="68" w:hanging="425"/>
        <w:jc w:val="both"/>
        <w:rPr>
          <w:rFonts w:ascii="Cambria" w:eastAsia="Cambria" w:hAnsi="Cambria" w:cs="Cambria"/>
          <w:color w:val="000000"/>
          <w:sz w:val="20"/>
          <w:szCs w:val="20"/>
        </w:rPr>
      </w:pPr>
      <w:r>
        <w:rPr>
          <w:rFonts w:ascii="Cambria" w:eastAsia="Cambria" w:hAnsi="Cambria" w:cs="Cambria"/>
          <w:color w:val="000000"/>
          <w:sz w:val="20"/>
          <w:szCs w:val="20"/>
        </w:rPr>
        <w:t>Safety: There should be no greater than 10% probability of the stock falling below B</w:t>
      </w:r>
      <w:r>
        <w:rPr>
          <w:rFonts w:ascii="Cambria" w:eastAsia="Cambria" w:hAnsi="Cambria" w:cs="Cambria"/>
          <w:color w:val="000000"/>
          <w:sz w:val="20"/>
          <w:szCs w:val="20"/>
          <w:vertAlign w:val="subscript"/>
        </w:rPr>
        <w:t>LIM</w:t>
      </w:r>
      <w:r>
        <w:rPr>
          <w:rFonts w:ascii="Cambria" w:eastAsia="Cambria" w:hAnsi="Cambria" w:cs="Cambria"/>
          <w:color w:val="000000"/>
          <w:sz w:val="20"/>
          <w:szCs w:val="20"/>
        </w:rPr>
        <w:t xml:space="preserve"> (0.4*B</w:t>
      </w:r>
      <w:r>
        <w:rPr>
          <w:rFonts w:ascii="Cambria" w:eastAsia="Cambria" w:hAnsi="Cambria" w:cs="Cambria"/>
          <w:color w:val="000000"/>
          <w:sz w:val="20"/>
          <w:szCs w:val="20"/>
          <w:vertAlign w:val="subscript"/>
        </w:rPr>
        <w:t>MSY</w:t>
      </w:r>
      <w:r>
        <w:rPr>
          <w:rFonts w:ascii="Cambria" w:eastAsia="Cambria" w:hAnsi="Cambria" w:cs="Cambria"/>
          <w:color w:val="000000"/>
          <w:sz w:val="20"/>
          <w:szCs w:val="20"/>
        </w:rPr>
        <w:t>) at any point during the 30-year projection period.</w:t>
      </w:r>
    </w:p>
    <w:p w14:paraId="0000002B" w14:textId="77777777" w:rsidR="0011791C" w:rsidRDefault="0011791C">
      <w:pPr>
        <w:widowControl w:val="0"/>
        <w:pBdr>
          <w:top w:val="nil"/>
          <w:left w:val="nil"/>
          <w:bottom w:val="nil"/>
          <w:right w:val="nil"/>
          <w:between w:val="nil"/>
        </w:pBdr>
        <w:ind w:left="720" w:right="68" w:hanging="425"/>
        <w:rPr>
          <w:rFonts w:ascii="Cambria" w:eastAsia="Cambria" w:hAnsi="Cambria" w:cs="Cambria"/>
          <w:color w:val="000000"/>
          <w:sz w:val="20"/>
          <w:szCs w:val="20"/>
        </w:rPr>
      </w:pPr>
    </w:p>
    <w:p w14:paraId="0000002C" w14:textId="77777777" w:rsidR="0011791C" w:rsidRDefault="002230DC">
      <w:pPr>
        <w:widowControl w:val="0"/>
        <w:numPr>
          <w:ilvl w:val="0"/>
          <w:numId w:val="2"/>
        </w:numPr>
        <w:pBdr>
          <w:top w:val="nil"/>
          <w:left w:val="nil"/>
          <w:bottom w:val="nil"/>
          <w:right w:val="nil"/>
          <w:between w:val="nil"/>
        </w:pBdr>
        <w:tabs>
          <w:tab w:val="left" w:pos="972"/>
        </w:tabs>
        <w:ind w:left="851" w:right="68" w:hanging="425"/>
        <w:jc w:val="both"/>
        <w:rPr>
          <w:rFonts w:ascii="Cambria" w:eastAsia="Cambria" w:hAnsi="Cambria" w:cs="Cambria"/>
          <w:color w:val="000000"/>
          <w:sz w:val="20"/>
          <w:szCs w:val="20"/>
        </w:rPr>
      </w:pPr>
      <w:r>
        <w:rPr>
          <w:rFonts w:ascii="Cambria" w:eastAsia="Cambria" w:hAnsi="Cambria" w:cs="Cambria"/>
          <w:color w:val="000000"/>
          <w:sz w:val="20"/>
          <w:szCs w:val="20"/>
        </w:rPr>
        <w:t>Yield: Maximize overall catch levels.</w:t>
      </w:r>
    </w:p>
    <w:p w14:paraId="0000002D" w14:textId="77777777" w:rsidR="0011791C" w:rsidRDefault="0011791C">
      <w:pPr>
        <w:widowControl w:val="0"/>
        <w:pBdr>
          <w:top w:val="nil"/>
          <w:left w:val="nil"/>
          <w:bottom w:val="nil"/>
          <w:right w:val="nil"/>
          <w:between w:val="nil"/>
        </w:pBdr>
        <w:ind w:left="545" w:hanging="425"/>
        <w:rPr>
          <w:rFonts w:ascii="Cambria" w:eastAsia="Cambria" w:hAnsi="Cambria" w:cs="Cambria"/>
          <w:color w:val="000000"/>
          <w:sz w:val="20"/>
          <w:szCs w:val="20"/>
        </w:rPr>
      </w:pPr>
    </w:p>
    <w:p w14:paraId="0000002E" w14:textId="77777777" w:rsidR="0011791C" w:rsidRDefault="002230DC">
      <w:pPr>
        <w:widowControl w:val="0"/>
        <w:numPr>
          <w:ilvl w:val="0"/>
          <w:numId w:val="2"/>
        </w:numPr>
        <w:pBdr>
          <w:top w:val="nil"/>
          <w:left w:val="nil"/>
          <w:bottom w:val="nil"/>
          <w:right w:val="nil"/>
          <w:between w:val="nil"/>
        </w:pBdr>
        <w:tabs>
          <w:tab w:val="left" w:pos="972"/>
        </w:tabs>
        <w:ind w:left="851" w:right="68" w:hanging="425"/>
        <w:jc w:val="both"/>
        <w:rPr>
          <w:rFonts w:ascii="Cambria" w:eastAsia="Cambria" w:hAnsi="Cambria" w:cs="Cambria"/>
          <w:color w:val="000000"/>
          <w:sz w:val="20"/>
          <w:szCs w:val="20"/>
        </w:rPr>
      </w:pPr>
      <w:r>
        <w:rPr>
          <w:rFonts w:ascii="Cambria" w:eastAsia="Cambria" w:hAnsi="Cambria" w:cs="Cambria"/>
          <w:color w:val="000000"/>
          <w:sz w:val="20"/>
          <w:szCs w:val="20"/>
        </w:rPr>
        <w:t>Stability: Any changes in TAC between management periods should be 25% or less.</w:t>
      </w:r>
    </w:p>
    <w:p w14:paraId="0000002F" w14:textId="77777777" w:rsidR="0011791C" w:rsidRDefault="0011791C">
      <w:pPr>
        <w:numPr>
          <w:ilvl w:val="1"/>
          <w:numId w:val="3"/>
        </w:numPr>
        <w:pBdr>
          <w:top w:val="nil"/>
          <w:left w:val="nil"/>
          <w:bottom w:val="nil"/>
          <w:right w:val="nil"/>
          <w:between w:val="nil"/>
        </w:pBdr>
        <w:ind w:left="360"/>
        <w:rPr>
          <w:rFonts w:ascii="Cambria" w:eastAsia="Cambria" w:hAnsi="Cambria" w:cs="Cambria"/>
          <w:color w:val="000000"/>
        </w:rPr>
      </w:pPr>
    </w:p>
    <w:p w14:paraId="00000030" w14:textId="77777777" w:rsidR="0011791C" w:rsidRDefault="002230DC">
      <w:pPr>
        <w:tabs>
          <w:tab w:val="left" w:pos="1440"/>
        </w:tabs>
        <w:ind w:left="360" w:right="68"/>
        <w:jc w:val="both"/>
        <w:rPr>
          <w:rFonts w:ascii="Cambria" w:eastAsia="Cambria" w:hAnsi="Cambria" w:cs="Cambria"/>
          <w:sz w:val="20"/>
          <w:szCs w:val="20"/>
        </w:rPr>
      </w:pPr>
      <w:r>
        <w:rPr>
          <w:rFonts w:ascii="Cambria" w:eastAsia="Cambria" w:hAnsi="Cambria" w:cs="Cambria"/>
          <w:sz w:val="20"/>
          <w:szCs w:val="20"/>
        </w:rPr>
        <w:t xml:space="preserve">Performance indicators used to evaluate MP performance for each management objective are found in </w:t>
      </w:r>
      <w:r>
        <w:rPr>
          <w:rFonts w:ascii="Cambria" w:eastAsia="Cambria" w:hAnsi="Cambria" w:cs="Cambria"/>
          <w:b/>
          <w:sz w:val="20"/>
          <w:szCs w:val="20"/>
        </w:rPr>
        <w:t>Annex 1</w:t>
      </w:r>
      <w:r>
        <w:rPr>
          <w:rFonts w:ascii="Cambria" w:eastAsia="Cambria" w:hAnsi="Cambria" w:cs="Cambria"/>
          <w:sz w:val="20"/>
          <w:szCs w:val="20"/>
        </w:rPr>
        <w:t>.</w:t>
      </w:r>
    </w:p>
    <w:p w14:paraId="00000031" w14:textId="77777777" w:rsidR="0011791C" w:rsidRDefault="0011791C">
      <w:pPr>
        <w:widowControl w:val="0"/>
        <w:pBdr>
          <w:top w:val="nil"/>
          <w:left w:val="nil"/>
          <w:bottom w:val="nil"/>
          <w:right w:val="nil"/>
          <w:between w:val="nil"/>
        </w:pBdr>
        <w:spacing w:before="9"/>
        <w:ind w:left="360" w:right="68"/>
        <w:rPr>
          <w:rFonts w:ascii="Cambria" w:eastAsia="Cambria" w:hAnsi="Cambria" w:cs="Cambria"/>
          <w:color w:val="000000"/>
          <w:sz w:val="17"/>
          <w:szCs w:val="17"/>
        </w:rPr>
      </w:pPr>
    </w:p>
    <w:p w14:paraId="00000032" w14:textId="77777777" w:rsidR="0011791C" w:rsidRDefault="002230DC">
      <w:pPr>
        <w:pStyle w:val="Heading1"/>
        <w:spacing w:before="1"/>
        <w:ind w:left="360" w:right="68"/>
        <w:jc w:val="center"/>
      </w:pPr>
      <w:r>
        <w:t>Part II</w:t>
      </w:r>
    </w:p>
    <w:p w14:paraId="00000033" w14:textId="77777777" w:rsidR="0011791C" w:rsidRDefault="002230DC">
      <w:pPr>
        <w:ind w:left="360" w:right="68"/>
        <w:jc w:val="center"/>
        <w:rPr>
          <w:rFonts w:ascii="Cambria" w:eastAsia="Cambria" w:hAnsi="Cambria" w:cs="Cambria"/>
          <w:b/>
          <w:sz w:val="20"/>
          <w:szCs w:val="20"/>
        </w:rPr>
      </w:pPr>
      <w:r>
        <w:rPr>
          <w:rFonts w:ascii="Cambria" w:eastAsia="Cambria" w:hAnsi="Cambria" w:cs="Cambria"/>
          <w:b/>
          <w:sz w:val="20"/>
          <w:szCs w:val="20"/>
        </w:rPr>
        <w:t>Management procedure and exceptional circumstances</w:t>
      </w:r>
    </w:p>
    <w:p w14:paraId="00000034" w14:textId="77777777" w:rsidR="0011791C" w:rsidRDefault="0011791C">
      <w:pPr>
        <w:widowControl w:val="0"/>
        <w:pBdr>
          <w:top w:val="nil"/>
          <w:left w:val="nil"/>
          <w:bottom w:val="nil"/>
          <w:right w:val="nil"/>
          <w:between w:val="nil"/>
        </w:pBdr>
        <w:spacing w:before="11"/>
        <w:ind w:left="360" w:right="68"/>
        <w:rPr>
          <w:rFonts w:ascii="Cambria" w:eastAsia="Cambria" w:hAnsi="Cambria" w:cs="Cambria"/>
          <w:b/>
          <w:color w:val="000000"/>
          <w:sz w:val="19"/>
          <w:szCs w:val="19"/>
        </w:rPr>
      </w:pPr>
    </w:p>
    <w:p w14:paraId="00000035"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t xml:space="preserve">Consistent with the management objectives specified in paragraph 2, the [XX] management procedure has been selected. </w:t>
      </w:r>
    </w:p>
    <w:p w14:paraId="00000036" w14:textId="77777777" w:rsidR="0011791C" w:rsidRDefault="0011791C">
      <w:pPr>
        <w:widowControl w:val="0"/>
        <w:pBdr>
          <w:top w:val="nil"/>
          <w:left w:val="nil"/>
          <w:bottom w:val="nil"/>
          <w:right w:val="nil"/>
          <w:between w:val="nil"/>
        </w:pBdr>
        <w:tabs>
          <w:tab w:val="left" w:pos="900"/>
        </w:tabs>
        <w:ind w:left="450" w:right="68"/>
        <w:jc w:val="both"/>
        <w:rPr>
          <w:rFonts w:ascii="Cambria" w:eastAsia="Cambria" w:hAnsi="Cambria" w:cs="Cambria"/>
          <w:color w:val="000000"/>
          <w:sz w:val="20"/>
          <w:szCs w:val="20"/>
        </w:rPr>
      </w:pPr>
    </w:p>
    <w:p w14:paraId="00000037" w14:textId="77777777" w:rsidR="0011791C" w:rsidRDefault="002230DC">
      <w:pPr>
        <w:tabs>
          <w:tab w:val="left" w:pos="900"/>
        </w:tabs>
        <w:ind w:left="450" w:right="68"/>
        <w:rPr>
          <w:rFonts w:ascii="Cambria" w:eastAsia="Cambria" w:hAnsi="Cambria" w:cs="Cambria"/>
          <w:i/>
        </w:rPr>
      </w:pPr>
      <w:r>
        <w:rPr>
          <w:rFonts w:ascii="Cambria" w:eastAsia="Cambria" w:hAnsi="Cambria" w:cs="Cambria"/>
          <w:b/>
          <w:sz w:val="20"/>
          <w:szCs w:val="20"/>
        </w:rPr>
        <w:t>TAC setting</w:t>
      </w:r>
    </w:p>
    <w:p w14:paraId="00000038" w14:textId="77777777" w:rsidR="0011791C" w:rsidRDefault="0011791C">
      <w:pPr>
        <w:widowControl w:val="0"/>
        <w:pBdr>
          <w:top w:val="nil"/>
          <w:left w:val="nil"/>
          <w:bottom w:val="nil"/>
          <w:right w:val="nil"/>
          <w:between w:val="nil"/>
        </w:pBdr>
        <w:tabs>
          <w:tab w:val="left" w:pos="900"/>
        </w:tabs>
        <w:spacing w:before="2"/>
        <w:ind w:left="450" w:right="68"/>
        <w:rPr>
          <w:rFonts w:ascii="Cambria" w:eastAsia="Cambria" w:hAnsi="Cambria" w:cs="Cambria"/>
          <w:color w:val="000000"/>
          <w:sz w:val="20"/>
          <w:szCs w:val="20"/>
        </w:rPr>
      </w:pPr>
    </w:p>
    <w:p w14:paraId="00000039"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t xml:space="preserve">The first constant annual TAC derived from the MP shall apply in 2026, 2027, and 2028. The management cycle length shall be three years; therefore, the MP shall be applied every three years. The procedure for the establishment of the 3-year constant annual TAC is set out in </w:t>
      </w:r>
      <w:r>
        <w:rPr>
          <w:rFonts w:ascii="Cambria" w:eastAsia="Cambria" w:hAnsi="Cambria" w:cs="Cambria"/>
          <w:b/>
          <w:color w:val="000000"/>
          <w:sz w:val="20"/>
          <w:szCs w:val="20"/>
        </w:rPr>
        <w:t>Annex 2</w:t>
      </w:r>
      <w:r>
        <w:rPr>
          <w:rFonts w:ascii="Cambria" w:eastAsia="Cambria" w:hAnsi="Cambria" w:cs="Cambria"/>
          <w:color w:val="000000"/>
          <w:sz w:val="20"/>
          <w:szCs w:val="20"/>
        </w:rPr>
        <w:t>.</w:t>
      </w:r>
    </w:p>
    <w:p w14:paraId="0000003A" w14:textId="77777777" w:rsidR="0011791C" w:rsidRDefault="0011791C">
      <w:pPr>
        <w:widowControl w:val="0"/>
        <w:pBdr>
          <w:top w:val="nil"/>
          <w:left w:val="nil"/>
          <w:bottom w:val="nil"/>
          <w:right w:val="nil"/>
          <w:between w:val="nil"/>
        </w:pBdr>
        <w:tabs>
          <w:tab w:val="left" w:pos="900"/>
        </w:tabs>
        <w:ind w:left="450" w:right="68"/>
        <w:rPr>
          <w:rFonts w:ascii="Cambria" w:eastAsia="Cambria" w:hAnsi="Cambria" w:cs="Cambria"/>
          <w:color w:val="000000"/>
          <w:sz w:val="20"/>
          <w:szCs w:val="20"/>
        </w:rPr>
      </w:pPr>
    </w:p>
    <w:p w14:paraId="0000003B"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t xml:space="preserve">According to the timeline set out in </w:t>
      </w:r>
      <w:r>
        <w:rPr>
          <w:rFonts w:ascii="Cambria" w:eastAsia="Cambria" w:hAnsi="Cambria" w:cs="Cambria"/>
          <w:b/>
          <w:color w:val="000000"/>
          <w:sz w:val="20"/>
          <w:szCs w:val="20"/>
        </w:rPr>
        <w:t>Annex 2</w:t>
      </w:r>
      <w:r>
        <w:rPr>
          <w:rFonts w:ascii="Cambria" w:eastAsia="Cambria" w:hAnsi="Cambria" w:cs="Cambria"/>
          <w:color w:val="000000"/>
          <w:sz w:val="20"/>
          <w:szCs w:val="20"/>
        </w:rPr>
        <w:t>, the SCRS shall run the MP and advise the Commission of the resulting TAC per the process specified in</w:t>
      </w:r>
      <w:r>
        <w:rPr>
          <w:rFonts w:ascii="Cambria" w:eastAsia="Cambria" w:hAnsi="Cambria" w:cs="Cambria"/>
          <w:b/>
          <w:color w:val="000000"/>
          <w:sz w:val="20"/>
          <w:szCs w:val="20"/>
        </w:rPr>
        <w:t xml:space="preserve"> Annex 2</w:t>
      </w:r>
      <w:r>
        <w:rPr>
          <w:rFonts w:ascii="Cambria" w:eastAsia="Cambria" w:hAnsi="Cambria" w:cs="Cambria"/>
          <w:color w:val="000000"/>
          <w:sz w:val="20"/>
          <w:szCs w:val="20"/>
        </w:rPr>
        <w:t xml:space="preserve">. </w:t>
      </w:r>
    </w:p>
    <w:p w14:paraId="0000003C" w14:textId="77777777" w:rsidR="0011791C" w:rsidRDefault="0011791C">
      <w:pPr>
        <w:widowControl w:val="0"/>
        <w:pBdr>
          <w:top w:val="nil"/>
          <w:left w:val="nil"/>
          <w:bottom w:val="nil"/>
          <w:right w:val="nil"/>
          <w:between w:val="nil"/>
        </w:pBdr>
        <w:tabs>
          <w:tab w:val="left" w:pos="900"/>
        </w:tabs>
        <w:ind w:left="450" w:right="68" w:hanging="425"/>
        <w:rPr>
          <w:rFonts w:ascii="Cambria" w:eastAsia="Cambria" w:hAnsi="Cambria" w:cs="Cambria"/>
          <w:color w:val="000000"/>
          <w:sz w:val="20"/>
          <w:szCs w:val="20"/>
        </w:rPr>
      </w:pPr>
    </w:p>
    <w:p w14:paraId="0000003D"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t xml:space="preserve">The Commission shall then adopt the TAC based on the outcome of the MP, unless the SCRS identifies exceptional circumstances that require consideration of alternative management actions to be taken by the Commission. </w:t>
      </w:r>
    </w:p>
    <w:p w14:paraId="0000003E" w14:textId="77777777" w:rsidR="0011791C" w:rsidRDefault="0011791C">
      <w:pPr>
        <w:tabs>
          <w:tab w:val="left" w:pos="900"/>
        </w:tabs>
        <w:ind w:right="68"/>
        <w:rPr>
          <w:rFonts w:ascii="Cambria" w:eastAsia="Cambria" w:hAnsi="Cambria" w:cs="Cambria"/>
          <w:sz w:val="20"/>
          <w:szCs w:val="20"/>
        </w:rPr>
      </w:pPr>
    </w:p>
    <w:p w14:paraId="0000003F"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t>The SCRS shall assess the occurrence of exceptional circumstances annually and the Commission shall act in accordance with the exceptional circumstances protocol, developed based on scientific advice provided by the SCRS and adopted by the Commission.</w:t>
      </w:r>
    </w:p>
    <w:p w14:paraId="00000040" w14:textId="77777777" w:rsidR="0011791C" w:rsidRDefault="0011791C">
      <w:pPr>
        <w:widowControl w:val="0"/>
        <w:pBdr>
          <w:top w:val="nil"/>
          <w:left w:val="nil"/>
          <w:bottom w:val="nil"/>
          <w:right w:val="nil"/>
          <w:between w:val="nil"/>
        </w:pBdr>
        <w:tabs>
          <w:tab w:val="left" w:pos="900"/>
        </w:tabs>
        <w:ind w:left="360" w:right="68"/>
        <w:jc w:val="center"/>
        <w:rPr>
          <w:rFonts w:ascii="Cambria" w:eastAsia="Cambria" w:hAnsi="Cambria" w:cs="Cambria"/>
          <w:b/>
          <w:color w:val="000000"/>
          <w:sz w:val="20"/>
          <w:szCs w:val="20"/>
        </w:rPr>
      </w:pPr>
    </w:p>
    <w:p w14:paraId="00000041" w14:textId="77777777" w:rsidR="0011791C" w:rsidRDefault="002230DC">
      <w:pPr>
        <w:widowControl w:val="0"/>
        <w:pBdr>
          <w:top w:val="nil"/>
          <w:left w:val="nil"/>
          <w:bottom w:val="nil"/>
          <w:right w:val="nil"/>
          <w:between w:val="nil"/>
        </w:pBdr>
        <w:tabs>
          <w:tab w:val="left" w:pos="900"/>
        </w:tabs>
        <w:ind w:left="360" w:right="68"/>
        <w:jc w:val="center"/>
        <w:rPr>
          <w:rFonts w:ascii="Cambria" w:eastAsia="Cambria" w:hAnsi="Cambria" w:cs="Cambria"/>
          <w:b/>
          <w:color w:val="000000"/>
          <w:sz w:val="20"/>
          <w:szCs w:val="20"/>
        </w:rPr>
      </w:pPr>
      <w:r>
        <w:rPr>
          <w:rFonts w:ascii="Cambria" w:eastAsia="Cambria" w:hAnsi="Cambria" w:cs="Cambria"/>
          <w:b/>
          <w:color w:val="000000"/>
          <w:sz w:val="20"/>
          <w:szCs w:val="20"/>
        </w:rPr>
        <w:t>Part III</w:t>
      </w:r>
    </w:p>
    <w:p w14:paraId="00000042" w14:textId="77777777" w:rsidR="0011791C" w:rsidRDefault="002230DC">
      <w:pPr>
        <w:widowControl w:val="0"/>
        <w:pBdr>
          <w:top w:val="nil"/>
          <w:left w:val="nil"/>
          <w:bottom w:val="nil"/>
          <w:right w:val="nil"/>
          <w:between w:val="nil"/>
        </w:pBdr>
        <w:tabs>
          <w:tab w:val="left" w:pos="900"/>
        </w:tabs>
        <w:ind w:left="360" w:right="68"/>
        <w:jc w:val="center"/>
        <w:rPr>
          <w:rFonts w:ascii="Cambria" w:eastAsia="Cambria" w:hAnsi="Cambria" w:cs="Cambria"/>
          <w:b/>
          <w:color w:val="000000"/>
          <w:sz w:val="20"/>
          <w:szCs w:val="20"/>
        </w:rPr>
      </w:pPr>
      <w:r>
        <w:rPr>
          <w:rFonts w:ascii="Cambria" w:eastAsia="Cambria" w:hAnsi="Cambria" w:cs="Cambria"/>
          <w:b/>
          <w:color w:val="000000"/>
          <w:sz w:val="20"/>
          <w:szCs w:val="20"/>
        </w:rPr>
        <w:t>Final provisions</w:t>
      </w:r>
    </w:p>
    <w:p w14:paraId="00000043" w14:textId="77777777" w:rsidR="0011791C" w:rsidRDefault="0011791C">
      <w:pPr>
        <w:widowControl w:val="0"/>
        <w:pBdr>
          <w:top w:val="nil"/>
          <w:left w:val="nil"/>
          <w:bottom w:val="nil"/>
          <w:right w:val="nil"/>
          <w:between w:val="nil"/>
        </w:pBdr>
        <w:tabs>
          <w:tab w:val="left" w:pos="900"/>
        </w:tabs>
        <w:ind w:left="360" w:right="68"/>
        <w:jc w:val="center"/>
        <w:rPr>
          <w:rFonts w:ascii="Cambria" w:eastAsia="Cambria" w:hAnsi="Cambria" w:cs="Cambria"/>
          <w:b/>
          <w:color w:val="000000"/>
          <w:sz w:val="20"/>
          <w:szCs w:val="20"/>
        </w:rPr>
      </w:pPr>
    </w:p>
    <w:p w14:paraId="00000044"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t>In 2025, the SCRS shall finalize tuning of the MP to achieve the status objective specified in paragraph 2 for review and adoption by the Commission at its 2025 Annual Meeting. This measure will be revised in 2025, and the final MP specifications will become Annex 3 of this Recommendation.</w:t>
      </w:r>
    </w:p>
    <w:p w14:paraId="00000045" w14:textId="77777777" w:rsidR="0011791C" w:rsidRDefault="0011791C">
      <w:pPr>
        <w:widowControl w:val="0"/>
        <w:pBdr>
          <w:top w:val="nil"/>
          <w:left w:val="nil"/>
          <w:bottom w:val="nil"/>
          <w:right w:val="nil"/>
          <w:between w:val="nil"/>
        </w:pBdr>
        <w:ind w:left="360" w:right="68"/>
        <w:jc w:val="both"/>
        <w:rPr>
          <w:rFonts w:ascii="Cambria" w:eastAsia="Cambria" w:hAnsi="Cambria" w:cs="Cambria"/>
          <w:color w:val="000000"/>
          <w:sz w:val="20"/>
          <w:szCs w:val="20"/>
        </w:rPr>
      </w:pPr>
    </w:p>
    <w:p w14:paraId="00000046"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t>Panel 1 shall develop an approach to maintain catches within the TAC for review and adoption by the Commission at its 2025 Annual Meeting.</w:t>
      </w:r>
    </w:p>
    <w:p w14:paraId="00000047" w14:textId="77777777" w:rsidR="0011791C" w:rsidRDefault="0011791C">
      <w:pPr>
        <w:widowControl w:val="0"/>
        <w:pBdr>
          <w:top w:val="nil"/>
          <w:left w:val="nil"/>
          <w:bottom w:val="nil"/>
          <w:right w:val="nil"/>
          <w:between w:val="nil"/>
        </w:pBdr>
        <w:ind w:left="545" w:hanging="425"/>
        <w:rPr>
          <w:rFonts w:ascii="Cambria" w:eastAsia="Cambria" w:hAnsi="Cambria" w:cs="Cambria"/>
          <w:color w:val="000000"/>
          <w:sz w:val="20"/>
          <w:szCs w:val="20"/>
        </w:rPr>
      </w:pPr>
    </w:p>
    <w:p w14:paraId="00000048"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t xml:space="preserve">Panel 1, with scientific guidance from the SCRS, shall develop the exceptional circumstances protocol for this MP for review and adoption by the Commission at its 2025 Annual Meeting or as soon as possible thereafter. The protocol will become Annex 4 of this Recommendation once adopted. </w:t>
      </w:r>
    </w:p>
    <w:p w14:paraId="00000049" w14:textId="77777777" w:rsidR="0011791C" w:rsidRDefault="0011791C">
      <w:pPr>
        <w:widowControl w:val="0"/>
        <w:pBdr>
          <w:top w:val="nil"/>
          <w:left w:val="nil"/>
          <w:bottom w:val="nil"/>
          <w:right w:val="nil"/>
          <w:between w:val="nil"/>
        </w:pBdr>
        <w:ind w:left="545" w:hanging="425"/>
        <w:rPr>
          <w:rFonts w:ascii="Cambria" w:eastAsia="Cambria" w:hAnsi="Cambria" w:cs="Cambria"/>
          <w:color w:val="000000"/>
          <w:sz w:val="20"/>
          <w:szCs w:val="20"/>
        </w:rPr>
      </w:pPr>
    </w:p>
    <w:p w14:paraId="0000004A" w14:textId="77777777" w:rsidR="0011791C" w:rsidRDefault="0011791C">
      <w:pPr>
        <w:widowControl w:val="0"/>
        <w:pBdr>
          <w:top w:val="nil"/>
          <w:left w:val="nil"/>
          <w:bottom w:val="nil"/>
          <w:right w:val="nil"/>
          <w:between w:val="nil"/>
        </w:pBdr>
        <w:ind w:left="545" w:hanging="425"/>
        <w:rPr>
          <w:rFonts w:ascii="Cambria" w:eastAsia="Cambria" w:hAnsi="Cambria" w:cs="Cambria"/>
          <w:color w:val="000000"/>
          <w:sz w:val="20"/>
          <w:szCs w:val="20"/>
        </w:rPr>
      </w:pPr>
    </w:p>
    <w:p w14:paraId="0000004B" w14:textId="77777777" w:rsidR="0011791C" w:rsidRDefault="0011791C">
      <w:pPr>
        <w:widowControl w:val="0"/>
        <w:pBdr>
          <w:top w:val="nil"/>
          <w:left w:val="nil"/>
          <w:bottom w:val="nil"/>
          <w:right w:val="nil"/>
          <w:between w:val="nil"/>
        </w:pBdr>
        <w:ind w:left="545" w:hanging="425"/>
        <w:rPr>
          <w:rFonts w:ascii="Cambria" w:eastAsia="Cambria" w:hAnsi="Cambria" w:cs="Cambria"/>
          <w:color w:val="000000"/>
          <w:sz w:val="20"/>
          <w:szCs w:val="20"/>
        </w:rPr>
      </w:pPr>
    </w:p>
    <w:p w14:paraId="0000004C" w14:textId="77777777" w:rsidR="0011791C" w:rsidRDefault="0011791C">
      <w:pPr>
        <w:widowControl w:val="0"/>
        <w:pBdr>
          <w:top w:val="nil"/>
          <w:left w:val="nil"/>
          <w:bottom w:val="nil"/>
          <w:right w:val="nil"/>
          <w:between w:val="nil"/>
        </w:pBdr>
        <w:ind w:left="545" w:hanging="425"/>
        <w:rPr>
          <w:rFonts w:ascii="Cambria" w:eastAsia="Cambria" w:hAnsi="Cambria" w:cs="Cambria"/>
          <w:color w:val="000000"/>
          <w:sz w:val="20"/>
          <w:szCs w:val="20"/>
        </w:rPr>
      </w:pPr>
    </w:p>
    <w:p w14:paraId="0000004D" w14:textId="77777777" w:rsidR="0011791C" w:rsidRDefault="0011791C">
      <w:pPr>
        <w:widowControl w:val="0"/>
        <w:pBdr>
          <w:top w:val="nil"/>
          <w:left w:val="nil"/>
          <w:bottom w:val="nil"/>
          <w:right w:val="nil"/>
          <w:between w:val="nil"/>
        </w:pBdr>
        <w:ind w:left="545" w:hanging="425"/>
        <w:rPr>
          <w:rFonts w:ascii="Cambria" w:eastAsia="Cambria" w:hAnsi="Cambria" w:cs="Cambria"/>
          <w:color w:val="000000"/>
          <w:sz w:val="20"/>
          <w:szCs w:val="20"/>
        </w:rPr>
      </w:pPr>
    </w:p>
    <w:p w14:paraId="0000004E"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lastRenderedPageBreak/>
        <w:t>A review of the performance of the MP by the Commission and the SCRS shall be completed by 2031 and every 6 years thereafter. The aim of the review is to ensure the MP is performing as expected and to determine whether there are conditions that justify its continuation, or that warrant reconditioning the MSE operating models; retuning the existing MP; including new indices into a new MP; and/or considering alternate candidate management procedures or development of a new MSE framework. Based on that review and subsequent SCRS advice, the Commission shall decide on future management measures, approaches, and strategies, including, inter alia, regarding TAC levels, for western Atlantic skipjack.</w:t>
      </w:r>
    </w:p>
    <w:p w14:paraId="0000004F" w14:textId="77777777" w:rsidR="0011791C" w:rsidRDefault="0011791C">
      <w:pPr>
        <w:ind w:right="68"/>
        <w:rPr>
          <w:rFonts w:ascii="Cambria" w:eastAsia="Cambria" w:hAnsi="Cambria" w:cs="Cambria"/>
          <w:sz w:val="20"/>
          <w:szCs w:val="20"/>
        </w:rPr>
      </w:pPr>
    </w:p>
    <w:p w14:paraId="00000050" w14:textId="77777777" w:rsidR="0011791C" w:rsidRDefault="002230DC">
      <w:pPr>
        <w:widowControl w:val="0"/>
        <w:numPr>
          <w:ilvl w:val="0"/>
          <w:numId w:val="1"/>
        </w:numPr>
        <w:pBdr>
          <w:top w:val="nil"/>
          <w:left w:val="nil"/>
          <w:bottom w:val="nil"/>
          <w:right w:val="nil"/>
          <w:between w:val="nil"/>
        </w:pBdr>
        <w:tabs>
          <w:tab w:val="left" w:pos="426"/>
        </w:tabs>
        <w:ind w:left="426" w:right="68" w:hanging="426"/>
        <w:jc w:val="both"/>
        <w:rPr>
          <w:rFonts w:ascii="Cambria" w:eastAsia="Cambria" w:hAnsi="Cambria" w:cs="Cambria"/>
          <w:color w:val="000000"/>
          <w:sz w:val="20"/>
          <w:szCs w:val="20"/>
        </w:rPr>
      </w:pPr>
      <w:r>
        <w:rPr>
          <w:rFonts w:ascii="Cambria" w:eastAsia="Cambria" w:hAnsi="Cambria" w:cs="Cambria"/>
          <w:color w:val="000000"/>
          <w:sz w:val="20"/>
          <w:szCs w:val="20"/>
        </w:rPr>
        <w:t xml:space="preserve">This Recommendation repeals and replaces </w:t>
      </w:r>
      <w:r>
        <w:rPr>
          <w:rFonts w:ascii="Cambria" w:eastAsia="Cambria" w:hAnsi="Cambria" w:cs="Cambria"/>
          <w:i/>
          <w:color w:val="000000"/>
          <w:sz w:val="20"/>
          <w:szCs w:val="20"/>
        </w:rPr>
        <w:t>Resolution by ICCAT on development of initial conceptual management objectives for western Atlantic skipjack</w:t>
      </w:r>
      <w:r>
        <w:rPr>
          <w:rFonts w:ascii="Cambria" w:eastAsia="Cambria" w:hAnsi="Cambria" w:cs="Cambria"/>
          <w:color w:val="000000"/>
          <w:sz w:val="20"/>
          <w:szCs w:val="20"/>
        </w:rPr>
        <w:t xml:space="preserve"> (Res. 22-02).</w:t>
      </w:r>
    </w:p>
    <w:p w14:paraId="00000051" w14:textId="77777777" w:rsidR="0011791C" w:rsidRDefault="0011791C">
      <w:pPr>
        <w:widowControl w:val="0"/>
        <w:pBdr>
          <w:top w:val="nil"/>
          <w:left w:val="nil"/>
          <w:bottom w:val="nil"/>
          <w:right w:val="nil"/>
          <w:between w:val="nil"/>
        </w:pBdr>
        <w:tabs>
          <w:tab w:val="left" w:pos="546"/>
        </w:tabs>
        <w:ind w:right="68"/>
        <w:rPr>
          <w:rFonts w:ascii="Cambria" w:eastAsia="Cambria" w:hAnsi="Cambria" w:cs="Cambria"/>
          <w:color w:val="000000"/>
          <w:sz w:val="20"/>
          <w:szCs w:val="20"/>
        </w:rPr>
      </w:pPr>
    </w:p>
    <w:p w14:paraId="00000052" w14:textId="77777777" w:rsidR="0011791C" w:rsidRDefault="002230DC">
      <w:pPr>
        <w:ind w:right="68"/>
        <w:rPr>
          <w:rFonts w:ascii="Cambria" w:eastAsia="Cambria" w:hAnsi="Cambria" w:cs="Cambria"/>
          <w:b/>
          <w:sz w:val="20"/>
          <w:szCs w:val="20"/>
        </w:rPr>
      </w:pPr>
      <w:r>
        <w:br w:type="page"/>
      </w:r>
    </w:p>
    <w:p w14:paraId="00000053" w14:textId="77777777" w:rsidR="0011791C" w:rsidRDefault="002230DC">
      <w:pPr>
        <w:pStyle w:val="Heading1"/>
        <w:ind w:right="68"/>
        <w:jc w:val="right"/>
      </w:pPr>
      <w:r>
        <w:lastRenderedPageBreak/>
        <w:t>Annex 1</w:t>
      </w:r>
    </w:p>
    <w:p w14:paraId="00000054" w14:textId="77777777" w:rsidR="0011791C" w:rsidRDefault="0011791C">
      <w:pPr>
        <w:pStyle w:val="Heading1"/>
        <w:ind w:right="68"/>
        <w:jc w:val="right"/>
      </w:pPr>
    </w:p>
    <w:p w14:paraId="00000055" w14:textId="77777777" w:rsidR="0011791C" w:rsidRDefault="002230DC">
      <w:pPr>
        <w:pStyle w:val="Heading1"/>
        <w:ind w:right="68"/>
        <w:jc w:val="center"/>
      </w:pPr>
      <w:r>
        <w:t>Table of operational management objectives and performance indicators</w:t>
      </w:r>
    </w:p>
    <w:p w14:paraId="00000056" w14:textId="77777777" w:rsidR="0011791C" w:rsidRDefault="0011791C">
      <w:pPr>
        <w:pStyle w:val="Heading1"/>
        <w:ind w:right="68"/>
        <w:jc w:val="center"/>
      </w:pPr>
    </w:p>
    <w:tbl>
      <w:tblPr>
        <w:tblStyle w:val="a"/>
        <w:tblW w:w="8545" w:type="dxa"/>
        <w:jc w:val="center"/>
        <w:tblLayout w:type="fixed"/>
        <w:tblLook w:val="0400" w:firstRow="0" w:lastRow="0" w:firstColumn="0" w:lastColumn="0" w:noHBand="0" w:noVBand="1"/>
      </w:tblPr>
      <w:tblGrid>
        <w:gridCol w:w="3265"/>
        <w:gridCol w:w="5280"/>
      </w:tblGrid>
      <w:tr w:rsidR="0011791C" w14:paraId="6D1DF29C"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00000057" w14:textId="77777777" w:rsidR="0011791C" w:rsidRDefault="002230DC">
            <w:pPr>
              <w:widowControl w:val="0"/>
              <w:ind w:right="68"/>
              <w:jc w:val="center"/>
              <w:rPr>
                <w:rFonts w:ascii="Cambria" w:eastAsia="Cambria" w:hAnsi="Cambria" w:cs="Cambria"/>
                <w:b/>
                <w:sz w:val="20"/>
                <w:szCs w:val="20"/>
              </w:rPr>
            </w:pPr>
            <w:r>
              <w:rPr>
                <w:rFonts w:ascii="Cambria" w:eastAsia="Cambria" w:hAnsi="Cambria" w:cs="Cambria"/>
                <w:b/>
                <w:sz w:val="20"/>
                <w:szCs w:val="20"/>
              </w:rPr>
              <w:t>Management objectives</w:t>
            </w:r>
          </w:p>
        </w:tc>
        <w:tc>
          <w:tcPr>
            <w:tcW w:w="5280" w:type="dxa"/>
            <w:tcBorders>
              <w:top w:val="single" w:sz="4" w:space="0" w:color="000000"/>
              <w:left w:val="single" w:sz="4" w:space="0" w:color="000000"/>
              <w:bottom w:val="single" w:sz="4" w:space="0" w:color="000000"/>
              <w:right w:val="single" w:sz="4" w:space="0" w:color="000000"/>
            </w:tcBorders>
            <w:shd w:val="clear" w:color="auto" w:fill="CCCCCC"/>
          </w:tcPr>
          <w:p w14:paraId="00000058" w14:textId="77777777" w:rsidR="0011791C" w:rsidRDefault="002230DC">
            <w:pPr>
              <w:widowControl w:val="0"/>
              <w:ind w:right="68"/>
              <w:jc w:val="center"/>
              <w:rPr>
                <w:rFonts w:ascii="Cambria" w:eastAsia="Cambria" w:hAnsi="Cambria" w:cs="Cambria"/>
                <w:b/>
                <w:sz w:val="20"/>
                <w:szCs w:val="20"/>
              </w:rPr>
            </w:pPr>
            <w:r>
              <w:rPr>
                <w:rFonts w:ascii="Cambria" w:eastAsia="Cambria" w:hAnsi="Cambria" w:cs="Cambria"/>
                <w:b/>
                <w:sz w:val="20"/>
                <w:szCs w:val="20"/>
              </w:rPr>
              <w:t>Corresponding performance indicators</w:t>
            </w:r>
          </w:p>
        </w:tc>
      </w:tr>
      <w:tr w:rsidR="0011791C" w14:paraId="74266677"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0000059" w14:textId="77777777" w:rsidR="0011791C" w:rsidRPr="00EB0831" w:rsidRDefault="002230DC">
            <w:pPr>
              <w:widowControl w:val="0"/>
              <w:ind w:right="68"/>
              <w:rPr>
                <w:rFonts w:ascii="Cambria" w:eastAsia="Cambria" w:hAnsi="Cambria" w:cs="Cambria"/>
                <w:b/>
                <w:sz w:val="20"/>
                <w:szCs w:val="20"/>
              </w:rPr>
            </w:pPr>
            <w:r w:rsidRPr="00EB0831">
              <w:rPr>
                <w:rFonts w:ascii="Cambria" w:eastAsia="Cambria" w:hAnsi="Cambria" w:cs="Cambria"/>
                <w:b/>
                <w:sz w:val="20"/>
                <w:szCs w:val="20"/>
              </w:rPr>
              <w:t>Status</w:t>
            </w:r>
          </w:p>
          <w:p w14:paraId="0000005A" w14:textId="62CA4BF6" w:rsidR="0011791C" w:rsidRPr="00EB0831" w:rsidRDefault="002230DC">
            <w:pPr>
              <w:widowControl w:val="0"/>
              <w:ind w:right="68"/>
              <w:rPr>
                <w:rFonts w:ascii="Cambria" w:eastAsia="Cambria" w:hAnsi="Cambria" w:cs="Cambria"/>
                <w:sz w:val="20"/>
                <w:szCs w:val="20"/>
              </w:rPr>
            </w:pPr>
            <w:r w:rsidRPr="00EB0831">
              <w:rPr>
                <w:rFonts w:ascii="Cambria" w:eastAsia="Cambria" w:hAnsi="Cambria" w:cs="Cambria"/>
                <w:sz w:val="20"/>
                <w:szCs w:val="20"/>
              </w:rPr>
              <w:t>The stock should have a 60% or greater probability of occurring in the green quadrant of the Kobe matrix</w:t>
            </w:r>
            <w:r w:rsidR="00AC1155" w:rsidRPr="00EB0831">
              <w:t xml:space="preserve"> </w:t>
            </w:r>
            <w:r w:rsidR="00AC1155" w:rsidRPr="00EB0831">
              <w:rPr>
                <w:rFonts w:ascii="Cambria" w:eastAsia="Cambria" w:hAnsi="Cambria" w:cs="Cambria"/>
                <w:sz w:val="20"/>
                <w:szCs w:val="20"/>
              </w:rPr>
              <w:t>over the m</w:t>
            </w:r>
            <w:r w:rsidR="00C50CA3" w:rsidRPr="00EB0831">
              <w:rPr>
                <w:rFonts w:ascii="Cambria" w:eastAsia="Cambria" w:hAnsi="Cambria" w:cs="Cambria"/>
                <w:sz w:val="20"/>
                <w:szCs w:val="20"/>
              </w:rPr>
              <w:t>e</w:t>
            </w:r>
            <w:r w:rsidR="00AC1155" w:rsidRPr="00EB0831">
              <w:rPr>
                <w:rFonts w:ascii="Cambria" w:eastAsia="Cambria" w:hAnsi="Cambria" w:cs="Cambria"/>
                <w:sz w:val="20"/>
                <w:szCs w:val="20"/>
              </w:rPr>
              <w:t>dium-term (4-10 years)</w:t>
            </w:r>
            <w:r w:rsidR="00AC1155" w:rsidRPr="00EB0831">
              <w:t xml:space="preserve"> </w:t>
            </w:r>
            <w:r w:rsidRPr="00EB0831">
              <w:rPr>
                <w:rFonts w:ascii="Cambria" w:eastAsia="Cambria" w:hAnsi="Cambria" w:cs="Cambria"/>
                <w:sz w:val="20"/>
                <w:szCs w:val="20"/>
              </w:rPr>
              <w:t>using a 30-year projection period</w:t>
            </w:r>
            <w:r w:rsidR="00C50CA3" w:rsidRPr="00EB0831">
              <w:rPr>
                <w:rFonts w:ascii="Cambria" w:eastAsia="Cambria" w:hAnsi="Cambria" w:cs="Cambria"/>
                <w:sz w:val="20"/>
                <w:szCs w:val="20"/>
              </w:rPr>
              <w:t>.</w:t>
            </w:r>
          </w:p>
        </w:tc>
        <w:tc>
          <w:tcPr>
            <w:tcW w:w="5280" w:type="dxa"/>
            <w:tcBorders>
              <w:top w:val="single" w:sz="4" w:space="0" w:color="000000"/>
              <w:left w:val="single" w:sz="4" w:space="0" w:color="000000"/>
              <w:bottom w:val="single" w:sz="4" w:space="0" w:color="000000"/>
              <w:right w:val="single" w:sz="4" w:space="0" w:color="000000"/>
            </w:tcBorders>
          </w:tcPr>
          <w:p w14:paraId="0000005B"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PGK</w:t>
            </w:r>
            <w:r>
              <w:rPr>
                <w:rFonts w:ascii="Cambria" w:eastAsia="Cambria" w:hAnsi="Cambria" w:cs="Cambria"/>
                <w:b/>
                <w:sz w:val="20"/>
                <w:szCs w:val="20"/>
                <w:vertAlign w:val="subscript"/>
              </w:rPr>
              <w:t>short</w:t>
            </w:r>
            <w:r>
              <w:rPr>
                <w:rFonts w:ascii="Cambria" w:eastAsia="Cambria" w:hAnsi="Cambria" w:cs="Cambria"/>
                <w:sz w:val="20"/>
                <w:szCs w:val="20"/>
              </w:rPr>
              <w:t>: Probability of being in the Kobe green quadrant (i.e., SSB≥SSB</w:t>
            </w:r>
            <w:r>
              <w:rPr>
                <w:rFonts w:ascii="Cambria" w:eastAsia="Cambria" w:hAnsi="Cambria" w:cs="Cambria"/>
                <w:sz w:val="20"/>
                <w:szCs w:val="20"/>
                <w:vertAlign w:val="subscript"/>
              </w:rPr>
              <w:t>MSY</w:t>
            </w:r>
            <w:r>
              <w:rPr>
                <w:rFonts w:ascii="Cambria" w:eastAsia="Cambria" w:hAnsi="Cambria" w:cs="Cambria"/>
                <w:sz w:val="20"/>
                <w:szCs w:val="20"/>
              </w:rPr>
              <w:t xml:space="preserve"> and F&lt;F</w:t>
            </w:r>
            <w:r>
              <w:rPr>
                <w:rFonts w:ascii="Cambria" w:eastAsia="Cambria" w:hAnsi="Cambria" w:cs="Cambria"/>
                <w:sz w:val="20"/>
                <w:szCs w:val="20"/>
                <w:vertAlign w:val="subscript"/>
              </w:rPr>
              <w:t>MSY</w:t>
            </w:r>
            <w:r>
              <w:rPr>
                <w:rFonts w:ascii="Cambria" w:eastAsia="Cambria" w:hAnsi="Cambria" w:cs="Cambria"/>
                <w:sz w:val="20"/>
                <w:szCs w:val="20"/>
              </w:rPr>
              <w:t>) in year 1-3</w:t>
            </w:r>
          </w:p>
          <w:p w14:paraId="0000005C"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PGK</w:t>
            </w:r>
            <w:r>
              <w:rPr>
                <w:rFonts w:ascii="Cambria" w:eastAsia="Cambria" w:hAnsi="Cambria" w:cs="Cambria"/>
                <w:b/>
                <w:sz w:val="20"/>
                <w:szCs w:val="20"/>
                <w:vertAlign w:val="subscript"/>
              </w:rPr>
              <w:t>medium</w:t>
            </w:r>
            <w:r>
              <w:rPr>
                <w:rFonts w:ascii="Cambria" w:eastAsia="Cambria" w:hAnsi="Cambria" w:cs="Cambria"/>
                <w:sz w:val="20"/>
                <w:szCs w:val="20"/>
              </w:rPr>
              <w:t>: Probability of being in the Kobe green quadrant (i.e., SSB≥SSB</w:t>
            </w:r>
            <w:r>
              <w:rPr>
                <w:rFonts w:ascii="Cambria" w:eastAsia="Cambria" w:hAnsi="Cambria" w:cs="Cambria"/>
                <w:sz w:val="20"/>
                <w:szCs w:val="20"/>
                <w:vertAlign w:val="subscript"/>
              </w:rPr>
              <w:t>MSY</w:t>
            </w:r>
            <w:r>
              <w:rPr>
                <w:rFonts w:ascii="Cambria" w:eastAsia="Cambria" w:hAnsi="Cambria" w:cs="Cambria"/>
                <w:sz w:val="20"/>
                <w:szCs w:val="20"/>
              </w:rPr>
              <w:t xml:space="preserve"> and F&lt;F</w:t>
            </w:r>
            <w:r>
              <w:rPr>
                <w:rFonts w:ascii="Cambria" w:eastAsia="Cambria" w:hAnsi="Cambria" w:cs="Cambria"/>
                <w:sz w:val="20"/>
                <w:szCs w:val="20"/>
                <w:vertAlign w:val="subscript"/>
              </w:rPr>
              <w:t>MSY</w:t>
            </w:r>
            <w:r>
              <w:rPr>
                <w:rFonts w:ascii="Cambria" w:eastAsia="Cambria" w:hAnsi="Cambria" w:cs="Cambria"/>
                <w:sz w:val="20"/>
                <w:szCs w:val="20"/>
              </w:rPr>
              <w:t>) in year 4-10*</w:t>
            </w:r>
          </w:p>
          <w:p w14:paraId="0000005D"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PGK</w:t>
            </w:r>
            <w:r>
              <w:rPr>
                <w:rFonts w:ascii="Cambria" w:eastAsia="Cambria" w:hAnsi="Cambria" w:cs="Cambria"/>
                <w:b/>
                <w:sz w:val="20"/>
                <w:szCs w:val="20"/>
                <w:vertAlign w:val="subscript"/>
              </w:rPr>
              <w:t>long</w:t>
            </w:r>
            <w:r>
              <w:rPr>
                <w:rFonts w:ascii="Cambria" w:eastAsia="Cambria" w:hAnsi="Cambria" w:cs="Cambria"/>
                <w:sz w:val="20"/>
                <w:szCs w:val="20"/>
              </w:rPr>
              <w:t>: Probability of being in the Kobe green quadrant (i.e., SSB≥SSB</w:t>
            </w:r>
            <w:r>
              <w:rPr>
                <w:rFonts w:ascii="Cambria" w:eastAsia="Cambria" w:hAnsi="Cambria" w:cs="Cambria"/>
                <w:sz w:val="20"/>
                <w:szCs w:val="20"/>
                <w:vertAlign w:val="subscript"/>
              </w:rPr>
              <w:t>MSY</w:t>
            </w:r>
            <w:r>
              <w:rPr>
                <w:rFonts w:ascii="Cambria" w:eastAsia="Cambria" w:hAnsi="Cambria" w:cs="Cambria"/>
                <w:sz w:val="20"/>
                <w:szCs w:val="20"/>
              </w:rPr>
              <w:t xml:space="preserve"> and F&lt;F</w:t>
            </w:r>
            <w:r>
              <w:rPr>
                <w:rFonts w:ascii="Cambria" w:eastAsia="Cambria" w:hAnsi="Cambria" w:cs="Cambria"/>
                <w:sz w:val="20"/>
                <w:szCs w:val="20"/>
                <w:vertAlign w:val="subscript"/>
              </w:rPr>
              <w:t>MSY</w:t>
            </w:r>
            <w:r>
              <w:rPr>
                <w:rFonts w:ascii="Cambria" w:eastAsia="Cambria" w:hAnsi="Cambria" w:cs="Cambria"/>
                <w:sz w:val="20"/>
                <w:szCs w:val="20"/>
              </w:rPr>
              <w:t>) over years 11-30</w:t>
            </w:r>
          </w:p>
          <w:p w14:paraId="0000005E"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PGK</w:t>
            </w:r>
            <w:r>
              <w:rPr>
                <w:rFonts w:ascii="Cambria" w:eastAsia="Cambria" w:hAnsi="Cambria" w:cs="Cambria"/>
                <w:sz w:val="20"/>
                <w:szCs w:val="20"/>
              </w:rPr>
              <w:t>: Probability of being in the Kobe green quadrant (i.e., SSB≥SSB</w:t>
            </w:r>
            <w:r>
              <w:rPr>
                <w:rFonts w:ascii="Cambria" w:eastAsia="Cambria" w:hAnsi="Cambria" w:cs="Cambria"/>
                <w:sz w:val="20"/>
                <w:szCs w:val="20"/>
                <w:vertAlign w:val="subscript"/>
              </w:rPr>
              <w:t>MSY</w:t>
            </w:r>
            <w:r>
              <w:rPr>
                <w:rFonts w:ascii="Cambria" w:eastAsia="Cambria" w:hAnsi="Cambria" w:cs="Cambria"/>
                <w:sz w:val="20"/>
                <w:szCs w:val="20"/>
              </w:rPr>
              <w:t xml:space="preserve"> and F&lt;F</w:t>
            </w:r>
            <w:r>
              <w:rPr>
                <w:rFonts w:ascii="Cambria" w:eastAsia="Cambria" w:hAnsi="Cambria" w:cs="Cambria"/>
                <w:sz w:val="20"/>
                <w:szCs w:val="20"/>
                <w:vertAlign w:val="subscript"/>
              </w:rPr>
              <w:t>MSY</w:t>
            </w:r>
            <w:r>
              <w:rPr>
                <w:rFonts w:ascii="Cambria" w:eastAsia="Cambria" w:hAnsi="Cambria" w:cs="Cambria"/>
                <w:sz w:val="20"/>
                <w:szCs w:val="20"/>
              </w:rPr>
              <w:t>) over years 1-30</w:t>
            </w:r>
          </w:p>
          <w:p w14:paraId="0000005F"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POF</w:t>
            </w:r>
            <w:r>
              <w:rPr>
                <w:rFonts w:ascii="Cambria" w:eastAsia="Cambria" w:hAnsi="Cambria" w:cs="Cambria"/>
                <w:sz w:val="20"/>
                <w:szCs w:val="20"/>
              </w:rPr>
              <w:t>:  Probability of F&gt;F</w:t>
            </w:r>
            <w:r>
              <w:rPr>
                <w:rFonts w:ascii="Cambria" w:eastAsia="Cambria" w:hAnsi="Cambria" w:cs="Cambria"/>
                <w:sz w:val="20"/>
                <w:szCs w:val="20"/>
                <w:vertAlign w:val="subscript"/>
              </w:rPr>
              <w:t>MSY</w:t>
            </w:r>
            <w:r>
              <w:rPr>
                <w:rFonts w:ascii="Cambria" w:eastAsia="Cambria" w:hAnsi="Cambria" w:cs="Cambria"/>
                <w:sz w:val="20"/>
                <w:szCs w:val="20"/>
              </w:rPr>
              <w:t xml:space="preserve"> over years 1-30</w:t>
            </w:r>
          </w:p>
          <w:p w14:paraId="00000060"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PNOF</w:t>
            </w:r>
            <w:r>
              <w:rPr>
                <w:rFonts w:ascii="Cambria" w:eastAsia="Cambria" w:hAnsi="Cambria" w:cs="Cambria"/>
                <w:sz w:val="20"/>
                <w:szCs w:val="20"/>
              </w:rPr>
              <w:t>:  Probability of F&lt;F</w:t>
            </w:r>
            <w:r>
              <w:rPr>
                <w:rFonts w:ascii="Cambria" w:eastAsia="Cambria" w:hAnsi="Cambria" w:cs="Cambria"/>
                <w:sz w:val="20"/>
                <w:szCs w:val="20"/>
                <w:vertAlign w:val="subscript"/>
              </w:rPr>
              <w:t>MSY</w:t>
            </w:r>
            <w:r>
              <w:rPr>
                <w:rFonts w:ascii="Cambria" w:eastAsia="Cambria" w:hAnsi="Cambria" w:cs="Cambria"/>
                <w:sz w:val="20"/>
                <w:szCs w:val="20"/>
              </w:rPr>
              <w:t xml:space="preserve"> over years 1-30</w:t>
            </w:r>
          </w:p>
        </w:tc>
      </w:tr>
      <w:tr w:rsidR="0011791C" w14:paraId="0035CD42"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00000061" w14:textId="77777777" w:rsidR="0011791C" w:rsidRPr="00EB0831" w:rsidRDefault="002230DC">
            <w:pPr>
              <w:widowControl w:val="0"/>
              <w:ind w:right="68"/>
              <w:rPr>
                <w:rFonts w:ascii="Cambria" w:eastAsia="Cambria" w:hAnsi="Cambria" w:cs="Cambria"/>
                <w:b/>
                <w:sz w:val="20"/>
                <w:szCs w:val="20"/>
              </w:rPr>
            </w:pPr>
            <w:r w:rsidRPr="00EB0831">
              <w:rPr>
                <w:rFonts w:ascii="Cambria" w:eastAsia="Cambria" w:hAnsi="Cambria" w:cs="Cambria"/>
                <w:b/>
                <w:sz w:val="20"/>
                <w:szCs w:val="20"/>
              </w:rPr>
              <w:t>Safety</w:t>
            </w:r>
          </w:p>
          <w:p w14:paraId="00000062" w14:textId="77777777" w:rsidR="0011791C" w:rsidRPr="00EB0831" w:rsidRDefault="002230DC">
            <w:pPr>
              <w:widowControl w:val="0"/>
              <w:ind w:right="68"/>
              <w:rPr>
                <w:rFonts w:ascii="Cambria" w:eastAsia="Cambria" w:hAnsi="Cambria" w:cs="Cambria"/>
                <w:sz w:val="20"/>
                <w:szCs w:val="20"/>
              </w:rPr>
            </w:pPr>
            <w:r w:rsidRPr="00EB0831">
              <w:rPr>
                <w:rFonts w:ascii="Cambria" w:eastAsia="Cambria" w:hAnsi="Cambria" w:cs="Cambria"/>
                <w:sz w:val="20"/>
                <w:szCs w:val="20"/>
              </w:rPr>
              <w:t>There should be no greater than 10% probability of the stock falling below B</w:t>
            </w:r>
            <w:r w:rsidRPr="00EB0831">
              <w:rPr>
                <w:rFonts w:ascii="Cambria" w:eastAsia="Cambria" w:hAnsi="Cambria" w:cs="Cambria"/>
                <w:sz w:val="20"/>
                <w:szCs w:val="20"/>
                <w:vertAlign w:val="subscript"/>
              </w:rPr>
              <w:t>LIM</w:t>
            </w:r>
            <w:r w:rsidRPr="00EB0831">
              <w:rPr>
                <w:rFonts w:ascii="Cambria" w:eastAsia="Cambria" w:hAnsi="Cambria" w:cs="Cambria"/>
                <w:sz w:val="20"/>
                <w:szCs w:val="20"/>
              </w:rPr>
              <w:t xml:space="preserve"> (0.4*B</w:t>
            </w:r>
            <w:r w:rsidRPr="00EB0831">
              <w:rPr>
                <w:rFonts w:ascii="Cambria" w:eastAsia="Cambria" w:hAnsi="Cambria" w:cs="Cambria"/>
                <w:sz w:val="20"/>
                <w:szCs w:val="20"/>
                <w:vertAlign w:val="subscript"/>
              </w:rPr>
              <w:t>MSY</w:t>
            </w:r>
            <w:r w:rsidRPr="00EB0831">
              <w:rPr>
                <w:rFonts w:ascii="Cambria" w:eastAsia="Cambria" w:hAnsi="Cambria" w:cs="Cambria"/>
                <w:sz w:val="20"/>
                <w:szCs w:val="20"/>
              </w:rPr>
              <w:t>) at any point during the 30-year projection period.</w:t>
            </w:r>
          </w:p>
        </w:tc>
        <w:tc>
          <w:tcPr>
            <w:tcW w:w="5280" w:type="dxa"/>
            <w:tcBorders>
              <w:top w:val="single" w:sz="4" w:space="0" w:color="000000"/>
              <w:left w:val="single" w:sz="4" w:space="0" w:color="000000"/>
              <w:bottom w:val="single" w:sz="4" w:space="0" w:color="000000"/>
              <w:right w:val="single" w:sz="4" w:space="0" w:color="000000"/>
            </w:tcBorders>
          </w:tcPr>
          <w:p w14:paraId="00000063"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LRP</w:t>
            </w:r>
            <w:r>
              <w:rPr>
                <w:rFonts w:ascii="Cambria" w:eastAsia="Cambria" w:hAnsi="Cambria" w:cs="Cambria"/>
                <w:b/>
                <w:sz w:val="20"/>
                <w:szCs w:val="20"/>
                <w:vertAlign w:val="subscript"/>
              </w:rPr>
              <w:t>short</w:t>
            </w:r>
            <w:r>
              <w:rPr>
                <w:rFonts w:ascii="Cambria" w:eastAsia="Cambria" w:hAnsi="Cambria" w:cs="Cambria"/>
                <w:sz w:val="20"/>
                <w:szCs w:val="20"/>
              </w:rPr>
              <w:t>: Probability of breaching the limit reference point (i.e., SSB&lt;0.4*SSB</w:t>
            </w:r>
            <w:r>
              <w:rPr>
                <w:rFonts w:ascii="Cambria" w:eastAsia="Cambria" w:hAnsi="Cambria" w:cs="Cambria"/>
                <w:sz w:val="20"/>
                <w:szCs w:val="20"/>
                <w:vertAlign w:val="subscript"/>
              </w:rPr>
              <w:t>MSY</w:t>
            </w:r>
            <w:r>
              <w:rPr>
                <w:rFonts w:ascii="Cambria" w:eastAsia="Cambria" w:hAnsi="Cambria" w:cs="Cambria"/>
                <w:sz w:val="20"/>
                <w:szCs w:val="20"/>
              </w:rPr>
              <w:t>) over years 1-3</w:t>
            </w:r>
          </w:p>
          <w:p w14:paraId="00000064"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LRP</w:t>
            </w:r>
            <w:r>
              <w:rPr>
                <w:rFonts w:ascii="Cambria" w:eastAsia="Cambria" w:hAnsi="Cambria" w:cs="Cambria"/>
                <w:b/>
                <w:sz w:val="20"/>
                <w:szCs w:val="20"/>
                <w:vertAlign w:val="subscript"/>
              </w:rPr>
              <w:t>medium</w:t>
            </w:r>
            <w:r>
              <w:rPr>
                <w:rFonts w:ascii="Cambria" w:eastAsia="Cambria" w:hAnsi="Cambria" w:cs="Cambria"/>
                <w:sz w:val="20"/>
                <w:szCs w:val="20"/>
              </w:rPr>
              <w:t>: Probability of breaching the limit reference point (i.e., SSB&lt;0.4*SSB</w:t>
            </w:r>
            <w:r>
              <w:rPr>
                <w:rFonts w:ascii="Cambria" w:eastAsia="Cambria" w:hAnsi="Cambria" w:cs="Cambria"/>
                <w:sz w:val="20"/>
                <w:szCs w:val="20"/>
                <w:vertAlign w:val="subscript"/>
              </w:rPr>
              <w:t>MSY</w:t>
            </w:r>
            <w:r>
              <w:rPr>
                <w:rFonts w:ascii="Cambria" w:eastAsia="Cambria" w:hAnsi="Cambria" w:cs="Cambria"/>
                <w:sz w:val="20"/>
                <w:szCs w:val="20"/>
              </w:rPr>
              <w:t>) over years 4-10</w:t>
            </w:r>
          </w:p>
          <w:p w14:paraId="00000065"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LRP</w:t>
            </w:r>
            <w:r>
              <w:rPr>
                <w:rFonts w:ascii="Cambria" w:eastAsia="Cambria" w:hAnsi="Cambria" w:cs="Cambria"/>
                <w:b/>
                <w:sz w:val="20"/>
                <w:szCs w:val="20"/>
                <w:vertAlign w:val="subscript"/>
              </w:rPr>
              <w:t>long</w:t>
            </w:r>
            <w:r>
              <w:rPr>
                <w:rFonts w:ascii="Cambria" w:eastAsia="Cambria" w:hAnsi="Cambria" w:cs="Cambria"/>
                <w:sz w:val="20"/>
                <w:szCs w:val="20"/>
              </w:rPr>
              <w:t>: Probability of breaching the limit reference point (i.e., SSB&lt;0.4*SSB</w:t>
            </w:r>
            <w:r>
              <w:rPr>
                <w:rFonts w:ascii="Cambria" w:eastAsia="Cambria" w:hAnsi="Cambria" w:cs="Cambria"/>
                <w:sz w:val="20"/>
                <w:szCs w:val="20"/>
                <w:vertAlign w:val="subscript"/>
              </w:rPr>
              <w:t>MSY</w:t>
            </w:r>
            <w:r>
              <w:rPr>
                <w:rFonts w:ascii="Cambria" w:eastAsia="Cambria" w:hAnsi="Cambria" w:cs="Cambria"/>
                <w:sz w:val="20"/>
                <w:szCs w:val="20"/>
              </w:rPr>
              <w:t>) over years 11-30</w:t>
            </w:r>
          </w:p>
          <w:p w14:paraId="00000066"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LRP</w:t>
            </w:r>
            <w:r>
              <w:rPr>
                <w:rFonts w:ascii="Cambria" w:eastAsia="Cambria" w:hAnsi="Cambria" w:cs="Cambria"/>
                <w:b/>
                <w:sz w:val="20"/>
                <w:szCs w:val="20"/>
                <w:vertAlign w:val="subscript"/>
              </w:rPr>
              <w:t>all</w:t>
            </w:r>
            <w:r>
              <w:rPr>
                <w:rFonts w:ascii="Cambria" w:eastAsia="Cambria" w:hAnsi="Cambria" w:cs="Cambria"/>
                <w:sz w:val="20"/>
                <w:szCs w:val="20"/>
              </w:rPr>
              <w:t>: Probability of breaching the limit reference point (i.e., SSB&lt;0.4*SSB</w:t>
            </w:r>
            <w:r>
              <w:rPr>
                <w:rFonts w:ascii="Cambria" w:eastAsia="Cambria" w:hAnsi="Cambria" w:cs="Cambria"/>
                <w:sz w:val="20"/>
                <w:szCs w:val="20"/>
                <w:vertAlign w:val="subscript"/>
              </w:rPr>
              <w:t>MSY</w:t>
            </w:r>
            <w:r>
              <w:rPr>
                <w:rFonts w:ascii="Cambria" w:eastAsia="Cambria" w:hAnsi="Cambria" w:cs="Cambria"/>
                <w:sz w:val="20"/>
                <w:szCs w:val="20"/>
              </w:rPr>
              <w:t>) over years 1-30</w:t>
            </w:r>
          </w:p>
        </w:tc>
      </w:tr>
      <w:tr w:rsidR="0011791C" w14:paraId="082FAA35"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0000067" w14:textId="77777777" w:rsidR="0011791C" w:rsidRPr="00EB0831" w:rsidRDefault="002230DC">
            <w:pPr>
              <w:widowControl w:val="0"/>
              <w:ind w:right="68"/>
              <w:rPr>
                <w:rFonts w:ascii="Cambria" w:eastAsia="Cambria" w:hAnsi="Cambria" w:cs="Cambria"/>
                <w:b/>
                <w:sz w:val="20"/>
                <w:szCs w:val="20"/>
              </w:rPr>
            </w:pPr>
            <w:r w:rsidRPr="00EB0831">
              <w:rPr>
                <w:rFonts w:ascii="Cambria" w:eastAsia="Cambria" w:hAnsi="Cambria" w:cs="Cambria"/>
                <w:b/>
                <w:sz w:val="20"/>
                <w:szCs w:val="20"/>
              </w:rPr>
              <w:t>Yield</w:t>
            </w:r>
          </w:p>
          <w:p w14:paraId="00000068" w14:textId="275A2B0F" w:rsidR="0011791C" w:rsidRPr="00EB0831" w:rsidRDefault="00A430C0">
            <w:pPr>
              <w:widowControl w:val="0"/>
              <w:ind w:right="68"/>
              <w:rPr>
                <w:rFonts w:ascii="Cambria" w:eastAsia="Cambria" w:hAnsi="Cambria" w:cs="Cambria"/>
                <w:sz w:val="20"/>
                <w:szCs w:val="20"/>
              </w:rPr>
            </w:pPr>
            <w:sdt>
              <w:sdtPr>
                <w:tag w:val="goog_rdk_3"/>
                <w:id w:val="1444889836"/>
              </w:sdtPr>
              <w:sdtEndPr/>
              <w:sdtContent/>
            </w:sdt>
            <w:r w:rsidR="002230DC" w:rsidRPr="00EB0831">
              <w:rPr>
                <w:rFonts w:ascii="Cambria" w:eastAsia="Cambria" w:hAnsi="Cambria" w:cs="Cambria"/>
                <w:sz w:val="20"/>
                <w:szCs w:val="20"/>
              </w:rPr>
              <w:t>Maximize overall catch level</w:t>
            </w:r>
            <w:r w:rsidR="00B72750" w:rsidRPr="00EB0831">
              <w:rPr>
                <w:rFonts w:ascii="Cambria" w:eastAsia="Cambria" w:hAnsi="Cambria" w:cs="Cambria"/>
                <w:sz w:val="20"/>
                <w:szCs w:val="20"/>
              </w:rPr>
              <w:t>s.</w:t>
            </w:r>
          </w:p>
        </w:tc>
        <w:tc>
          <w:tcPr>
            <w:tcW w:w="5280" w:type="dxa"/>
            <w:tcBorders>
              <w:top w:val="single" w:sz="4" w:space="0" w:color="000000"/>
              <w:left w:val="single" w:sz="4" w:space="0" w:color="000000"/>
              <w:bottom w:val="single" w:sz="4" w:space="0" w:color="000000"/>
              <w:right w:val="single" w:sz="4" w:space="0" w:color="000000"/>
            </w:tcBorders>
          </w:tcPr>
          <w:p w14:paraId="00000069"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AvC</w:t>
            </w:r>
            <w:r>
              <w:rPr>
                <w:rFonts w:ascii="Cambria" w:eastAsia="Cambria" w:hAnsi="Cambria" w:cs="Cambria"/>
                <w:b/>
                <w:sz w:val="20"/>
                <w:szCs w:val="20"/>
                <w:vertAlign w:val="subscript"/>
              </w:rPr>
              <w:t>short</w:t>
            </w:r>
            <w:r>
              <w:rPr>
                <w:rFonts w:ascii="Cambria" w:eastAsia="Cambria" w:hAnsi="Cambria" w:cs="Cambria"/>
                <w:sz w:val="20"/>
                <w:szCs w:val="20"/>
              </w:rPr>
              <w:t>: Median catches (t) over years 1-3</w:t>
            </w:r>
          </w:p>
          <w:p w14:paraId="0000006A"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AvC</w:t>
            </w:r>
            <w:r>
              <w:rPr>
                <w:rFonts w:ascii="Cambria" w:eastAsia="Cambria" w:hAnsi="Cambria" w:cs="Cambria"/>
                <w:b/>
                <w:sz w:val="20"/>
                <w:szCs w:val="20"/>
                <w:vertAlign w:val="subscript"/>
              </w:rPr>
              <w:t>medium</w:t>
            </w:r>
            <w:r>
              <w:rPr>
                <w:rFonts w:ascii="Cambria" w:eastAsia="Cambria" w:hAnsi="Cambria" w:cs="Cambria"/>
                <w:sz w:val="20"/>
                <w:szCs w:val="20"/>
              </w:rPr>
              <w:t>: Median catches (t) over years 4-10</w:t>
            </w:r>
          </w:p>
          <w:p w14:paraId="0000006B"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AvC</w:t>
            </w:r>
            <w:r>
              <w:rPr>
                <w:rFonts w:ascii="Cambria" w:eastAsia="Cambria" w:hAnsi="Cambria" w:cs="Cambria"/>
                <w:b/>
                <w:sz w:val="20"/>
                <w:szCs w:val="20"/>
                <w:vertAlign w:val="subscript"/>
              </w:rPr>
              <w:t>long</w:t>
            </w:r>
            <w:r>
              <w:rPr>
                <w:rFonts w:ascii="Cambria" w:eastAsia="Cambria" w:hAnsi="Cambria" w:cs="Cambria"/>
                <w:sz w:val="20"/>
                <w:szCs w:val="20"/>
              </w:rPr>
              <w:t>: Median catches (t) over years 11-30</w:t>
            </w:r>
          </w:p>
          <w:p w14:paraId="0000006C" w14:textId="77777777" w:rsidR="0011791C" w:rsidRDefault="0011791C">
            <w:pPr>
              <w:widowControl w:val="0"/>
              <w:ind w:right="68"/>
              <w:rPr>
                <w:rFonts w:ascii="Cambria" w:eastAsia="Cambria" w:hAnsi="Cambria" w:cs="Cambria"/>
                <w:sz w:val="20"/>
                <w:szCs w:val="20"/>
              </w:rPr>
            </w:pPr>
          </w:p>
          <w:p w14:paraId="0000006D" w14:textId="77777777" w:rsidR="0011791C" w:rsidRDefault="0011791C">
            <w:pPr>
              <w:widowControl w:val="0"/>
              <w:ind w:right="68"/>
              <w:rPr>
                <w:rFonts w:ascii="Cambria" w:eastAsia="Cambria" w:hAnsi="Cambria" w:cs="Cambria"/>
                <w:sz w:val="20"/>
                <w:szCs w:val="20"/>
              </w:rPr>
            </w:pPr>
          </w:p>
        </w:tc>
      </w:tr>
      <w:tr w:rsidR="0011791C" w14:paraId="27A16C6D"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000006E" w14:textId="77777777" w:rsidR="0011791C" w:rsidRDefault="002230DC">
            <w:pPr>
              <w:widowControl w:val="0"/>
              <w:ind w:right="68"/>
              <w:rPr>
                <w:rFonts w:ascii="Cambria" w:eastAsia="Cambria" w:hAnsi="Cambria" w:cs="Cambria"/>
                <w:b/>
                <w:sz w:val="20"/>
                <w:szCs w:val="20"/>
              </w:rPr>
            </w:pPr>
            <w:r>
              <w:rPr>
                <w:rFonts w:ascii="Cambria" w:eastAsia="Cambria" w:hAnsi="Cambria" w:cs="Cambria"/>
                <w:b/>
                <w:sz w:val="20"/>
                <w:szCs w:val="20"/>
              </w:rPr>
              <w:t>Stability</w:t>
            </w:r>
          </w:p>
          <w:p w14:paraId="0000006F" w14:textId="77777777" w:rsidR="0011791C" w:rsidRDefault="002230DC">
            <w:pPr>
              <w:widowControl w:val="0"/>
              <w:ind w:right="68"/>
              <w:rPr>
                <w:rFonts w:ascii="Cambria" w:eastAsia="Cambria" w:hAnsi="Cambria" w:cs="Cambria"/>
                <w:sz w:val="20"/>
                <w:szCs w:val="20"/>
              </w:rPr>
            </w:pPr>
            <w:r>
              <w:rPr>
                <w:rFonts w:ascii="Cambria" w:eastAsia="Cambria" w:hAnsi="Cambria" w:cs="Cambria"/>
                <w:sz w:val="20"/>
                <w:szCs w:val="20"/>
              </w:rPr>
              <w:t>Any changes in TAC between management periods should be 25% or less.</w:t>
            </w:r>
          </w:p>
        </w:tc>
        <w:tc>
          <w:tcPr>
            <w:tcW w:w="5280" w:type="dxa"/>
            <w:tcBorders>
              <w:top w:val="single" w:sz="4" w:space="0" w:color="000000"/>
              <w:left w:val="single" w:sz="4" w:space="0" w:color="000000"/>
              <w:bottom w:val="single" w:sz="4" w:space="0" w:color="000000"/>
              <w:right w:val="single" w:sz="4" w:space="0" w:color="000000"/>
            </w:tcBorders>
          </w:tcPr>
          <w:p w14:paraId="00000070"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VarC</w:t>
            </w:r>
            <w:r>
              <w:rPr>
                <w:rFonts w:ascii="Cambria" w:eastAsia="Cambria" w:hAnsi="Cambria" w:cs="Cambria"/>
                <w:b/>
                <w:sz w:val="20"/>
                <w:szCs w:val="20"/>
                <w:vertAlign w:val="subscript"/>
              </w:rPr>
              <w:t>medium</w:t>
            </w:r>
            <w:r>
              <w:rPr>
                <w:rFonts w:ascii="Cambria" w:eastAsia="Cambria" w:hAnsi="Cambria" w:cs="Cambria"/>
                <w:sz w:val="20"/>
                <w:szCs w:val="20"/>
              </w:rPr>
              <w:t>: Variation in TAC (%) between management cycles over years 4-10</w:t>
            </w:r>
          </w:p>
          <w:p w14:paraId="00000071"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VarC</w:t>
            </w:r>
            <w:r>
              <w:rPr>
                <w:rFonts w:ascii="Cambria" w:eastAsia="Cambria" w:hAnsi="Cambria" w:cs="Cambria"/>
                <w:b/>
                <w:sz w:val="20"/>
                <w:szCs w:val="20"/>
                <w:vertAlign w:val="subscript"/>
              </w:rPr>
              <w:t>long</w:t>
            </w:r>
            <w:r>
              <w:rPr>
                <w:rFonts w:ascii="Cambria" w:eastAsia="Cambria" w:hAnsi="Cambria" w:cs="Cambria"/>
                <w:sz w:val="20"/>
                <w:szCs w:val="20"/>
              </w:rPr>
              <w:t xml:space="preserve">: Variation in TAC (%) between management cycles over years 11-30 </w:t>
            </w:r>
          </w:p>
          <w:p w14:paraId="00000072" w14:textId="77777777" w:rsidR="0011791C" w:rsidRDefault="002230DC">
            <w:pPr>
              <w:widowControl w:val="0"/>
              <w:ind w:right="68"/>
              <w:rPr>
                <w:rFonts w:ascii="Cambria" w:eastAsia="Cambria" w:hAnsi="Cambria" w:cs="Cambria"/>
                <w:sz w:val="20"/>
                <w:szCs w:val="20"/>
              </w:rPr>
            </w:pPr>
            <w:r>
              <w:rPr>
                <w:rFonts w:ascii="Cambria" w:eastAsia="Cambria" w:hAnsi="Cambria" w:cs="Cambria"/>
                <w:b/>
                <w:sz w:val="20"/>
                <w:szCs w:val="20"/>
              </w:rPr>
              <w:t>Var</w:t>
            </w:r>
            <w:r>
              <w:rPr>
                <w:rFonts w:ascii="Cambria" w:eastAsia="Cambria" w:hAnsi="Cambria" w:cs="Cambria"/>
                <w:b/>
                <w:sz w:val="20"/>
                <w:szCs w:val="20"/>
                <w:vertAlign w:val="subscript"/>
              </w:rPr>
              <w:t>all</w:t>
            </w:r>
            <w:r>
              <w:rPr>
                <w:rFonts w:ascii="Cambria" w:eastAsia="Cambria" w:hAnsi="Cambria" w:cs="Cambria"/>
                <w:sz w:val="20"/>
                <w:szCs w:val="20"/>
              </w:rPr>
              <w:t>: Variation in TAC (%) between management cycles over years 1-30</w:t>
            </w:r>
          </w:p>
        </w:tc>
      </w:tr>
    </w:tbl>
    <w:p w14:paraId="00000073" w14:textId="77777777" w:rsidR="0011791C" w:rsidRDefault="002230DC">
      <w:pPr>
        <w:pStyle w:val="Heading1"/>
        <w:tabs>
          <w:tab w:val="left" w:pos="284"/>
        </w:tabs>
        <w:spacing w:before="0"/>
        <w:ind w:right="68"/>
        <w:rPr>
          <w:b w:val="0"/>
          <w:sz w:val="18"/>
          <w:szCs w:val="18"/>
        </w:rPr>
      </w:pPr>
      <w:r>
        <w:rPr>
          <w:sz w:val="16"/>
          <w:szCs w:val="16"/>
        </w:rPr>
        <w:tab/>
      </w:r>
      <w:r>
        <w:rPr>
          <w:b w:val="0"/>
          <w:sz w:val="18"/>
          <w:szCs w:val="18"/>
        </w:rPr>
        <w:t xml:space="preserve">*Tuning objective to be used for candidate MP development. </w:t>
      </w:r>
    </w:p>
    <w:p w14:paraId="00000074" w14:textId="77777777" w:rsidR="0011791C" w:rsidRDefault="0011791C">
      <w:pPr>
        <w:pStyle w:val="Heading1"/>
        <w:spacing w:before="72"/>
        <w:ind w:right="68"/>
        <w:sectPr w:rsidR="0011791C">
          <w:footerReference w:type="default" r:id="rId7"/>
          <w:pgSz w:w="11907" w:h="16840"/>
          <w:pgMar w:top="1418" w:right="1418" w:bottom="1418" w:left="1418" w:header="851" w:footer="1134" w:gutter="0"/>
          <w:pgNumType w:start="1"/>
          <w:cols w:space="720"/>
        </w:sectPr>
      </w:pPr>
    </w:p>
    <w:p w14:paraId="00000075" w14:textId="77777777" w:rsidR="0011791C" w:rsidRDefault="002230DC">
      <w:pPr>
        <w:pStyle w:val="Heading1"/>
        <w:ind w:right="68"/>
        <w:jc w:val="right"/>
      </w:pPr>
      <w:r>
        <w:lastRenderedPageBreak/>
        <w:t>Annex 2</w:t>
      </w:r>
    </w:p>
    <w:p w14:paraId="00000076" w14:textId="77777777" w:rsidR="0011791C" w:rsidRDefault="0011791C">
      <w:pPr>
        <w:pStyle w:val="Heading1"/>
        <w:ind w:right="68"/>
        <w:jc w:val="right"/>
      </w:pPr>
    </w:p>
    <w:p w14:paraId="00000077" w14:textId="77777777" w:rsidR="0011791C" w:rsidRDefault="002230DC">
      <w:pPr>
        <w:pStyle w:val="Heading1"/>
        <w:ind w:right="68"/>
        <w:jc w:val="center"/>
      </w:pPr>
      <w:r>
        <w:t>Schedule for Management Procedure Implementation</w:t>
      </w:r>
    </w:p>
    <w:p w14:paraId="00000078" w14:textId="77777777" w:rsidR="0011791C" w:rsidRDefault="0011791C">
      <w:pPr>
        <w:pStyle w:val="Heading1"/>
        <w:ind w:right="68"/>
        <w:jc w:val="center"/>
      </w:pPr>
    </w:p>
    <w:p w14:paraId="00000079" w14:textId="77777777" w:rsidR="0011791C" w:rsidRDefault="002230DC">
      <w:pPr>
        <w:pStyle w:val="Heading1"/>
        <w:ind w:right="68"/>
      </w:pPr>
      <w:r>
        <w:t>3-Year Cycle</w:t>
      </w:r>
    </w:p>
    <w:p w14:paraId="0000007A" w14:textId="77777777" w:rsidR="0011791C" w:rsidRDefault="0011791C">
      <w:pPr>
        <w:pStyle w:val="Heading1"/>
        <w:ind w:right="68"/>
      </w:pPr>
    </w:p>
    <w:tbl>
      <w:tblPr>
        <w:tblStyle w:val="a0"/>
        <w:tblW w:w="807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045"/>
        <w:gridCol w:w="785"/>
        <w:gridCol w:w="851"/>
        <w:gridCol w:w="1017"/>
        <w:gridCol w:w="902"/>
        <w:gridCol w:w="863"/>
        <w:gridCol w:w="762"/>
        <w:gridCol w:w="850"/>
      </w:tblGrid>
      <w:tr w:rsidR="0011791C" w14:paraId="6557B0BB" w14:textId="77777777" w:rsidTr="00FD66EE">
        <w:trPr>
          <w:jc w:val="center"/>
        </w:trPr>
        <w:tc>
          <w:tcPr>
            <w:tcW w:w="2045" w:type="dxa"/>
            <w:shd w:val="clear" w:color="auto" w:fill="CCCCCC"/>
            <w:vAlign w:val="center"/>
          </w:tcPr>
          <w:p w14:paraId="0000007B" w14:textId="77777777" w:rsidR="0011791C" w:rsidRDefault="0011791C">
            <w:pPr>
              <w:pStyle w:val="Heading1"/>
              <w:jc w:val="center"/>
            </w:pPr>
          </w:p>
        </w:tc>
        <w:tc>
          <w:tcPr>
            <w:tcW w:w="785" w:type="dxa"/>
            <w:shd w:val="clear" w:color="auto" w:fill="CCCCCC"/>
            <w:vAlign w:val="center"/>
          </w:tcPr>
          <w:p w14:paraId="0000007C" w14:textId="77777777" w:rsidR="0011791C" w:rsidRDefault="002230DC">
            <w:pPr>
              <w:pStyle w:val="Heading1"/>
              <w:jc w:val="center"/>
            </w:pPr>
            <w:r>
              <w:t>2025</w:t>
            </w:r>
          </w:p>
        </w:tc>
        <w:tc>
          <w:tcPr>
            <w:tcW w:w="851" w:type="dxa"/>
            <w:shd w:val="clear" w:color="auto" w:fill="CCCCCC"/>
            <w:vAlign w:val="center"/>
          </w:tcPr>
          <w:p w14:paraId="0000007D" w14:textId="77777777" w:rsidR="0011791C" w:rsidRDefault="002230DC">
            <w:pPr>
              <w:pStyle w:val="Heading1"/>
              <w:jc w:val="center"/>
            </w:pPr>
            <w:r>
              <w:t>2026</w:t>
            </w:r>
          </w:p>
        </w:tc>
        <w:tc>
          <w:tcPr>
            <w:tcW w:w="1017" w:type="dxa"/>
            <w:shd w:val="clear" w:color="auto" w:fill="CCCCCC"/>
            <w:vAlign w:val="center"/>
          </w:tcPr>
          <w:p w14:paraId="0000007E" w14:textId="77777777" w:rsidR="0011791C" w:rsidRDefault="002230DC">
            <w:pPr>
              <w:pStyle w:val="Heading1"/>
              <w:jc w:val="center"/>
            </w:pPr>
            <w:r>
              <w:t>2027</w:t>
            </w:r>
          </w:p>
        </w:tc>
        <w:tc>
          <w:tcPr>
            <w:tcW w:w="902" w:type="dxa"/>
            <w:shd w:val="clear" w:color="auto" w:fill="CCCCCC"/>
            <w:vAlign w:val="center"/>
          </w:tcPr>
          <w:p w14:paraId="0000007F" w14:textId="77777777" w:rsidR="0011791C" w:rsidRDefault="002230DC">
            <w:pPr>
              <w:pStyle w:val="Heading1"/>
              <w:jc w:val="center"/>
            </w:pPr>
            <w:r>
              <w:t>2028</w:t>
            </w:r>
          </w:p>
        </w:tc>
        <w:tc>
          <w:tcPr>
            <w:tcW w:w="863" w:type="dxa"/>
            <w:shd w:val="clear" w:color="auto" w:fill="CCCCCC"/>
            <w:vAlign w:val="center"/>
          </w:tcPr>
          <w:p w14:paraId="00000080" w14:textId="77777777" w:rsidR="0011791C" w:rsidRDefault="002230DC">
            <w:pPr>
              <w:pStyle w:val="Heading1"/>
              <w:jc w:val="center"/>
            </w:pPr>
            <w:r>
              <w:t>2029</w:t>
            </w:r>
          </w:p>
        </w:tc>
        <w:tc>
          <w:tcPr>
            <w:tcW w:w="762" w:type="dxa"/>
            <w:shd w:val="clear" w:color="auto" w:fill="CCCCCC"/>
            <w:vAlign w:val="center"/>
          </w:tcPr>
          <w:p w14:paraId="00000081" w14:textId="77777777" w:rsidR="0011791C" w:rsidRDefault="002230DC">
            <w:pPr>
              <w:pStyle w:val="Heading1"/>
              <w:jc w:val="center"/>
            </w:pPr>
            <w:r>
              <w:t>2030</w:t>
            </w:r>
          </w:p>
        </w:tc>
        <w:tc>
          <w:tcPr>
            <w:tcW w:w="850" w:type="dxa"/>
            <w:shd w:val="clear" w:color="auto" w:fill="CCCCCC"/>
            <w:vAlign w:val="center"/>
          </w:tcPr>
          <w:p w14:paraId="00000082" w14:textId="77777777" w:rsidR="0011791C" w:rsidRDefault="002230DC">
            <w:pPr>
              <w:pStyle w:val="Heading1"/>
              <w:jc w:val="center"/>
            </w:pPr>
            <w:r>
              <w:t>2031</w:t>
            </w:r>
          </w:p>
        </w:tc>
      </w:tr>
      <w:tr w:rsidR="0011791C" w14:paraId="7023E533" w14:textId="77777777" w:rsidTr="00FD66EE">
        <w:trPr>
          <w:jc w:val="center"/>
        </w:trPr>
        <w:tc>
          <w:tcPr>
            <w:tcW w:w="2045" w:type="dxa"/>
            <w:vAlign w:val="center"/>
          </w:tcPr>
          <w:p w14:paraId="00000083" w14:textId="77777777" w:rsidR="0011791C" w:rsidRDefault="002230DC">
            <w:pPr>
              <w:pStyle w:val="Heading1"/>
              <w:ind w:right="68"/>
              <w:rPr>
                <w:b w:val="0"/>
              </w:rPr>
            </w:pPr>
            <w:r>
              <w:rPr>
                <w:b w:val="0"/>
              </w:rPr>
              <w:t>SCRS check for exceptional circumstances</w:t>
            </w:r>
          </w:p>
        </w:tc>
        <w:tc>
          <w:tcPr>
            <w:tcW w:w="785" w:type="dxa"/>
            <w:vAlign w:val="center"/>
          </w:tcPr>
          <w:p w14:paraId="00000084" w14:textId="77777777" w:rsidR="0011791C" w:rsidRDefault="0011791C">
            <w:pPr>
              <w:pStyle w:val="Heading1"/>
              <w:ind w:right="68"/>
              <w:jc w:val="center"/>
              <w:rPr>
                <w:b w:val="0"/>
              </w:rPr>
            </w:pPr>
          </w:p>
        </w:tc>
        <w:tc>
          <w:tcPr>
            <w:tcW w:w="851" w:type="dxa"/>
            <w:vAlign w:val="center"/>
          </w:tcPr>
          <w:p w14:paraId="00000085" w14:textId="77777777" w:rsidR="0011791C" w:rsidRDefault="002230DC">
            <w:pPr>
              <w:pStyle w:val="Heading1"/>
              <w:ind w:right="68"/>
              <w:jc w:val="center"/>
              <w:rPr>
                <w:b w:val="0"/>
              </w:rPr>
            </w:pPr>
            <w:r>
              <w:rPr>
                <w:b w:val="0"/>
              </w:rPr>
              <w:t>X</w:t>
            </w:r>
          </w:p>
        </w:tc>
        <w:tc>
          <w:tcPr>
            <w:tcW w:w="1017" w:type="dxa"/>
            <w:vAlign w:val="center"/>
          </w:tcPr>
          <w:p w14:paraId="00000086" w14:textId="77777777" w:rsidR="0011791C" w:rsidRDefault="002230DC">
            <w:pPr>
              <w:pStyle w:val="Heading1"/>
              <w:ind w:right="68"/>
              <w:jc w:val="center"/>
              <w:rPr>
                <w:b w:val="0"/>
              </w:rPr>
            </w:pPr>
            <w:r>
              <w:rPr>
                <w:b w:val="0"/>
              </w:rPr>
              <w:t>X</w:t>
            </w:r>
          </w:p>
        </w:tc>
        <w:tc>
          <w:tcPr>
            <w:tcW w:w="902" w:type="dxa"/>
            <w:vAlign w:val="center"/>
          </w:tcPr>
          <w:p w14:paraId="00000087" w14:textId="77777777" w:rsidR="0011791C" w:rsidRDefault="002230DC">
            <w:pPr>
              <w:pStyle w:val="Heading1"/>
              <w:ind w:right="68"/>
              <w:jc w:val="center"/>
              <w:rPr>
                <w:b w:val="0"/>
              </w:rPr>
            </w:pPr>
            <w:r>
              <w:rPr>
                <w:b w:val="0"/>
              </w:rPr>
              <w:t>X</w:t>
            </w:r>
          </w:p>
        </w:tc>
        <w:tc>
          <w:tcPr>
            <w:tcW w:w="863" w:type="dxa"/>
            <w:vAlign w:val="center"/>
          </w:tcPr>
          <w:p w14:paraId="00000088" w14:textId="77777777" w:rsidR="0011791C" w:rsidRDefault="002230DC">
            <w:pPr>
              <w:pStyle w:val="Heading1"/>
              <w:ind w:right="68"/>
              <w:jc w:val="center"/>
              <w:rPr>
                <w:b w:val="0"/>
              </w:rPr>
            </w:pPr>
            <w:r>
              <w:rPr>
                <w:b w:val="0"/>
              </w:rPr>
              <w:t>X</w:t>
            </w:r>
          </w:p>
        </w:tc>
        <w:tc>
          <w:tcPr>
            <w:tcW w:w="762" w:type="dxa"/>
            <w:vAlign w:val="center"/>
          </w:tcPr>
          <w:p w14:paraId="00000089" w14:textId="77777777" w:rsidR="0011791C" w:rsidRDefault="002230DC">
            <w:pPr>
              <w:pStyle w:val="Heading1"/>
              <w:ind w:right="68"/>
              <w:jc w:val="center"/>
              <w:rPr>
                <w:b w:val="0"/>
              </w:rPr>
            </w:pPr>
            <w:r>
              <w:rPr>
                <w:b w:val="0"/>
              </w:rPr>
              <w:t>X</w:t>
            </w:r>
          </w:p>
        </w:tc>
        <w:tc>
          <w:tcPr>
            <w:tcW w:w="850" w:type="dxa"/>
            <w:vAlign w:val="center"/>
          </w:tcPr>
          <w:p w14:paraId="0000008A" w14:textId="77777777" w:rsidR="0011791C" w:rsidRDefault="002230DC">
            <w:pPr>
              <w:pStyle w:val="Heading1"/>
              <w:ind w:right="68"/>
              <w:jc w:val="center"/>
              <w:rPr>
                <w:b w:val="0"/>
              </w:rPr>
            </w:pPr>
            <w:r>
              <w:rPr>
                <w:b w:val="0"/>
              </w:rPr>
              <w:t>X</w:t>
            </w:r>
          </w:p>
        </w:tc>
      </w:tr>
      <w:tr w:rsidR="0011791C" w14:paraId="2C1CCB9E" w14:textId="77777777" w:rsidTr="00FD66EE">
        <w:trPr>
          <w:jc w:val="center"/>
        </w:trPr>
        <w:tc>
          <w:tcPr>
            <w:tcW w:w="2045" w:type="dxa"/>
            <w:vAlign w:val="center"/>
          </w:tcPr>
          <w:p w14:paraId="0000008B" w14:textId="77777777" w:rsidR="0011791C" w:rsidRDefault="002230DC">
            <w:pPr>
              <w:pStyle w:val="Heading1"/>
              <w:ind w:right="68"/>
              <w:rPr>
                <w:b w:val="0"/>
              </w:rPr>
            </w:pPr>
            <w:r>
              <w:rPr>
                <w:b w:val="0"/>
              </w:rPr>
              <w:t>SCRS runs candidate MPs</w:t>
            </w:r>
          </w:p>
        </w:tc>
        <w:tc>
          <w:tcPr>
            <w:tcW w:w="785" w:type="dxa"/>
            <w:shd w:val="clear" w:color="auto" w:fill="DBE5F1"/>
            <w:vAlign w:val="center"/>
          </w:tcPr>
          <w:p w14:paraId="0000008C" w14:textId="77777777" w:rsidR="0011791C" w:rsidRDefault="002230DC">
            <w:pPr>
              <w:pStyle w:val="Heading1"/>
              <w:ind w:right="68"/>
              <w:jc w:val="center"/>
              <w:rPr>
                <w:b w:val="0"/>
              </w:rPr>
            </w:pPr>
            <w:r>
              <w:rPr>
                <w:b w:val="0"/>
              </w:rPr>
              <w:t>X</w:t>
            </w:r>
          </w:p>
        </w:tc>
        <w:tc>
          <w:tcPr>
            <w:tcW w:w="851" w:type="dxa"/>
            <w:vAlign w:val="center"/>
          </w:tcPr>
          <w:p w14:paraId="0000008D" w14:textId="77777777" w:rsidR="0011791C" w:rsidRDefault="0011791C">
            <w:pPr>
              <w:pStyle w:val="Heading1"/>
              <w:ind w:right="68"/>
              <w:jc w:val="center"/>
              <w:rPr>
                <w:b w:val="0"/>
              </w:rPr>
            </w:pPr>
          </w:p>
        </w:tc>
        <w:tc>
          <w:tcPr>
            <w:tcW w:w="1017" w:type="dxa"/>
            <w:vAlign w:val="center"/>
          </w:tcPr>
          <w:p w14:paraId="0000008E" w14:textId="77777777" w:rsidR="0011791C" w:rsidRDefault="0011791C">
            <w:pPr>
              <w:pStyle w:val="Heading1"/>
              <w:ind w:right="68"/>
              <w:jc w:val="center"/>
              <w:rPr>
                <w:b w:val="0"/>
              </w:rPr>
            </w:pPr>
          </w:p>
        </w:tc>
        <w:tc>
          <w:tcPr>
            <w:tcW w:w="902" w:type="dxa"/>
            <w:shd w:val="clear" w:color="auto" w:fill="auto"/>
            <w:vAlign w:val="center"/>
          </w:tcPr>
          <w:p w14:paraId="0000008F" w14:textId="77777777" w:rsidR="0011791C" w:rsidRDefault="0011791C">
            <w:pPr>
              <w:pStyle w:val="Heading1"/>
              <w:ind w:right="68"/>
              <w:jc w:val="center"/>
              <w:rPr>
                <w:b w:val="0"/>
              </w:rPr>
            </w:pPr>
          </w:p>
        </w:tc>
        <w:tc>
          <w:tcPr>
            <w:tcW w:w="863" w:type="dxa"/>
            <w:vAlign w:val="center"/>
          </w:tcPr>
          <w:p w14:paraId="00000090" w14:textId="77777777" w:rsidR="0011791C" w:rsidRDefault="0011791C">
            <w:pPr>
              <w:pStyle w:val="Heading1"/>
              <w:ind w:right="68"/>
              <w:jc w:val="center"/>
              <w:rPr>
                <w:b w:val="0"/>
              </w:rPr>
            </w:pPr>
          </w:p>
        </w:tc>
        <w:tc>
          <w:tcPr>
            <w:tcW w:w="762" w:type="dxa"/>
            <w:vAlign w:val="center"/>
          </w:tcPr>
          <w:p w14:paraId="00000091" w14:textId="77777777" w:rsidR="0011791C" w:rsidRDefault="0011791C">
            <w:pPr>
              <w:pStyle w:val="Heading1"/>
              <w:ind w:right="68"/>
              <w:jc w:val="center"/>
              <w:rPr>
                <w:b w:val="0"/>
              </w:rPr>
            </w:pPr>
          </w:p>
        </w:tc>
        <w:tc>
          <w:tcPr>
            <w:tcW w:w="850" w:type="dxa"/>
            <w:shd w:val="clear" w:color="auto" w:fill="auto"/>
            <w:vAlign w:val="center"/>
          </w:tcPr>
          <w:p w14:paraId="00000092" w14:textId="77777777" w:rsidR="0011791C" w:rsidRDefault="0011791C">
            <w:pPr>
              <w:pStyle w:val="Heading1"/>
              <w:ind w:right="68"/>
              <w:jc w:val="center"/>
              <w:rPr>
                <w:b w:val="0"/>
              </w:rPr>
            </w:pPr>
          </w:p>
        </w:tc>
      </w:tr>
      <w:tr w:rsidR="0011791C" w14:paraId="67BC2A10" w14:textId="77777777" w:rsidTr="00FD66EE">
        <w:trPr>
          <w:jc w:val="center"/>
        </w:trPr>
        <w:tc>
          <w:tcPr>
            <w:tcW w:w="2045" w:type="dxa"/>
            <w:vAlign w:val="center"/>
          </w:tcPr>
          <w:p w14:paraId="00000093" w14:textId="77777777" w:rsidR="0011791C" w:rsidRDefault="002230DC">
            <w:pPr>
              <w:pStyle w:val="Heading1"/>
              <w:ind w:right="68"/>
              <w:rPr>
                <w:b w:val="0"/>
              </w:rPr>
            </w:pPr>
            <w:r>
              <w:rPr>
                <w:b w:val="0"/>
              </w:rPr>
              <w:t>Commission adopts an MP</w:t>
            </w:r>
          </w:p>
        </w:tc>
        <w:tc>
          <w:tcPr>
            <w:tcW w:w="785" w:type="dxa"/>
            <w:shd w:val="clear" w:color="auto" w:fill="DBE5F1"/>
            <w:vAlign w:val="center"/>
          </w:tcPr>
          <w:p w14:paraId="00000094" w14:textId="77777777" w:rsidR="0011791C" w:rsidRDefault="002230DC">
            <w:pPr>
              <w:pStyle w:val="Heading1"/>
              <w:ind w:right="68"/>
              <w:jc w:val="center"/>
              <w:rPr>
                <w:b w:val="0"/>
              </w:rPr>
            </w:pPr>
            <w:r>
              <w:rPr>
                <w:b w:val="0"/>
              </w:rPr>
              <w:t>X</w:t>
            </w:r>
          </w:p>
        </w:tc>
        <w:tc>
          <w:tcPr>
            <w:tcW w:w="851" w:type="dxa"/>
            <w:vAlign w:val="center"/>
          </w:tcPr>
          <w:p w14:paraId="00000095" w14:textId="77777777" w:rsidR="0011791C" w:rsidRDefault="0011791C">
            <w:pPr>
              <w:pStyle w:val="Heading1"/>
              <w:ind w:right="68"/>
              <w:jc w:val="center"/>
              <w:rPr>
                <w:b w:val="0"/>
              </w:rPr>
            </w:pPr>
          </w:p>
        </w:tc>
        <w:tc>
          <w:tcPr>
            <w:tcW w:w="1017" w:type="dxa"/>
            <w:vAlign w:val="center"/>
          </w:tcPr>
          <w:p w14:paraId="00000096" w14:textId="77777777" w:rsidR="0011791C" w:rsidRDefault="0011791C">
            <w:pPr>
              <w:pStyle w:val="Heading1"/>
              <w:ind w:right="68"/>
              <w:jc w:val="center"/>
              <w:rPr>
                <w:b w:val="0"/>
              </w:rPr>
            </w:pPr>
          </w:p>
        </w:tc>
        <w:tc>
          <w:tcPr>
            <w:tcW w:w="902" w:type="dxa"/>
            <w:shd w:val="clear" w:color="auto" w:fill="auto"/>
            <w:vAlign w:val="center"/>
          </w:tcPr>
          <w:p w14:paraId="00000097" w14:textId="77777777" w:rsidR="0011791C" w:rsidRDefault="0011791C">
            <w:pPr>
              <w:pStyle w:val="Heading1"/>
              <w:ind w:right="68"/>
              <w:jc w:val="center"/>
              <w:rPr>
                <w:b w:val="0"/>
              </w:rPr>
            </w:pPr>
          </w:p>
        </w:tc>
        <w:tc>
          <w:tcPr>
            <w:tcW w:w="863" w:type="dxa"/>
            <w:shd w:val="clear" w:color="auto" w:fill="auto"/>
            <w:vAlign w:val="center"/>
          </w:tcPr>
          <w:p w14:paraId="00000098" w14:textId="77777777" w:rsidR="0011791C" w:rsidRDefault="0011791C">
            <w:pPr>
              <w:pStyle w:val="Heading1"/>
              <w:ind w:right="68"/>
              <w:jc w:val="center"/>
              <w:rPr>
                <w:b w:val="0"/>
              </w:rPr>
            </w:pPr>
          </w:p>
        </w:tc>
        <w:tc>
          <w:tcPr>
            <w:tcW w:w="762" w:type="dxa"/>
            <w:shd w:val="clear" w:color="auto" w:fill="auto"/>
            <w:vAlign w:val="center"/>
          </w:tcPr>
          <w:p w14:paraId="00000099" w14:textId="77777777" w:rsidR="0011791C" w:rsidRDefault="0011791C">
            <w:pPr>
              <w:pStyle w:val="Heading1"/>
              <w:ind w:right="68"/>
              <w:jc w:val="center"/>
              <w:rPr>
                <w:b w:val="0"/>
              </w:rPr>
            </w:pPr>
          </w:p>
        </w:tc>
        <w:tc>
          <w:tcPr>
            <w:tcW w:w="850" w:type="dxa"/>
            <w:shd w:val="clear" w:color="auto" w:fill="auto"/>
            <w:vAlign w:val="center"/>
          </w:tcPr>
          <w:p w14:paraId="0000009A" w14:textId="77777777" w:rsidR="0011791C" w:rsidRDefault="0011791C">
            <w:pPr>
              <w:pStyle w:val="Heading1"/>
              <w:ind w:right="68"/>
              <w:jc w:val="center"/>
              <w:rPr>
                <w:b w:val="0"/>
              </w:rPr>
            </w:pPr>
          </w:p>
        </w:tc>
      </w:tr>
      <w:tr w:rsidR="00956D6E" w14:paraId="2BC5D177" w14:textId="77777777" w:rsidTr="00F92D4D">
        <w:trPr>
          <w:trHeight w:val="438"/>
          <w:jc w:val="center"/>
        </w:trPr>
        <w:tc>
          <w:tcPr>
            <w:tcW w:w="2045" w:type="dxa"/>
            <w:vAlign w:val="center"/>
          </w:tcPr>
          <w:p w14:paraId="0000009B" w14:textId="77777777" w:rsidR="0011791C" w:rsidRDefault="002230DC">
            <w:pPr>
              <w:pStyle w:val="Heading1"/>
              <w:ind w:right="68"/>
              <w:rPr>
                <w:b w:val="0"/>
              </w:rPr>
            </w:pPr>
            <w:r>
              <w:rPr>
                <w:b w:val="0"/>
              </w:rPr>
              <w:t>SCRS runs MP</w:t>
            </w:r>
          </w:p>
        </w:tc>
        <w:tc>
          <w:tcPr>
            <w:tcW w:w="785" w:type="dxa"/>
            <w:shd w:val="clear" w:color="auto" w:fill="DBE5F1" w:themeFill="accent1" w:themeFillTint="33"/>
            <w:vAlign w:val="center"/>
          </w:tcPr>
          <w:p w14:paraId="0000009C" w14:textId="0718F5B4" w:rsidR="0011791C" w:rsidRDefault="004A2441" w:rsidP="00F92D4D">
            <w:pPr>
              <w:pStyle w:val="Heading1"/>
              <w:pBdr>
                <w:top w:val="nil"/>
                <w:left w:val="nil"/>
                <w:bottom w:val="nil"/>
                <w:right w:val="nil"/>
                <w:between w:val="nil"/>
              </w:pBdr>
              <w:shd w:val="clear" w:color="auto" w:fill="DBE5F1" w:themeFill="accent1" w:themeFillTint="33"/>
              <w:ind w:right="68"/>
              <w:jc w:val="center"/>
              <w:rPr>
                <w:b w:val="0"/>
              </w:rPr>
            </w:pPr>
            <w:r>
              <w:rPr>
                <w:b w:val="0"/>
              </w:rPr>
              <w:t>X</w:t>
            </w:r>
          </w:p>
        </w:tc>
        <w:tc>
          <w:tcPr>
            <w:tcW w:w="851" w:type="dxa"/>
            <w:vAlign w:val="center"/>
          </w:tcPr>
          <w:p w14:paraId="0000009D" w14:textId="77777777" w:rsidR="0011791C" w:rsidRDefault="0011791C">
            <w:pPr>
              <w:pStyle w:val="Heading1"/>
              <w:ind w:right="68"/>
              <w:jc w:val="center"/>
              <w:rPr>
                <w:b w:val="0"/>
              </w:rPr>
            </w:pPr>
          </w:p>
        </w:tc>
        <w:tc>
          <w:tcPr>
            <w:tcW w:w="1017" w:type="dxa"/>
            <w:vAlign w:val="center"/>
          </w:tcPr>
          <w:p w14:paraId="0000009E" w14:textId="77777777" w:rsidR="0011791C" w:rsidRDefault="0011791C">
            <w:pPr>
              <w:pStyle w:val="Heading1"/>
              <w:ind w:right="68"/>
              <w:jc w:val="center"/>
              <w:rPr>
                <w:b w:val="0"/>
              </w:rPr>
            </w:pPr>
          </w:p>
        </w:tc>
        <w:tc>
          <w:tcPr>
            <w:tcW w:w="902" w:type="dxa"/>
            <w:shd w:val="clear" w:color="auto" w:fill="DBE5F1"/>
            <w:vAlign w:val="center"/>
          </w:tcPr>
          <w:p w14:paraId="0000009F" w14:textId="77777777" w:rsidR="0011791C" w:rsidRDefault="002230DC">
            <w:pPr>
              <w:pStyle w:val="Heading1"/>
              <w:ind w:right="68"/>
              <w:jc w:val="center"/>
              <w:rPr>
                <w:b w:val="0"/>
              </w:rPr>
            </w:pPr>
            <w:r>
              <w:rPr>
                <w:b w:val="0"/>
              </w:rPr>
              <w:t>X</w:t>
            </w:r>
          </w:p>
        </w:tc>
        <w:tc>
          <w:tcPr>
            <w:tcW w:w="863" w:type="dxa"/>
            <w:shd w:val="clear" w:color="auto" w:fill="DBE5F1"/>
            <w:vAlign w:val="center"/>
          </w:tcPr>
          <w:p w14:paraId="000000A0" w14:textId="77777777" w:rsidR="0011791C" w:rsidRDefault="0011791C">
            <w:pPr>
              <w:pStyle w:val="Heading1"/>
              <w:ind w:right="68"/>
              <w:jc w:val="center"/>
              <w:rPr>
                <w:b w:val="0"/>
              </w:rPr>
            </w:pPr>
          </w:p>
        </w:tc>
        <w:tc>
          <w:tcPr>
            <w:tcW w:w="762" w:type="dxa"/>
            <w:shd w:val="clear" w:color="auto" w:fill="DBE5F1"/>
            <w:vAlign w:val="center"/>
          </w:tcPr>
          <w:p w14:paraId="000000A1" w14:textId="77777777" w:rsidR="0011791C" w:rsidRDefault="0011791C">
            <w:pPr>
              <w:pStyle w:val="Heading1"/>
              <w:ind w:right="68"/>
              <w:jc w:val="center"/>
              <w:rPr>
                <w:b w:val="0"/>
              </w:rPr>
            </w:pPr>
          </w:p>
        </w:tc>
        <w:tc>
          <w:tcPr>
            <w:tcW w:w="850" w:type="dxa"/>
            <w:shd w:val="clear" w:color="auto" w:fill="DBE5F1"/>
            <w:vAlign w:val="center"/>
          </w:tcPr>
          <w:p w14:paraId="000000A2" w14:textId="77777777" w:rsidR="0011791C" w:rsidRDefault="002230DC">
            <w:pPr>
              <w:pStyle w:val="Heading1"/>
              <w:ind w:right="68"/>
              <w:rPr>
                <w:b w:val="0"/>
              </w:rPr>
            </w:pPr>
            <w:r>
              <w:rPr>
                <w:b w:val="0"/>
              </w:rPr>
              <w:t xml:space="preserve">     X</w:t>
            </w:r>
          </w:p>
        </w:tc>
      </w:tr>
      <w:tr w:rsidR="0011791C" w14:paraId="5F019806" w14:textId="77777777" w:rsidTr="00FD66EE">
        <w:trPr>
          <w:jc w:val="center"/>
        </w:trPr>
        <w:tc>
          <w:tcPr>
            <w:tcW w:w="2045" w:type="dxa"/>
            <w:vAlign w:val="center"/>
          </w:tcPr>
          <w:p w14:paraId="000000A3" w14:textId="77777777" w:rsidR="0011791C" w:rsidRDefault="002230DC">
            <w:pPr>
              <w:pStyle w:val="Heading1"/>
              <w:ind w:right="68"/>
              <w:rPr>
                <w:b w:val="0"/>
              </w:rPr>
            </w:pPr>
            <w:r>
              <w:rPr>
                <w:b w:val="0"/>
              </w:rPr>
              <w:t>Commission adopts TAC based on MP</w:t>
            </w:r>
          </w:p>
        </w:tc>
        <w:tc>
          <w:tcPr>
            <w:tcW w:w="785" w:type="dxa"/>
            <w:shd w:val="clear" w:color="auto" w:fill="DBE5F1"/>
            <w:vAlign w:val="center"/>
          </w:tcPr>
          <w:p w14:paraId="000000A4" w14:textId="77777777" w:rsidR="0011791C" w:rsidRDefault="002230DC">
            <w:pPr>
              <w:pStyle w:val="Heading1"/>
              <w:ind w:right="68"/>
              <w:jc w:val="center"/>
              <w:rPr>
                <w:b w:val="0"/>
              </w:rPr>
            </w:pPr>
            <w:r>
              <w:rPr>
                <w:b w:val="0"/>
              </w:rPr>
              <w:t>X</w:t>
            </w:r>
          </w:p>
        </w:tc>
        <w:tc>
          <w:tcPr>
            <w:tcW w:w="851" w:type="dxa"/>
            <w:vAlign w:val="center"/>
          </w:tcPr>
          <w:p w14:paraId="000000A5" w14:textId="77777777" w:rsidR="0011791C" w:rsidRDefault="0011791C">
            <w:pPr>
              <w:pStyle w:val="Heading1"/>
              <w:ind w:right="68"/>
              <w:jc w:val="center"/>
              <w:rPr>
                <w:b w:val="0"/>
              </w:rPr>
            </w:pPr>
          </w:p>
        </w:tc>
        <w:tc>
          <w:tcPr>
            <w:tcW w:w="1017" w:type="dxa"/>
            <w:vAlign w:val="center"/>
          </w:tcPr>
          <w:p w14:paraId="000000A6" w14:textId="77777777" w:rsidR="0011791C" w:rsidRDefault="0011791C">
            <w:pPr>
              <w:pStyle w:val="Heading1"/>
              <w:ind w:right="68"/>
              <w:jc w:val="center"/>
              <w:rPr>
                <w:b w:val="0"/>
              </w:rPr>
            </w:pPr>
          </w:p>
        </w:tc>
        <w:tc>
          <w:tcPr>
            <w:tcW w:w="902" w:type="dxa"/>
            <w:shd w:val="clear" w:color="auto" w:fill="DBE5F1"/>
            <w:vAlign w:val="center"/>
          </w:tcPr>
          <w:p w14:paraId="000000A7" w14:textId="77777777" w:rsidR="0011791C" w:rsidRDefault="002230DC">
            <w:pPr>
              <w:pStyle w:val="Heading1"/>
              <w:ind w:right="68"/>
              <w:jc w:val="center"/>
              <w:rPr>
                <w:b w:val="0"/>
              </w:rPr>
            </w:pPr>
            <w:r>
              <w:rPr>
                <w:b w:val="0"/>
              </w:rPr>
              <w:t>X</w:t>
            </w:r>
          </w:p>
        </w:tc>
        <w:tc>
          <w:tcPr>
            <w:tcW w:w="863" w:type="dxa"/>
            <w:shd w:val="clear" w:color="auto" w:fill="DBE5F1"/>
            <w:vAlign w:val="center"/>
          </w:tcPr>
          <w:p w14:paraId="000000A8" w14:textId="77777777" w:rsidR="0011791C" w:rsidRDefault="0011791C">
            <w:pPr>
              <w:pStyle w:val="Heading1"/>
              <w:ind w:right="68"/>
              <w:jc w:val="center"/>
              <w:rPr>
                <w:b w:val="0"/>
              </w:rPr>
            </w:pPr>
          </w:p>
        </w:tc>
        <w:tc>
          <w:tcPr>
            <w:tcW w:w="762" w:type="dxa"/>
            <w:shd w:val="clear" w:color="auto" w:fill="DBE5F1"/>
            <w:vAlign w:val="center"/>
          </w:tcPr>
          <w:p w14:paraId="000000A9" w14:textId="77777777" w:rsidR="0011791C" w:rsidRDefault="0011791C">
            <w:pPr>
              <w:pStyle w:val="Heading1"/>
              <w:ind w:right="68"/>
              <w:jc w:val="center"/>
              <w:rPr>
                <w:b w:val="0"/>
              </w:rPr>
            </w:pPr>
          </w:p>
        </w:tc>
        <w:tc>
          <w:tcPr>
            <w:tcW w:w="850" w:type="dxa"/>
            <w:shd w:val="clear" w:color="auto" w:fill="DBE5F1"/>
            <w:vAlign w:val="center"/>
          </w:tcPr>
          <w:p w14:paraId="000000AA" w14:textId="77777777" w:rsidR="0011791C" w:rsidRDefault="002230DC">
            <w:pPr>
              <w:pStyle w:val="Heading1"/>
              <w:ind w:right="68"/>
              <w:jc w:val="center"/>
              <w:rPr>
                <w:b w:val="0"/>
              </w:rPr>
            </w:pPr>
            <w:r>
              <w:rPr>
                <w:b w:val="0"/>
              </w:rPr>
              <w:t>X</w:t>
            </w:r>
          </w:p>
        </w:tc>
      </w:tr>
      <w:tr w:rsidR="0011791C" w14:paraId="5B31F731" w14:textId="77777777" w:rsidTr="00FD66EE">
        <w:trPr>
          <w:trHeight w:val="425"/>
          <w:jc w:val="center"/>
        </w:trPr>
        <w:tc>
          <w:tcPr>
            <w:tcW w:w="2045" w:type="dxa"/>
            <w:vAlign w:val="center"/>
          </w:tcPr>
          <w:p w14:paraId="000000AB" w14:textId="77777777" w:rsidR="0011791C" w:rsidRDefault="002230DC">
            <w:pPr>
              <w:pStyle w:val="Heading1"/>
              <w:ind w:right="68"/>
              <w:rPr>
                <w:b w:val="0"/>
              </w:rPr>
            </w:pPr>
            <w:r>
              <w:rPr>
                <w:b w:val="0"/>
              </w:rPr>
              <w:t>TAC in effect</w:t>
            </w:r>
          </w:p>
        </w:tc>
        <w:tc>
          <w:tcPr>
            <w:tcW w:w="785" w:type="dxa"/>
            <w:vAlign w:val="center"/>
          </w:tcPr>
          <w:p w14:paraId="000000AC" w14:textId="77777777" w:rsidR="0011791C" w:rsidRDefault="0011791C">
            <w:pPr>
              <w:pStyle w:val="Heading1"/>
              <w:ind w:right="68"/>
              <w:jc w:val="center"/>
              <w:rPr>
                <w:b w:val="0"/>
              </w:rPr>
            </w:pPr>
          </w:p>
        </w:tc>
        <w:tc>
          <w:tcPr>
            <w:tcW w:w="851" w:type="dxa"/>
            <w:shd w:val="clear" w:color="auto" w:fill="DBE5F1"/>
            <w:vAlign w:val="center"/>
          </w:tcPr>
          <w:p w14:paraId="000000AD" w14:textId="77777777" w:rsidR="0011791C" w:rsidRDefault="002230DC">
            <w:pPr>
              <w:pStyle w:val="Heading1"/>
              <w:ind w:right="68"/>
              <w:jc w:val="center"/>
              <w:rPr>
                <w:b w:val="0"/>
              </w:rPr>
            </w:pPr>
            <w:r>
              <w:rPr>
                <w:b w:val="0"/>
              </w:rPr>
              <w:t>X</w:t>
            </w:r>
          </w:p>
        </w:tc>
        <w:tc>
          <w:tcPr>
            <w:tcW w:w="1017" w:type="dxa"/>
            <w:shd w:val="clear" w:color="auto" w:fill="DBE5F1"/>
            <w:vAlign w:val="center"/>
          </w:tcPr>
          <w:p w14:paraId="000000AE" w14:textId="77777777" w:rsidR="0011791C" w:rsidRDefault="002230DC">
            <w:pPr>
              <w:pStyle w:val="Heading1"/>
              <w:ind w:right="68"/>
              <w:jc w:val="center"/>
              <w:rPr>
                <w:b w:val="0"/>
              </w:rPr>
            </w:pPr>
            <w:r>
              <w:rPr>
                <w:b w:val="0"/>
              </w:rPr>
              <w:t>X</w:t>
            </w:r>
          </w:p>
        </w:tc>
        <w:tc>
          <w:tcPr>
            <w:tcW w:w="902" w:type="dxa"/>
            <w:shd w:val="clear" w:color="auto" w:fill="DBE5F1"/>
            <w:vAlign w:val="center"/>
          </w:tcPr>
          <w:p w14:paraId="000000AF" w14:textId="77777777" w:rsidR="0011791C" w:rsidRDefault="002230DC">
            <w:pPr>
              <w:pStyle w:val="Heading1"/>
              <w:ind w:right="68"/>
              <w:jc w:val="center"/>
              <w:rPr>
                <w:b w:val="0"/>
              </w:rPr>
            </w:pPr>
            <w:r>
              <w:rPr>
                <w:b w:val="0"/>
              </w:rPr>
              <w:t>X</w:t>
            </w:r>
          </w:p>
        </w:tc>
        <w:tc>
          <w:tcPr>
            <w:tcW w:w="863" w:type="dxa"/>
            <w:shd w:val="clear" w:color="auto" w:fill="DBE5F1"/>
            <w:vAlign w:val="center"/>
          </w:tcPr>
          <w:p w14:paraId="000000B0" w14:textId="77777777" w:rsidR="0011791C" w:rsidRDefault="002230DC">
            <w:pPr>
              <w:pStyle w:val="Heading1"/>
              <w:ind w:right="68"/>
              <w:jc w:val="center"/>
              <w:rPr>
                <w:b w:val="0"/>
              </w:rPr>
            </w:pPr>
            <w:r>
              <w:rPr>
                <w:b w:val="0"/>
              </w:rPr>
              <w:t>X</w:t>
            </w:r>
          </w:p>
        </w:tc>
        <w:tc>
          <w:tcPr>
            <w:tcW w:w="762" w:type="dxa"/>
            <w:shd w:val="clear" w:color="auto" w:fill="DBE5F1"/>
            <w:vAlign w:val="center"/>
          </w:tcPr>
          <w:p w14:paraId="000000B1" w14:textId="77777777" w:rsidR="0011791C" w:rsidRDefault="002230DC">
            <w:pPr>
              <w:pStyle w:val="Heading1"/>
              <w:ind w:right="68"/>
              <w:jc w:val="center"/>
              <w:rPr>
                <w:b w:val="0"/>
              </w:rPr>
            </w:pPr>
            <w:r>
              <w:rPr>
                <w:b w:val="0"/>
              </w:rPr>
              <w:t>X</w:t>
            </w:r>
          </w:p>
        </w:tc>
        <w:tc>
          <w:tcPr>
            <w:tcW w:w="850" w:type="dxa"/>
            <w:shd w:val="clear" w:color="auto" w:fill="DBE5F1"/>
            <w:vAlign w:val="center"/>
          </w:tcPr>
          <w:p w14:paraId="000000B2" w14:textId="77777777" w:rsidR="0011791C" w:rsidRDefault="002230DC">
            <w:pPr>
              <w:pStyle w:val="Heading1"/>
              <w:ind w:right="68"/>
              <w:jc w:val="center"/>
              <w:rPr>
                <w:b w:val="0"/>
              </w:rPr>
            </w:pPr>
            <w:r>
              <w:rPr>
                <w:b w:val="0"/>
              </w:rPr>
              <w:t>X</w:t>
            </w:r>
          </w:p>
        </w:tc>
      </w:tr>
      <w:tr w:rsidR="0011791C" w14:paraId="26E50AEA" w14:textId="77777777" w:rsidTr="00FD66EE">
        <w:trPr>
          <w:trHeight w:val="417"/>
          <w:jc w:val="center"/>
        </w:trPr>
        <w:tc>
          <w:tcPr>
            <w:tcW w:w="2045" w:type="dxa"/>
            <w:vAlign w:val="center"/>
          </w:tcPr>
          <w:p w14:paraId="000000B3" w14:textId="77777777" w:rsidR="0011791C" w:rsidRDefault="002230DC">
            <w:pPr>
              <w:pStyle w:val="Heading1"/>
              <w:ind w:right="68"/>
              <w:rPr>
                <w:b w:val="0"/>
              </w:rPr>
            </w:pPr>
            <w:r>
              <w:rPr>
                <w:b w:val="0"/>
              </w:rPr>
              <w:t>SCRS MP review</w:t>
            </w:r>
          </w:p>
        </w:tc>
        <w:tc>
          <w:tcPr>
            <w:tcW w:w="785" w:type="dxa"/>
            <w:vAlign w:val="center"/>
          </w:tcPr>
          <w:p w14:paraId="000000B4" w14:textId="77777777" w:rsidR="0011791C" w:rsidRDefault="0011791C">
            <w:pPr>
              <w:pStyle w:val="Heading1"/>
              <w:ind w:right="68"/>
              <w:jc w:val="center"/>
              <w:rPr>
                <w:b w:val="0"/>
              </w:rPr>
            </w:pPr>
          </w:p>
        </w:tc>
        <w:tc>
          <w:tcPr>
            <w:tcW w:w="851" w:type="dxa"/>
            <w:vAlign w:val="center"/>
          </w:tcPr>
          <w:p w14:paraId="000000B5" w14:textId="77777777" w:rsidR="0011791C" w:rsidRDefault="0011791C">
            <w:pPr>
              <w:pStyle w:val="Heading1"/>
              <w:ind w:right="68"/>
              <w:jc w:val="center"/>
              <w:rPr>
                <w:b w:val="0"/>
              </w:rPr>
            </w:pPr>
          </w:p>
        </w:tc>
        <w:tc>
          <w:tcPr>
            <w:tcW w:w="1017" w:type="dxa"/>
            <w:vAlign w:val="center"/>
          </w:tcPr>
          <w:p w14:paraId="000000B6" w14:textId="77777777" w:rsidR="0011791C" w:rsidRDefault="0011791C">
            <w:pPr>
              <w:pStyle w:val="Heading1"/>
              <w:ind w:right="68"/>
              <w:jc w:val="center"/>
              <w:rPr>
                <w:b w:val="0"/>
              </w:rPr>
            </w:pPr>
          </w:p>
        </w:tc>
        <w:tc>
          <w:tcPr>
            <w:tcW w:w="902" w:type="dxa"/>
            <w:vAlign w:val="center"/>
          </w:tcPr>
          <w:p w14:paraId="000000B7" w14:textId="77777777" w:rsidR="0011791C" w:rsidRDefault="0011791C">
            <w:pPr>
              <w:pStyle w:val="Heading1"/>
              <w:ind w:right="68"/>
              <w:jc w:val="center"/>
              <w:rPr>
                <w:b w:val="0"/>
              </w:rPr>
            </w:pPr>
          </w:p>
        </w:tc>
        <w:tc>
          <w:tcPr>
            <w:tcW w:w="863" w:type="dxa"/>
            <w:vAlign w:val="center"/>
          </w:tcPr>
          <w:p w14:paraId="000000B8" w14:textId="77777777" w:rsidR="0011791C" w:rsidRDefault="0011791C">
            <w:pPr>
              <w:pStyle w:val="Heading1"/>
              <w:ind w:right="68"/>
              <w:jc w:val="center"/>
              <w:rPr>
                <w:b w:val="0"/>
              </w:rPr>
            </w:pPr>
          </w:p>
        </w:tc>
        <w:tc>
          <w:tcPr>
            <w:tcW w:w="762" w:type="dxa"/>
            <w:vAlign w:val="center"/>
          </w:tcPr>
          <w:p w14:paraId="000000B9" w14:textId="77777777" w:rsidR="0011791C" w:rsidRDefault="0011791C">
            <w:pPr>
              <w:pStyle w:val="Heading1"/>
              <w:ind w:right="68"/>
              <w:jc w:val="center"/>
              <w:rPr>
                <w:b w:val="0"/>
              </w:rPr>
            </w:pPr>
          </w:p>
        </w:tc>
        <w:tc>
          <w:tcPr>
            <w:tcW w:w="850" w:type="dxa"/>
            <w:vAlign w:val="center"/>
          </w:tcPr>
          <w:p w14:paraId="000000BA" w14:textId="77777777" w:rsidR="0011791C" w:rsidRDefault="002230DC">
            <w:pPr>
              <w:pStyle w:val="Heading1"/>
              <w:ind w:right="68"/>
              <w:jc w:val="center"/>
              <w:rPr>
                <w:b w:val="0"/>
              </w:rPr>
            </w:pPr>
            <w:r>
              <w:rPr>
                <w:b w:val="0"/>
              </w:rPr>
              <w:t>X</w:t>
            </w:r>
          </w:p>
        </w:tc>
      </w:tr>
      <w:tr w:rsidR="0011791C" w14:paraId="61208CB8" w14:textId="77777777" w:rsidTr="00FD66EE">
        <w:trPr>
          <w:jc w:val="center"/>
        </w:trPr>
        <w:tc>
          <w:tcPr>
            <w:tcW w:w="2045" w:type="dxa"/>
            <w:vAlign w:val="center"/>
          </w:tcPr>
          <w:p w14:paraId="000000BB" w14:textId="77777777" w:rsidR="0011791C" w:rsidRDefault="002230DC">
            <w:pPr>
              <w:pStyle w:val="Heading1"/>
              <w:ind w:right="68"/>
              <w:rPr>
                <w:b w:val="0"/>
              </w:rPr>
            </w:pPr>
            <w:r>
              <w:rPr>
                <w:b w:val="0"/>
              </w:rPr>
              <w:t>Status Check/Assessment</w:t>
            </w:r>
            <w:r>
              <w:rPr>
                <w:b w:val="0"/>
                <w:vertAlign w:val="superscript"/>
              </w:rPr>
              <w:footnoteReference w:id="1"/>
            </w:r>
          </w:p>
        </w:tc>
        <w:tc>
          <w:tcPr>
            <w:tcW w:w="785" w:type="dxa"/>
            <w:vAlign w:val="center"/>
          </w:tcPr>
          <w:p w14:paraId="000000BC" w14:textId="77777777" w:rsidR="0011791C" w:rsidRDefault="0011791C">
            <w:pPr>
              <w:pStyle w:val="Heading1"/>
              <w:ind w:right="68"/>
              <w:jc w:val="center"/>
              <w:rPr>
                <w:b w:val="0"/>
              </w:rPr>
            </w:pPr>
          </w:p>
        </w:tc>
        <w:tc>
          <w:tcPr>
            <w:tcW w:w="851" w:type="dxa"/>
            <w:vAlign w:val="center"/>
          </w:tcPr>
          <w:p w14:paraId="000000BD" w14:textId="77777777" w:rsidR="0011791C" w:rsidRDefault="0011791C">
            <w:pPr>
              <w:pStyle w:val="Heading1"/>
              <w:ind w:right="68"/>
              <w:jc w:val="center"/>
              <w:rPr>
                <w:b w:val="0"/>
              </w:rPr>
            </w:pPr>
          </w:p>
        </w:tc>
        <w:tc>
          <w:tcPr>
            <w:tcW w:w="1017" w:type="dxa"/>
            <w:vAlign w:val="center"/>
          </w:tcPr>
          <w:p w14:paraId="000000BE" w14:textId="77777777" w:rsidR="0011791C" w:rsidRDefault="0011791C">
            <w:pPr>
              <w:pStyle w:val="Heading1"/>
              <w:ind w:right="68"/>
              <w:jc w:val="center"/>
              <w:rPr>
                <w:b w:val="0"/>
              </w:rPr>
            </w:pPr>
          </w:p>
        </w:tc>
        <w:tc>
          <w:tcPr>
            <w:tcW w:w="902" w:type="dxa"/>
            <w:vAlign w:val="center"/>
          </w:tcPr>
          <w:p w14:paraId="000000BF" w14:textId="77777777" w:rsidR="0011791C" w:rsidRDefault="0011791C">
            <w:pPr>
              <w:pStyle w:val="Heading1"/>
              <w:ind w:right="68"/>
              <w:jc w:val="center"/>
              <w:rPr>
                <w:b w:val="0"/>
              </w:rPr>
            </w:pPr>
          </w:p>
        </w:tc>
        <w:tc>
          <w:tcPr>
            <w:tcW w:w="863" w:type="dxa"/>
            <w:vAlign w:val="center"/>
          </w:tcPr>
          <w:p w14:paraId="000000C0" w14:textId="77777777" w:rsidR="0011791C" w:rsidRDefault="0011791C">
            <w:pPr>
              <w:pStyle w:val="Heading1"/>
              <w:ind w:right="68"/>
              <w:jc w:val="center"/>
              <w:rPr>
                <w:b w:val="0"/>
              </w:rPr>
            </w:pPr>
          </w:p>
        </w:tc>
        <w:tc>
          <w:tcPr>
            <w:tcW w:w="762" w:type="dxa"/>
            <w:vAlign w:val="center"/>
          </w:tcPr>
          <w:p w14:paraId="000000C1" w14:textId="77777777" w:rsidR="0011791C" w:rsidRDefault="0011791C">
            <w:pPr>
              <w:pStyle w:val="Heading1"/>
              <w:ind w:right="68"/>
              <w:jc w:val="center"/>
              <w:rPr>
                <w:b w:val="0"/>
              </w:rPr>
            </w:pPr>
          </w:p>
        </w:tc>
        <w:tc>
          <w:tcPr>
            <w:tcW w:w="850" w:type="dxa"/>
            <w:vAlign w:val="center"/>
          </w:tcPr>
          <w:p w14:paraId="000000C2" w14:textId="77777777" w:rsidR="0011791C" w:rsidRDefault="002230DC">
            <w:pPr>
              <w:pStyle w:val="Heading1"/>
              <w:ind w:right="68"/>
              <w:jc w:val="center"/>
              <w:rPr>
                <w:b w:val="0"/>
              </w:rPr>
            </w:pPr>
            <w:r>
              <w:rPr>
                <w:b w:val="0"/>
              </w:rPr>
              <w:t>X</w:t>
            </w:r>
          </w:p>
        </w:tc>
      </w:tr>
      <w:tr w:rsidR="0011791C" w14:paraId="38C35DAA" w14:textId="77777777" w:rsidTr="00FD66EE">
        <w:trPr>
          <w:jc w:val="center"/>
        </w:trPr>
        <w:tc>
          <w:tcPr>
            <w:tcW w:w="2045" w:type="dxa"/>
            <w:vAlign w:val="center"/>
          </w:tcPr>
          <w:p w14:paraId="000000C3" w14:textId="77777777" w:rsidR="0011791C" w:rsidRDefault="002230DC">
            <w:pPr>
              <w:pStyle w:val="Heading1"/>
              <w:ind w:right="68"/>
              <w:rPr>
                <w:b w:val="0"/>
              </w:rPr>
            </w:pPr>
            <w:r>
              <w:rPr>
                <w:b w:val="0"/>
              </w:rPr>
              <w:t>Commission assesses SCRS review and next steps</w:t>
            </w:r>
          </w:p>
        </w:tc>
        <w:tc>
          <w:tcPr>
            <w:tcW w:w="785" w:type="dxa"/>
            <w:vAlign w:val="center"/>
          </w:tcPr>
          <w:p w14:paraId="000000C4" w14:textId="77777777" w:rsidR="0011791C" w:rsidRDefault="0011791C">
            <w:pPr>
              <w:pStyle w:val="Heading1"/>
              <w:ind w:right="68"/>
              <w:jc w:val="center"/>
              <w:rPr>
                <w:b w:val="0"/>
              </w:rPr>
            </w:pPr>
          </w:p>
        </w:tc>
        <w:tc>
          <w:tcPr>
            <w:tcW w:w="851" w:type="dxa"/>
            <w:vAlign w:val="center"/>
          </w:tcPr>
          <w:p w14:paraId="000000C5" w14:textId="77777777" w:rsidR="0011791C" w:rsidRDefault="0011791C">
            <w:pPr>
              <w:pStyle w:val="Heading1"/>
              <w:ind w:right="68"/>
              <w:jc w:val="center"/>
              <w:rPr>
                <w:b w:val="0"/>
              </w:rPr>
            </w:pPr>
          </w:p>
        </w:tc>
        <w:tc>
          <w:tcPr>
            <w:tcW w:w="1017" w:type="dxa"/>
            <w:vAlign w:val="center"/>
          </w:tcPr>
          <w:p w14:paraId="000000C6" w14:textId="77777777" w:rsidR="0011791C" w:rsidRDefault="0011791C">
            <w:pPr>
              <w:pStyle w:val="Heading1"/>
              <w:ind w:right="68"/>
              <w:jc w:val="center"/>
              <w:rPr>
                <w:b w:val="0"/>
              </w:rPr>
            </w:pPr>
          </w:p>
        </w:tc>
        <w:tc>
          <w:tcPr>
            <w:tcW w:w="902" w:type="dxa"/>
            <w:vAlign w:val="center"/>
          </w:tcPr>
          <w:p w14:paraId="000000C7" w14:textId="77777777" w:rsidR="0011791C" w:rsidRDefault="0011791C">
            <w:pPr>
              <w:pStyle w:val="Heading1"/>
              <w:ind w:right="68"/>
              <w:jc w:val="center"/>
              <w:rPr>
                <w:b w:val="0"/>
              </w:rPr>
            </w:pPr>
          </w:p>
        </w:tc>
        <w:tc>
          <w:tcPr>
            <w:tcW w:w="863" w:type="dxa"/>
            <w:vAlign w:val="center"/>
          </w:tcPr>
          <w:p w14:paraId="000000C8" w14:textId="77777777" w:rsidR="0011791C" w:rsidRDefault="0011791C">
            <w:pPr>
              <w:pStyle w:val="Heading1"/>
              <w:ind w:right="68"/>
              <w:jc w:val="center"/>
              <w:rPr>
                <w:b w:val="0"/>
              </w:rPr>
            </w:pPr>
          </w:p>
        </w:tc>
        <w:tc>
          <w:tcPr>
            <w:tcW w:w="762" w:type="dxa"/>
            <w:vAlign w:val="center"/>
          </w:tcPr>
          <w:p w14:paraId="000000C9" w14:textId="77777777" w:rsidR="0011791C" w:rsidRDefault="0011791C">
            <w:pPr>
              <w:pStyle w:val="Heading1"/>
              <w:ind w:right="68"/>
              <w:jc w:val="center"/>
              <w:rPr>
                <w:b w:val="0"/>
              </w:rPr>
            </w:pPr>
          </w:p>
        </w:tc>
        <w:tc>
          <w:tcPr>
            <w:tcW w:w="850" w:type="dxa"/>
            <w:vAlign w:val="center"/>
          </w:tcPr>
          <w:p w14:paraId="000000CA" w14:textId="77777777" w:rsidR="0011791C" w:rsidRDefault="002230DC">
            <w:pPr>
              <w:pStyle w:val="Heading1"/>
              <w:ind w:right="68"/>
              <w:jc w:val="center"/>
              <w:rPr>
                <w:b w:val="0"/>
              </w:rPr>
            </w:pPr>
            <w:r>
              <w:rPr>
                <w:b w:val="0"/>
              </w:rPr>
              <w:t>X</w:t>
            </w:r>
          </w:p>
        </w:tc>
      </w:tr>
    </w:tbl>
    <w:p w14:paraId="000000CB" w14:textId="77777777" w:rsidR="0011791C" w:rsidRDefault="0011791C">
      <w:pPr>
        <w:pStyle w:val="Heading1"/>
        <w:ind w:right="68"/>
      </w:pPr>
    </w:p>
    <w:sectPr w:rsidR="0011791C">
      <w:footerReference w:type="default" r:id="rId8"/>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03B5" w14:textId="77777777" w:rsidR="00D871A1" w:rsidRDefault="00D871A1">
      <w:r>
        <w:separator/>
      </w:r>
    </w:p>
  </w:endnote>
  <w:endnote w:type="continuationSeparator" w:id="0">
    <w:p w14:paraId="1A403F65" w14:textId="77777777" w:rsidR="00D871A1" w:rsidRDefault="00D8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altName w:val="Times New Roman"/>
    <w:charset w:val="00"/>
    <w:family w:val="auto"/>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D" w14:textId="2AF79436" w:rsidR="0011791C" w:rsidRDefault="002230DC">
    <w:pPr>
      <w:widowControl w:val="0"/>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libri" w:eastAsia="Calibri" w:hAnsi="Calibri" w:cs="Calibri"/>
        <w:color w:val="000000"/>
        <w:sz w:val="20"/>
        <w:szCs w:val="20"/>
      </w:rPr>
      <w:t xml:space="preserve">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281C95">
      <w:rPr>
        <w:rFonts w:ascii="Cambria" w:eastAsia="Cambria" w:hAnsi="Cambria" w:cs="Cambria"/>
        <w:noProof/>
        <w:color w:val="000000"/>
        <w:sz w:val="20"/>
        <w:szCs w:val="20"/>
      </w:rPr>
      <w:t>4</w:t>
    </w:r>
    <w:r>
      <w:rPr>
        <w:rFonts w:ascii="Cambria" w:eastAsia="Cambria" w:hAnsi="Cambria" w:cs="Cambria"/>
        <w:color w:val="000000"/>
        <w:sz w:val="20"/>
        <w:szCs w:val="20"/>
      </w:rPr>
      <w:fldChar w:fldCharType="end"/>
    </w:r>
  </w:p>
  <w:p w14:paraId="000000CE" w14:textId="77777777" w:rsidR="0011791C" w:rsidRDefault="0011791C">
    <w:pPr>
      <w:widowControl w:val="0"/>
      <w:pBdr>
        <w:top w:val="nil"/>
        <w:left w:val="nil"/>
        <w:bottom w:val="nil"/>
        <w:right w:val="nil"/>
        <w:between w:val="nil"/>
      </w:pBdr>
      <w:spacing w:line="14" w:lineRule="auto"/>
      <w:rPr>
        <w:rFonts w:ascii="Cambria" w:eastAsia="Cambria" w:hAnsi="Cambria" w:cs="Cambri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F" w14:textId="7A5E66C1" w:rsidR="0011791C" w:rsidRDefault="002230DC">
    <w:pPr>
      <w:widowControl w:val="0"/>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281C95">
      <w:rPr>
        <w:rFonts w:ascii="Cambria" w:eastAsia="Cambria" w:hAnsi="Cambria" w:cs="Cambria"/>
        <w:noProof/>
        <w:color w:val="000000"/>
        <w:sz w:val="20"/>
        <w:szCs w:val="20"/>
      </w:rPr>
      <w:t>5</w:t>
    </w:r>
    <w:r>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AD9A1" w14:textId="77777777" w:rsidR="00D871A1" w:rsidRDefault="00D871A1">
      <w:r>
        <w:separator/>
      </w:r>
    </w:p>
  </w:footnote>
  <w:footnote w:type="continuationSeparator" w:id="0">
    <w:p w14:paraId="67F206E6" w14:textId="77777777" w:rsidR="00D871A1" w:rsidRDefault="00D871A1">
      <w:r>
        <w:continuationSeparator/>
      </w:r>
    </w:p>
  </w:footnote>
  <w:footnote w:id="1">
    <w:p w14:paraId="000000CC" w14:textId="77777777" w:rsidR="0011791C" w:rsidRPr="00A430C0" w:rsidRDefault="002230DC">
      <w:pPr>
        <w:widowControl w:val="0"/>
        <w:pBdr>
          <w:top w:val="nil"/>
          <w:left w:val="nil"/>
          <w:bottom w:val="nil"/>
          <w:right w:val="nil"/>
          <w:between w:val="nil"/>
        </w:pBdr>
        <w:jc w:val="both"/>
        <w:rPr>
          <w:rFonts w:asciiTheme="majorHAnsi" w:eastAsia="Cambria" w:hAnsiTheme="majorHAnsi" w:cs="Cambria"/>
          <w:color w:val="000000"/>
          <w:sz w:val="16"/>
          <w:szCs w:val="16"/>
        </w:rPr>
      </w:pPr>
      <w:r w:rsidRPr="00A430C0">
        <w:rPr>
          <w:rStyle w:val="FootnoteReference"/>
          <w:rFonts w:asciiTheme="majorHAnsi" w:hAnsiTheme="majorHAnsi"/>
          <w:sz w:val="16"/>
          <w:szCs w:val="16"/>
        </w:rPr>
        <w:footnoteRef/>
      </w:r>
      <w:r w:rsidRPr="00A430C0">
        <w:rPr>
          <w:rFonts w:asciiTheme="majorHAnsi" w:eastAsia="Cambria" w:hAnsiTheme="majorHAnsi" w:cs="Cambria"/>
          <w:color w:val="000000"/>
          <w:sz w:val="16"/>
          <w:szCs w:val="16"/>
        </w:rPr>
        <w:t xml:space="preserve"> The Status Check/Assessment will follow the methodology of the 2022 Stock Assessment, running both the SPSS and Stock Synthesis (SS3) models.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11796474">
    <w:abstractNumId w:val="1"/>
  </w:num>
  <w:num w:numId="2" w16cid:durableId="456797422">
    <w:abstractNumId w:val="0"/>
  </w:num>
  <w:num w:numId="3" w16cid:durableId="2146504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1C"/>
    <w:rsid w:val="0011791C"/>
    <w:rsid w:val="00192175"/>
    <w:rsid w:val="00204BF2"/>
    <w:rsid w:val="002230DC"/>
    <w:rsid w:val="00281C95"/>
    <w:rsid w:val="002F4708"/>
    <w:rsid w:val="003E036D"/>
    <w:rsid w:val="00484C1E"/>
    <w:rsid w:val="004A2441"/>
    <w:rsid w:val="00517E84"/>
    <w:rsid w:val="00653A7A"/>
    <w:rsid w:val="00675CC0"/>
    <w:rsid w:val="006C0CF5"/>
    <w:rsid w:val="006F07B0"/>
    <w:rsid w:val="00784588"/>
    <w:rsid w:val="007A451E"/>
    <w:rsid w:val="00850328"/>
    <w:rsid w:val="00956D6E"/>
    <w:rsid w:val="00A430C0"/>
    <w:rsid w:val="00AC1155"/>
    <w:rsid w:val="00AC387D"/>
    <w:rsid w:val="00AD4922"/>
    <w:rsid w:val="00B06742"/>
    <w:rsid w:val="00B72750"/>
    <w:rsid w:val="00C50CA3"/>
    <w:rsid w:val="00C55481"/>
    <w:rsid w:val="00D871A1"/>
    <w:rsid w:val="00EB0831"/>
    <w:rsid w:val="00F360B2"/>
    <w:rsid w:val="00F92D4D"/>
    <w:rsid w:val="00F947F1"/>
    <w:rsid w:val="00FD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4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01"/>
    <w:rPr>
      <w:lang w:val="pt-BR"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val="en-US"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val="en-US"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qFormat/>
    <w:pPr>
      <w:keepNext/>
      <w:spacing w:before="240" w:after="120"/>
    </w:pPr>
    <w:rPr>
      <w:rFonts w:ascii="Liberation Sans" w:eastAsia="Noto Sans CJK SC" w:hAnsi="Liberation Sans" w:cs="Lohit Devanagari"/>
      <w:sz w:val="28"/>
      <w:szCs w:val="28"/>
    </w:rPr>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pt-BR" w:eastAsia="pt-BR"/>
    </w:rPr>
  </w:style>
  <w:style w:type="character" w:customStyle="1" w:styleId="Caracteresdenotaderodap">
    <w:name w:val="Caracteres de nota de rodapé"/>
    <w:basedOn w:val="DefaultParagraphFont"/>
    <w:uiPriority w:val="99"/>
    <w:semiHidden/>
    <w:unhideWhenUsed/>
    <w:qFormat/>
    <w:rsid w:val="00143EE7"/>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BalloonTextChar">
    <w:name w:val="Balloon Text Char"/>
    <w:basedOn w:val="DefaultParagraphFont"/>
    <w:link w:val="BalloonText"/>
    <w:uiPriority w:val="99"/>
    <w:semiHidden/>
    <w:qFormat/>
    <w:rsid w:val="006F4D5B"/>
    <w:rPr>
      <w:rFonts w:ascii="Segoe UI" w:eastAsia="Times New Roman" w:hAnsi="Segoe UI" w:cs="Segoe UI"/>
      <w:sz w:val="18"/>
      <w:szCs w:val="18"/>
      <w:lang w:val="pt-BR" w:eastAsia="pt-BR"/>
    </w:rPr>
  </w:style>
  <w:style w:type="paragraph" w:styleId="BodyText">
    <w:name w:val="Body Text"/>
    <w:basedOn w:val="Normal"/>
    <w:link w:val="BodyTextChar"/>
    <w:uiPriority w:val="1"/>
    <w:qFormat/>
    <w:pPr>
      <w:widowControl w:val="0"/>
    </w:pPr>
    <w:rPr>
      <w:rFonts w:ascii="Cambria" w:eastAsia="Cambria" w:hAnsi="Cambria" w:cs="Cambria"/>
      <w:sz w:val="20"/>
      <w:szCs w:val="20"/>
      <w:lang w:val="en-US"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val="en-US"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val="en-US"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val="en-US" w:eastAsia="en-US"/>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val="en-US"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val="en-US" w:eastAsia="en-US"/>
    </w:rPr>
  </w:style>
  <w:style w:type="paragraph" w:styleId="Revision">
    <w:name w:val="Revision"/>
    <w:uiPriority w:val="99"/>
    <w:semiHidden/>
    <w:qFormat/>
    <w:rsid w:val="005A303F"/>
    <w:rPr>
      <w:lang w:val="pt-BR"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paragraph" w:styleId="BalloonText">
    <w:name w:val="Balloon Text"/>
    <w:basedOn w:val="Normal"/>
    <w:link w:val="BalloonTextChar"/>
    <w:uiPriority w:val="99"/>
    <w:semiHidden/>
    <w:unhideWhenUsed/>
    <w:qFormat/>
    <w:rsid w:val="00A045A2"/>
    <w:rPr>
      <w:rFonts w:ascii="Segoe UI" w:hAnsi="Segoe UI" w:cs="Segoe UI"/>
      <w:sz w:val="18"/>
      <w:szCs w:val="18"/>
    </w:rPr>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customStyle="1" w:styleId="Default">
    <w:name w:val="Default"/>
    <w:rsid w:val="00BF2793"/>
    <w:pPr>
      <w:autoSpaceDE w:val="0"/>
      <w:autoSpaceDN w:val="0"/>
      <w:adjustRightInd w:val="0"/>
    </w:pPr>
    <w:rPr>
      <w:color w:val="000000"/>
    </w:rPr>
  </w:style>
  <w:style w:type="character" w:styleId="FootnoteReference">
    <w:name w:val="footnote reference"/>
    <w:basedOn w:val="DefaultParagraphFont"/>
    <w:uiPriority w:val="99"/>
    <w:semiHidden/>
    <w:unhideWhenUsed/>
    <w:rsid w:val="00A045A2"/>
    <w:rPr>
      <w:vertAlign w:val="superscript"/>
    </w:rPr>
  </w:style>
  <w:style w:type="character" w:customStyle="1" w:styleId="BodyTextChar">
    <w:name w:val="Body Text Char"/>
    <w:basedOn w:val="DefaultParagraphFont"/>
    <w:link w:val="BodyText"/>
    <w:uiPriority w:val="1"/>
    <w:rsid w:val="00514222"/>
    <w:rPr>
      <w:rFonts w:ascii="Cambria" w:eastAsia="Cambria" w:hAnsi="Cambria" w:cs="Cambria"/>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2024-12-11T22:09:00Z</dcterms:created>
  <dcterms:modified xsi:type="dcterms:W3CDTF">2025-01-13T10:49:00Z</dcterms:modified>
</cp:coreProperties>
</file>