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72676" w14:textId="783A71A8" w:rsidR="00593619" w:rsidRPr="00F72333" w:rsidRDefault="00593619" w:rsidP="0059361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  <w:bookmarkStart w:id="0" w:name="_Hlk151365298"/>
      <w:r w:rsidRPr="00F72333">
        <w:rPr>
          <w:rFonts w:ascii="Cambria" w:hAnsi="Cambria"/>
          <w:b/>
          <w:sz w:val="20"/>
          <w:szCs w:val="20"/>
        </w:rPr>
        <w:t>24-02</w:t>
      </w:r>
      <w:r w:rsidR="00F72333">
        <w:rPr>
          <w:rFonts w:ascii="Cambria" w:hAnsi="Cambria"/>
          <w:b/>
          <w:sz w:val="20"/>
          <w:szCs w:val="20"/>
        </w:rPr>
        <w:t xml:space="preserve"> </w:t>
      </w:r>
      <w:r w:rsidRPr="00F72333">
        <w:rPr>
          <w:rFonts w:ascii="Cambria" w:hAnsi="Cambria"/>
          <w:b/>
          <w:sz w:val="20"/>
          <w:szCs w:val="20"/>
        </w:rPr>
        <w:tab/>
      </w:r>
      <w:r w:rsidRPr="00F72333">
        <w:rPr>
          <w:rFonts w:ascii="Cambria" w:hAnsi="Cambria"/>
          <w:b/>
          <w:sz w:val="20"/>
          <w:szCs w:val="20"/>
        </w:rPr>
        <w:tab/>
        <w:t>TRO</w:t>
      </w:r>
    </w:p>
    <w:p w14:paraId="228050E2" w14:textId="77777777" w:rsidR="00593619" w:rsidRPr="00F72333" w:rsidRDefault="00593619" w:rsidP="0059361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rPr>
          <w:rFonts w:ascii="Cambria" w:hAnsi="Cambria"/>
          <w:b/>
          <w:sz w:val="20"/>
          <w:szCs w:val="20"/>
        </w:rPr>
      </w:pPr>
    </w:p>
    <w:p w14:paraId="6EC44151" w14:textId="043B6610" w:rsidR="00C61583" w:rsidRPr="00F72333" w:rsidRDefault="00593619" w:rsidP="0059361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F72333">
        <w:rPr>
          <w:rFonts w:ascii="Cambria" w:hAnsi="Cambria"/>
          <w:b/>
          <w:sz w:val="20"/>
          <w:szCs w:val="20"/>
        </w:rPr>
        <w:t xml:space="preserve">RESOLUCIÓN DE ICCAT SOBRE OBJETIVOS DE ORDENACIÓN OPERATIVOS PROVISIONALES </w:t>
      </w:r>
    </w:p>
    <w:p w14:paraId="00000003" w14:textId="33DEC514" w:rsidR="009F6F25" w:rsidRPr="00F72333" w:rsidRDefault="00593619" w:rsidP="00593619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left" w:pos="8505"/>
        </w:tabs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</w:rPr>
      </w:pPr>
      <w:r w:rsidRPr="00F72333">
        <w:rPr>
          <w:rFonts w:ascii="Cambria" w:hAnsi="Cambria"/>
          <w:b/>
          <w:sz w:val="20"/>
          <w:szCs w:val="20"/>
        </w:rPr>
        <w:t>PARA EL PATUDO, RABIL Y STOCK ORIENTAL DE LISTADO DEL ATLÁNTICO</w:t>
      </w:r>
    </w:p>
    <w:p w14:paraId="00000004" w14:textId="77777777" w:rsidR="009F6F25" w:rsidRPr="00F72333" w:rsidRDefault="009F6F25" w:rsidP="00593619">
      <w:pPr>
        <w:pStyle w:val="rec"/>
        <w:rPr>
          <w:rFonts w:eastAsia="Cambria" w:cs="Cambria"/>
          <w:szCs w:val="20"/>
        </w:rPr>
      </w:pPr>
    </w:p>
    <w:bookmarkEnd w:id="0"/>
    <w:p w14:paraId="00000006" w14:textId="77777777" w:rsidR="009F6F25" w:rsidRPr="00F72333" w:rsidRDefault="009F6F25" w:rsidP="00AE0C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00000008" w14:textId="7B8807A8" w:rsidR="009F6F25" w:rsidRPr="00F72333" w:rsidRDefault="00FE4D21" w:rsidP="00AE0C26">
      <w:pPr>
        <w:ind w:firstLine="426"/>
        <w:jc w:val="both"/>
        <w:rPr>
          <w:rFonts w:ascii="Cambria" w:eastAsia="Cambria" w:hAnsi="Cambria" w:cs="Cambria"/>
          <w:b/>
          <w:sz w:val="20"/>
          <w:szCs w:val="20"/>
        </w:rPr>
      </w:pPr>
      <w:r w:rsidRPr="00F72333">
        <w:rPr>
          <w:rFonts w:ascii="Cambria" w:hAnsi="Cambria"/>
          <w:i/>
          <w:iCs/>
          <w:sz w:val="20"/>
        </w:rPr>
        <w:t>ANTICIPANDO</w:t>
      </w:r>
      <w:r w:rsidRPr="00F72333">
        <w:rPr>
          <w:rFonts w:ascii="Cambria" w:hAnsi="Cambria"/>
          <w:sz w:val="20"/>
        </w:rPr>
        <w:t xml:space="preserve"> la transición hacia el uso de procedimientos de ordenación (MP) que la Comisión ha recomendado para los túnidos tropicales y otros stocks prioritarios con el fin de ordenar las pesquerías de una forma más eficaz frente a incertidumbres identificadas, de un modo coherente con el Convenio y con la </w:t>
      </w:r>
      <w:r w:rsidRPr="00F72333">
        <w:rPr>
          <w:rFonts w:ascii="Cambria" w:hAnsi="Cambria"/>
          <w:i/>
          <w:iCs/>
          <w:sz w:val="20"/>
        </w:rPr>
        <w:t>Recomendación de ICCAT sobre los principios para la toma de decisiones sobre medidas de conservación y ordenación de ICCAT</w:t>
      </w:r>
      <w:r w:rsidRPr="00F72333">
        <w:rPr>
          <w:rFonts w:ascii="Cambria" w:hAnsi="Cambria"/>
          <w:sz w:val="20"/>
        </w:rPr>
        <w:t xml:space="preserve"> (Rec. 11-13);</w:t>
      </w:r>
    </w:p>
    <w:p w14:paraId="00000009" w14:textId="77777777" w:rsidR="009F6F25" w:rsidRPr="00F72333" w:rsidRDefault="009F6F25" w:rsidP="00AE0C26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000000A" w14:textId="2DF00D56" w:rsidR="009F6F25" w:rsidRPr="00F72333" w:rsidRDefault="00FE4D21" w:rsidP="00AE0C26">
      <w:pPr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F72333">
        <w:rPr>
          <w:rFonts w:ascii="Cambria" w:hAnsi="Cambria"/>
          <w:i/>
          <w:iCs/>
          <w:sz w:val="20"/>
        </w:rPr>
        <w:t>CONSIDERANDO</w:t>
      </w:r>
      <w:r w:rsidRPr="00F72333">
        <w:rPr>
          <w:rFonts w:ascii="Cambria" w:hAnsi="Cambria"/>
          <w:sz w:val="20"/>
        </w:rPr>
        <w:t xml:space="preserve"> que la Comisión tiene la intención de completar una evaluación de estrategias de ordenación (MSE) multistock para el patudo, el rabil y el stock oriental de listado</w:t>
      </w:r>
      <w:r w:rsidR="00437230" w:rsidRPr="00F72333">
        <w:rPr>
          <w:rFonts w:ascii="Cambria" w:hAnsi="Cambria"/>
          <w:sz w:val="20"/>
        </w:rPr>
        <w:t xml:space="preserve"> del Atlántico</w:t>
      </w:r>
      <w:r w:rsidRPr="00F72333">
        <w:rPr>
          <w:rFonts w:ascii="Cambria" w:hAnsi="Cambria"/>
          <w:sz w:val="20"/>
        </w:rPr>
        <w:t xml:space="preserve"> antes de 2026 o lo antes posible después de esa fecha;</w:t>
      </w:r>
    </w:p>
    <w:p w14:paraId="0000000D" w14:textId="77777777" w:rsidR="009F6F25" w:rsidRPr="00F72333" w:rsidRDefault="009F6F25" w:rsidP="00AE0C26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0F" w14:textId="5354E501" w:rsidR="009F6F25" w:rsidRPr="00F72333" w:rsidRDefault="00FE4D21" w:rsidP="00AE0C26">
      <w:pPr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F72333">
        <w:rPr>
          <w:rFonts w:ascii="Cambria" w:hAnsi="Cambria"/>
          <w:i/>
          <w:iCs/>
          <w:sz w:val="20"/>
        </w:rPr>
        <w:t xml:space="preserve">RECONOCIENDO </w:t>
      </w:r>
      <w:r w:rsidRPr="00F72333">
        <w:rPr>
          <w:rFonts w:ascii="Cambria" w:hAnsi="Cambria"/>
          <w:sz w:val="20"/>
        </w:rPr>
        <w:t>que los objetivos operativos son el componente clave que sirve de base para cualquier MSE;</w:t>
      </w:r>
    </w:p>
    <w:p w14:paraId="3FC067A4" w14:textId="77777777" w:rsidR="00B31AF7" w:rsidRPr="00F72333" w:rsidRDefault="00B31AF7" w:rsidP="00AE0C26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10" w14:textId="309D8AF3" w:rsidR="009F6F25" w:rsidRPr="00F72333" w:rsidRDefault="00FE4D21" w:rsidP="00AE0C26">
      <w:pPr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F72333">
        <w:rPr>
          <w:rFonts w:ascii="Cambria" w:hAnsi="Cambria"/>
          <w:i/>
          <w:sz w:val="20"/>
        </w:rPr>
        <w:t>TRATANDO</w:t>
      </w:r>
      <w:r w:rsidRPr="00F72333">
        <w:rPr>
          <w:rFonts w:ascii="Cambria" w:hAnsi="Cambria"/>
          <w:sz w:val="20"/>
        </w:rPr>
        <w:t xml:space="preserve"> de avanzar en el desarrollo de los MP, tal y como acordó la Comisión de conformidad con </w:t>
      </w:r>
      <w:r w:rsidR="00567DDC" w:rsidRPr="00F72333">
        <w:rPr>
          <w:rFonts w:ascii="Cambria" w:hAnsi="Cambria"/>
          <w:sz w:val="20"/>
        </w:rPr>
        <w:t xml:space="preserve">la </w:t>
      </w:r>
      <w:r w:rsidRPr="00F72333">
        <w:rPr>
          <w:rFonts w:ascii="Cambria" w:hAnsi="Cambria"/>
          <w:i/>
          <w:sz w:val="20"/>
        </w:rPr>
        <w:t>Recomendación de ICCAT sobre el desarrollo de normas de control de la captura y de evaluación de estrategias de ordenación</w:t>
      </w:r>
      <w:r w:rsidRPr="00F72333">
        <w:rPr>
          <w:rFonts w:ascii="Cambria" w:hAnsi="Cambria"/>
          <w:sz w:val="20"/>
        </w:rPr>
        <w:t xml:space="preserve"> (Rec. 15-07); </w:t>
      </w:r>
    </w:p>
    <w:p w14:paraId="00000011" w14:textId="77777777" w:rsidR="009F6F25" w:rsidRPr="00F72333" w:rsidRDefault="009F6F25" w:rsidP="00AE0C26">
      <w:pPr>
        <w:ind w:firstLine="426"/>
        <w:jc w:val="both"/>
        <w:rPr>
          <w:rFonts w:ascii="Cambria" w:eastAsia="Cambria" w:hAnsi="Cambria" w:cs="Cambria"/>
          <w:sz w:val="20"/>
          <w:szCs w:val="20"/>
        </w:rPr>
      </w:pPr>
    </w:p>
    <w:p w14:paraId="00000012" w14:textId="6A2AA47E" w:rsidR="009F6F25" w:rsidRPr="00F72333" w:rsidRDefault="00FE4D21" w:rsidP="00AE0C26">
      <w:pPr>
        <w:ind w:firstLine="426"/>
        <w:jc w:val="both"/>
        <w:rPr>
          <w:rFonts w:ascii="Cambria" w:hAnsi="Cambria"/>
          <w:sz w:val="20"/>
          <w:szCs w:val="20"/>
        </w:rPr>
      </w:pPr>
      <w:r w:rsidRPr="00F72333">
        <w:rPr>
          <w:rFonts w:ascii="Cambria" w:hAnsi="Cambria"/>
          <w:i/>
          <w:iCs/>
          <w:sz w:val="20"/>
        </w:rPr>
        <w:t>RECONOCIENDO</w:t>
      </w:r>
      <w:r w:rsidRPr="00F72333">
        <w:rPr>
          <w:rFonts w:ascii="Cambria" w:hAnsi="Cambria"/>
          <w:sz w:val="20"/>
        </w:rPr>
        <w:t xml:space="preserve"> que, dada la naturaleza de stocks mixtos de estas pesquerías, la Comisión necesitará revisar los objetivos de ordenación iniciales y considerar la compensación de factores con respecto al rendimiento </w:t>
      </w:r>
      <w:r w:rsidR="00C61583" w:rsidRPr="00F72333">
        <w:rPr>
          <w:rFonts w:ascii="Cambria" w:hAnsi="Cambria"/>
          <w:sz w:val="20"/>
        </w:rPr>
        <w:t xml:space="preserve">y la estabilidad </w:t>
      </w:r>
      <w:r w:rsidRPr="00F72333">
        <w:rPr>
          <w:rFonts w:ascii="Cambria" w:hAnsi="Cambria"/>
          <w:sz w:val="20"/>
        </w:rPr>
        <w:t xml:space="preserve">de tres stocks de túnidos tropicales, teniendo en cuenta el asesoramiento del SCRS; </w:t>
      </w:r>
    </w:p>
    <w:p w14:paraId="00000017" w14:textId="77777777" w:rsidR="009F6F25" w:rsidRPr="00F72333" w:rsidRDefault="009F6F25" w:rsidP="00AE0C26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18" w14:textId="5080E382" w:rsidR="009F6F25" w:rsidRPr="00F72333" w:rsidRDefault="00FE4D21" w:rsidP="00AE0C26">
      <w:pPr>
        <w:ind w:firstLine="426"/>
        <w:jc w:val="both"/>
        <w:rPr>
          <w:rFonts w:ascii="Cambria" w:eastAsia="Cambria" w:hAnsi="Cambria" w:cs="Cambria"/>
          <w:b/>
          <w:sz w:val="20"/>
          <w:szCs w:val="20"/>
        </w:rPr>
      </w:pPr>
      <w:r w:rsidRPr="00F72333">
        <w:rPr>
          <w:rFonts w:ascii="Cambria" w:hAnsi="Cambria"/>
          <w:i/>
          <w:iCs/>
          <w:sz w:val="20"/>
        </w:rPr>
        <w:t>OBSERVANDO</w:t>
      </w:r>
      <w:r w:rsidRPr="00F72333">
        <w:rPr>
          <w:rFonts w:ascii="Cambria" w:hAnsi="Cambria"/>
          <w:sz w:val="20"/>
        </w:rPr>
        <w:t xml:space="preserve"> el valor añadido de adoptar objetivos de ordenación </w:t>
      </w:r>
      <w:r w:rsidR="009126DA" w:rsidRPr="00F72333">
        <w:rPr>
          <w:rFonts w:ascii="Cambria" w:hAnsi="Cambria"/>
          <w:sz w:val="20"/>
        </w:rPr>
        <w:t xml:space="preserve">operativos provisionales </w:t>
      </w:r>
      <w:r w:rsidRPr="00F72333">
        <w:rPr>
          <w:rFonts w:ascii="Cambria" w:hAnsi="Cambria"/>
          <w:sz w:val="20"/>
        </w:rPr>
        <w:t xml:space="preserve">para los túnidos tropicales </w:t>
      </w:r>
      <w:r w:rsidR="00C61583" w:rsidRPr="00F72333">
        <w:rPr>
          <w:rFonts w:ascii="Cambria" w:hAnsi="Cambria"/>
          <w:sz w:val="20"/>
        </w:rPr>
        <w:t xml:space="preserve">con el objetivo de desarrollar, probar y perfeccionar </w:t>
      </w:r>
      <w:r w:rsidR="001C299B" w:rsidRPr="00F72333">
        <w:rPr>
          <w:rFonts w:ascii="Cambria" w:hAnsi="Cambria"/>
          <w:sz w:val="20"/>
        </w:rPr>
        <w:t xml:space="preserve">los </w:t>
      </w:r>
      <w:r w:rsidR="007F361F" w:rsidRPr="00F72333">
        <w:rPr>
          <w:rFonts w:ascii="Cambria" w:hAnsi="Cambria"/>
          <w:sz w:val="20"/>
        </w:rPr>
        <w:t>MP</w:t>
      </w:r>
      <w:r w:rsidRPr="00F72333">
        <w:rPr>
          <w:rFonts w:ascii="Cambria" w:hAnsi="Cambria"/>
          <w:sz w:val="20"/>
        </w:rPr>
        <w:t xml:space="preserve"> </w:t>
      </w:r>
      <w:r w:rsidR="00C61583" w:rsidRPr="00F72333">
        <w:rPr>
          <w:rFonts w:ascii="Cambria" w:hAnsi="Cambria"/>
          <w:sz w:val="20"/>
        </w:rPr>
        <w:t xml:space="preserve">candidatos </w:t>
      </w:r>
      <w:r w:rsidRPr="00F72333">
        <w:rPr>
          <w:rFonts w:ascii="Cambria" w:hAnsi="Cambria"/>
          <w:sz w:val="20"/>
        </w:rPr>
        <w:t>para el patudo, el rabil y el stock oriental de listado</w:t>
      </w:r>
      <w:r w:rsidR="00846AC8" w:rsidRPr="00F72333">
        <w:rPr>
          <w:rFonts w:ascii="Cambria" w:hAnsi="Cambria"/>
          <w:sz w:val="20"/>
        </w:rPr>
        <w:t xml:space="preserve"> del Atlántico</w:t>
      </w:r>
      <w:r w:rsidRPr="00F72333">
        <w:rPr>
          <w:rFonts w:ascii="Cambria" w:hAnsi="Cambria"/>
          <w:sz w:val="20"/>
        </w:rPr>
        <w:t>;</w:t>
      </w:r>
    </w:p>
    <w:p w14:paraId="1B39C061" w14:textId="77777777" w:rsidR="00E21386" w:rsidRPr="00F72333" w:rsidRDefault="00E21386" w:rsidP="00AE0C26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000001A" w14:textId="77777777" w:rsidR="009F6F25" w:rsidRPr="00F72333" w:rsidRDefault="00FE4D21" w:rsidP="00AE0C26">
      <w:pPr>
        <w:jc w:val="center"/>
        <w:rPr>
          <w:rFonts w:ascii="Cambria" w:eastAsia="Cambria" w:hAnsi="Cambria" w:cs="Cambria"/>
          <w:sz w:val="20"/>
          <w:szCs w:val="20"/>
        </w:rPr>
      </w:pPr>
      <w:r w:rsidRPr="00F72333">
        <w:rPr>
          <w:rFonts w:ascii="Cambria" w:hAnsi="Cambria"/>
          <w:sz w:val="20"/>
        </w:rPr>
        <w:t>LA COMISIÓN INTERNACIONAL PARA LA CONSERVACIÓN</w:t>
      </w:r>
    </w:p>
    <w:p w14:paraId="0000001B" w14:textId="77777777" w:rsidR="009F6F25" w:rsidRPr="00F72333" w:rsidRDefault="00FE4D21" w:rsidP="00AE0C26">
      <w:pPr>
        <w:jc w:val="center"/>
        <w:rPr>
          <w:rFonts w:ascii="Cambria" w:eastAsia="Cambria" w:hAnsi="Cambria" w:cs="Cambria"/>
          <w:sz w:val="20"/>
          <w:szCs w:val="20"/>
        </w:rPr>
      </w:pPr>
      <w:r w:rsidRPr="00F72333">
        <w:rPr>
          <w:rFonts w:ascii="Cambria" w:hAnsi="Cambria"/>
          <w:sz w:val="20"/>
        </w:rPr>
        <w:t>DEL ATÚN ATLÁNTICO (ICCAT) RESUELVE LO SIGUIENTE:</w:t>
      </w:r>
    </w:p>
    <w:p w14:paraId="0000001C" w14:textId="77777777" w:rsidR="009F6F25" w:rsidRPr="00F72333" w:rsidRDefault="009F6F25" w:rsidP="00AE0C26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1D" w14:textId="38EF62CE" w:rsidR="009F6F25" w:rsidRPr="00F72333" w:rsidRDefault="00FE4D21" w:rsidP="00AE0C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t>Deberían establecerse objetivos de ordenación para el patudo, el rabil y el stock oriental de listado</w:t>
      </w:r>
      <w:r w:rsidR="00846AC8" w:rsidRPr="00F72333">
        <w:rPr>
          <w:rFonts w:ascii="Cambria" w:hAnsi="Cambria"/>
          <w:color w:val="000000"/>
          <w:sz w:val="20"/>
        </w:rPr>
        <w:t xml:space="preserve"> del Atlántico</w:t>
      </w:r>
      <w:r w:rsidRPr="00F72333">
        <w:rPr>
          <w:rFonts w:ascii="Cambria" w:hAnsi="Cambria"/>
          <w:color w:val="000000"/>
          <w:sz w:val="20"/>
        </w:rPr>
        <w:t xml:space="preserve"> que sean coherentes con el objetivo del Convenio de mantener las poblaciones en o por encima de los niveles que </w:t>
      </w:r>
      <w:r w:rsidR="00846AC8" w:rsidRPr="00F72333">
        <w:rPr>
          <w:rFonts w:ascii="Cambria" w:hAnsi="Cambria"/>
          <w:color w:val="000000"/>
          <w:sz w:val="20"/>
        </w:rPr>
        <w:t>permitan</w:t>
      </w:r>
      <w:r w:rsidRPr="00F72333">
        <w:rPr>
          <w:rFonts w:ascii="Cambria" w:hAnsi="Cambria"/>
          <w:color w:val="000000"/>
          <w:sz w:val="20"/>
        </w:rPr>
        <w:t xml:space="preserve"> la captura máxima sostenible (normalmente denominada RMS). </w:t>
      </w:r>
    </w:p>
    <w:p w14:paraId="3C7F5D62" w14:textId="77777777" w:rsidR="00380D63" w:rsidRPr="00F72333" w:rsidRDefault="00380D63" w:rsidP="00AE0C26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61F7A2C7" w14:textId="750582B9" w:rsidR="00380D63" w:rsidRPr="00F72333" w:rsidRDefault="00380D63" w:rsidP="00AE0C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t xml:space="preserve">Al evaluar el estado del stock y proporcionar recomendaciones de ordenación a la Comisión, el SCRS considerará el punto de referencia límite (LRP) </w:t>
      </w:r>
      <w:r w:rsidR="00F6518B" w:rsidRPr="00F72333">
        <w:rPr>
          <w:rFonts w:ascii="Cambria" w:hAnsi="Cambria"/>
          <w:color w:val="000000"/>
          <w:sz w:val="20"/>
        </w:rPr>
        <w:t xml:space="preserve">provisional </w:t>
      </w:r>
      <w:r w:rsidRPr="00F72333">
        <w:rPr>
          <w:rFonts w:ascii="Cambria" w:hAnsi="Cambria"/>
          <w:color w:val="000000"/>
          <w:sz w:val="20"/>
        </w:rPr>
        <w:t>de 0,4*B</w:t>
      </w:r>
      <w:r w:rsidRPr="00F72333">
        <w:rPr>
          <w:rFonts w:ascii="Cambria" w:hAnsi="Cambria"/>
          <w:color w:val="000000"/>
          <w:sz w:val="20"/>
          <w:vertAlign w:val="subscript"/>
        </w:rPr>
        <w:t>RMS</w:t>
      </w:r>
      <w:r w:rsidR="00810488" w:rsidRPr="00F72333">
        <w:rPr>
          <w:rFonts w:ascii="Cambria" w:hAnsi="Cambria"/>
          <w:color w:val="000000"/>
          <w:sz w:val="20"/>
        </w:rPr>
        <w:t xml:space="preserve"> para el patudo, el rabil y el stock oriental de listado</w:t>
      </w:r>
      <w:r w:rsidR="00607643" w:rsidRPr="00F72333">
        <w:rPr>
          <w:rFonts w:ascii="Cambria" w:hAnsi="Cambria"/>
          <w:color w:val="000000"/>
          <w:sz w:val="20"/>
        </w:rPr>
        <w:t xml:space="preserve"> del Atlántico</w:t>
      </w:r>
      <w:r w:rsidR="00810488" w:rsidRPr="00F72333">
        <w:rPr>
          <w:rFonts w:ascii="Cambria" w:hAnsi="Cambria"/>
          <w:color w:val="000000"/>
          <w:sz w:val="20"/>
        </w:rPr>
        <w:t xml:space="preserve">. El SCRS asesorará sobre </w:t>
      </w:r>
      <w:r w:rsidR="008153D6" w:rsidRPr="00F72333">
        <w:rPr>
          <w:rFonts w:ascii="Cambria" w:hAnsi="Cambria"/>
          <w:color w:val="000000"/>
          <w:sz w:val="20"/>
        </w:rPr>
        <w:t xml:space="preserve">los </w:t>
      </w:r>
      <w:r w:rsidR="00810488" w:rsidRPr="00F72333">
        <w:rPr>
          <w:rFonts w:ascii="Cambria" w:hAnsi="Cambria"/>
          <w:color w:val="000000"/>
          <w:sz w:val="20"/>
        </w:rPr>
        <w:t>LRP final</w:t>
      </w:r>
      <w:r w:rsidR="008153D6" w:rsidRPr="00F72333">
        <w:rPr>
          <w:rFonts w:ascii="Cambria" w:hAnsi="Cambria"/>
          <w:color w:val="000000"/>
          <w:sz w:val="20"/>
        </w:rPr>
        <w:t>es</w:t>
      </w:r>
      <w:r w:rsidR="00810488" w:rsidRPr="00F72333">
        <w:rPr>
          <w:rFonts w:ascii="Cambria" w:hAnsi="Cambria"/>
          <w:color w:val="000000"/>
          <w:sz w:val="20"/>
        </w:rPr>
        <w:t xml:space="preserve"> para el patudo, el rabil y el stock oriental de listado</w:t>
      </w:r>
      <w:r w:rsidR="00607643" w:rsidRPr="00F72333">
        <w:rPr>
          <w:rFonts w:ascii="Cambria" w:hAnsi="Cambria"/>
          <w:color w:val="000000"/>
          <w:sz w:val="20"/>
        </w:rPr>
        <w:t xml:space="preserve"> del Atlántico</w:t>
      </w:r>
      <w:r w:rsidR="00810488" w:rsidRPr="00F72333">
        <w:rPr>
          <w:rFonts w:ascii="Cambria" w:hAnsi="Cambria"/>
          <w:color w:val="000000"/>
          <w:sz w:val="20"/>
        </w:rPr>
        <w:t>.</w:t>
      </w:r>
    </w:p>
    <w:p w14:paraId="0000001E" w14:textId="77777777" w:rsidR="009F6F25" w:rsidRPr="00F72333" w:rsidRDefault="009F6F25" w:rsidP="00AE0C26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1F" w14:textId="5AAB1B25" w:rsidR="009F6F25" w:rsidRPr="00F72333" w:rsidRDefault="00E94982" w:rsidP="00E33AE3">
      <w:pPr>
        <w:pStyle w:val="ListParagraph"/>
        <w:numPr>
          <w:ilvl w:val="0"/>
          <w:numId w:val="1"/>
        </w:numPr>
        <w:ind w:left="426" w:hanging="426"/>
        <w:rPr>
          <w:rFonts w:ascii="Cambria" w:hAnsi="Cambria"/>
          <w:color w:val="000000"/>
          <w:sz w:val="20"/>
        </w:rPr>
      </w:pPr>
      <w:r w:rsidRPr="00F72333">
        <w:rPr>
          <w:rFonts w:ascii="Cambria" w:hAnsi="Cambria"/>
          <w:color w:val="000000"/>
          <w:sz w:val="20"/>
        </w:rPr>
        <w:t>Debe</w:t>
      </w:r>
      <w:r w:rsidR="007B71A2" w:rsidRPr="00F72333">
        <w:rPr>
          <w:rFonts w:ascii="Cambria" w:hAnsi="Cambria"/>
          <w:color w:val="000000"/>
          <w:sz w:val="20"/>
        </w:rPr>
        <w:t xml:space="preserve">rían considerarse </w:t>
      </w:r>
      <w:r w:rsidRPr="00F72333">
        <w:rPr>
          <w:rFonts w:ascii="Cambria" w:hAnsi="Cambria"/>
          <w:color w:val="000000"/>
          <w:sz w:val="20"/>
        </w:rPr>
        <w:t xml:space="preserve">los siguientes objetivos </w:t>
      </w:r>
      <w:r w:rsidR="00BE5E00" w:rsidRPr="00F72333">
        <w:rPr>
          <w:rFonts w:ascii="Cambria" w:hAnsi="Cambria"/>
          <w:color w:val="000000"/>
          <w:sz w:val="20"/>
        </w:rPr>
        <w:t xml:space="preserve">de ordenación </w:t>
      </w:r>
      <w:r w:rsidR="00D76B40" w:rsidRPr="00F72333">
        <w:rPr>
          <w:rFonts w:ascii="Cambria" w:hAnsi="Cambria"/>
          <w:color w:val="000000"/>
          <w:sz w:val="20"/>
        </w:rPr>
        <w:t xml:space="preserve">operativos </w:t>
      </w:r>
      <w:r w:rsidRPr="00F72333">
        <w:rPr>
          <w:rFonts w:ascii="Cambria" w:hAnsi="Cambria"/>
          <w:color w:val="000000"/>
          <w:sz w:val="20"/>
        </w:rPr>
        <w:t>provisionales</w:t>
      </w:r>
      <w:r w:rsidR="00810488" w:rsidRPr="00F72333">
        <w:rPr>
          <w:rFonts w:ascii="Cambria" w:hAnsi="Cambria"/>
          <w:color w:val="000000"/>
          <w:sz w:val="20"/>
        </w:rPr>
        <w:t xml:space="preserve"> con el fin de desarrollar, probar y perfeccionar los procedimientos de ordenación candidatos</w:t>
      </w:r>
      <w:r w:rsidRPr="00F72333">
        <w:rPr>
          <w:rFonts w:ascii="Cambria" w:hAnsi="Cambria"/>
          <w:color w:val="000000"/>
          <w:sz w:val="20"/>
        </w:rPr>
        <w:t xml:space="preserve">: </w:t>
      </w:r>
    </w:p>
    <w:p w14:paraId="00000020" w14:textId="77777777" w:rsidR="009F6F25" w:rsidRPr="00F72333" w:rsidRDefault="009F6F25" w:rsidP="00AE0C2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559A172" w14:textId="3DD2EEE6" w:rsidR="00FC62BD" w:rsidRPr="00F72333" w:rsidRDefault="00FE4D21" w:rsidP="00AE0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t xml:space="preserve">Estado del stock: </w:t>
      </w:r>
      <w:r w:rsidRPr="00F72333">
        <w:rPr>
          <w:rFonts w:ascii="Cambria" w:hAnsi="Cambria"/>
          <w:sz w:val="20"/>
        </w:rPr>
        <w:t>El patudo, el rabil y el stock oriental de listado deberían tener cada uno una probabilidad del 50 % o superior de situarse en el cuadrante verde del diagrama de fase de Kobe (no objeto de sobrepesca</w:t>
      </w:r>
      <w:r w:rsidR="00C11C94" w:rsidRPr="00F72333">
        <w:rPr>
          <w:rFonts w:ascii="Cambria" w:hAnsi="Cambria"/>
          <w:sz w:val="20"/>
        </w:rPr>
        <w:t xml:space="preserve"> ni sobrepescado</w:t>
      </w:r>
      <w:r w:rsidRPr="00F72333">
        <w:rPr>
          <w:rFonts w:ascii="Cambria" w:hAnsi="Cambria"/>
          <w:sz w:val="20"/>
        </w:rPr>
        <w:t>)</w:t>
      </w:r>
      <w:r w:rsidR="003F7D2D" w:rsidRPr="00F72333">
        <w:rPr>
          <w:rFonts w:ascii="Cambria" w:hAnsi="Cambria"/>
          <w:sz w:val="20"/>
        </w:rPr>
        <w:t xml:space="preserve"> </w:t>
      </w:r>
      <w:r w:rsidRPr="00F72333">
        <w:rPr>
          <w:rFonts w:ascii="Cambria" w:hAnsi="Cambria"/>
          <w:sz w:val="20"/>
        </w:rPr>
        <w:t xml:space="preserve">durante el periodo de proyección de </w:t>
      </w:r>
      <w:r w:rsidR="00810488" w:rsidRPr="00F72333">
        <w:rPr>
          <w:rFonts w:ascii="Cambria" w:hAnsi="Cambria"/>
          <w:sz w:val="20"/>
        </w:rPr>
        <w:t xml:space="preserve">XX </w:t>
      </w:r>
      <w:r w:rsidRPr="00F72333">
        <w:rPr>
          <w:rFonts w:ascii="Cambria" w:hAnsi="Cambria"/>
          <w:sz w:val="20"/>
        </w:rPr>
        <w:t xml:space="preserve">años (determinado por el SCRS); </w:t>
      </w:r>
    </w:p>
    <w:p w14:paraId="25E33D52" w14:textId="77777777" w:rsidR="00FC62BD" w:rsidRPr="00F72333" w:rsidRDefault="00FC62BD" w:rsidP="00AE0C26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4533DBE9" w14:textId="1328A788" w:rsidR="00E012CA" w:rsidRPr="00F72333" w:rsidRDefault="00FE4D21" w:rsidP="00AE0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t xml:space="preserve">Seguridad: </w:t>
      </w:r>
      <w:r w:rsidRPr="00F72333">
        <w:rPr>
          <w:rFonts w:ascii="Cambria" w:hAnsi="Cambria"/>
          <w:sz w:val="20"/>
        </w:rPr>
        <w:t xml:space="preserve">El patudo, el rabil y el stock oriental de listado deberían tener cada uno una probabilidad del 15 % o inferior de caer por debajo del punto de referencia límite en cualquier momento durante el periodo de proyección de </w:t>
      </w:r>
      <w:r w:rsidR="00810488" w:rsidRPr="00F72333">
        <w:rPr>
          <w:rFonts w:ascii="Cambria" w:hAnsi="Cambria"/>
          <w:sz w:val="20"/>
        </w:rPr>
        <w:t xml:space="preserve">XX </w:t>
      </w:r>
      <w:r w:rsidRPr="00F72333">
        <w:rPr>
          <w:rFonts w:ascii="Cambria" w:hAnsi="Cambria"/>
          <w:sz w:val="20"/>
        </w:rPr>
        <w:t xml:space="preserve">años; </w:t>
      </w:r>
    </w:p>
    <w:p w14:paraId="00000024" w14:textId="77777777" w:rsidR="009F6F25" w:rsidRPr="00F72333" w:rsidRDefault="009F6F25" w:rsidP="00AE0C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25" w14:textId="23DF6690" w:rsidR="009F6F25" w:rsidRPr="00F72333" w:rsidRDefault="00FE4D21" w:rsidP="00AE0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lastRenderedPageBreak/>
        <w:t xml:space="preserve">Rendimiento: </w:t>
      </w:r>
      <w:r w:rsidRPr="00F72333">
        <w:rPr>
          <w:rFonts w:ascii="Cambria" w:hAnsi="Cambria"/>
          <w:sz w:val="20"/>
        </w:rPr>
        <w:t>Los niveles de captura totales deberían maximizarse en la medida de lo posible con respecto a cada stock de patudo, rabil y listado</w:t>
      </w:r>
      <w:r w:rsidR="00B96FA6" w:rsidRPr="00F72333">
        <w:rPr>
          <w:rFonts w:ascii="Cambria" w:hAnsi="Cambria"/>
          <w:sz w:val="20"/>
        </w:rPr>
        <w:t xml:space="preserve"> </w:t>
      </w:r>
      <w:r w:rsidR="00907790" w:rsidRPr="00F72333">
        <w:rPr>
          <w:rFonts w:ascii="Cambria" w:hAnsi="Cambria"/>
          <w:sz w:val="20"/>
        </w:rPr>
        <w:t>oriental</w:t>
      </w:r>
      <w:r w:rsidR="00B96FA6" w:rsidRPr="00F72333">
        <w:rPr>
          <w:rStyle w:val="FootnoteReference"/>
          <w:rFonts w:ascii="Cambria" w:hAnsi="Cambria"/>
          <w:sz w:val="20"/>
        </w:rPr>
        <w:footnoteReference w:id="2"/>
      </w:r>
      <w:r w:rsidRPr="00F72333">
        <w:rPr>
          <w:rFonts w:ascii="Cambria" w:hAnsi="Cambria"/>
          <w:sz w:val="20"/>
        </w:rPr>
        <w:t xml:space="preserve">; </w:t>
      </w:r>
    </w:p>
    <w:p w14:paraId="00000026" w14:textId="77777777" w:rsidR="009F6F25" w:rsidRPr="00F72333" w:rsidRDefault="009F6F25" w:rsidP="00AE0C26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C15F77F" w14:textId="73458F06" w:rsidR="00E94982" w:rsidRPr="00F72333" w:rsidRDefault="00FE4D21" w:rsidP="00AE0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Cambria" w:eastAsia="Cambria" w:hAnsi="Cambria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t xml:space="preserve">Estabilidad: </w:t>
      </w:r>
      <w:r w:rsidRPr="00F72333">
        <w:rPr>
          <w:rFonts w:ascii="Cambria" w:hAnsi="Cambria"/>
          <w:sz w:val="20"/>
        </w:rPr>
        <w:t>Cualquier cambio en el total admisible de capturas (TAC) entre periodos de ordenación consecutivos para cada stock de patudo, rabil y listado oriental no debe</w:t>
      </w:r>
      <w:r w:rsidR="001108EF" w:rsidRPr="00F72333">
        <w:rPr>
          <w:rFonts w:ascii="Cambria" w:hAnsi="Cambria"/>
          <w:sz w:val="20"/>
        </w:rPr>
        <w:t>ría</w:t>
      </w:r>
      <w:r w:rsidRPr="00F72333">
        <w:rPr>
          <w:rFonts w:ascii="Cambria" w:hAnsi="Cambria"/>
          <w:sz w:val="20"/>
        </w:rPr>
        <w:t xml:space="preserve"> superar un aumento del 25 % o una disminución del </w:t>
      </w:r>
      <w:r w:rsidR="00B96FA6" w:rsidRPr="00F72333">
        <w:rPr>
          <w:rFonts w:ascii="Cambria" w:hAnsi="Cambria"/>
          <w:sz w:val="20"/>
        </w:rPr>
        <w:t>25</w:t>
      </w:r>
      <w:r w:rsidRPr="00F72333">
        <w:rPr>
          <w:rFonts w:ascii="Cambria" w:hAnsi="Cambria"/>
          <w:sz w:val="20"/>
        </w:rPr>
        <w:t xml:space="preserve"> %. </w:t>
      </w:r>
    </w:p>
    <w:p w14:paraId="0000002A" w14:textId="77777777" w:rsidR="009F6F25" w:rsidRPr="00F72333" w:rsidRDefault="009F6F25" w:rsidP="00AE0C26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2B" w14:textId="733025E0" w:rsidR="009F6F25" w:rsidRPr="00F72333" w:rsidRDefault="00FE4D21" w:rsidP="00AE0C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sz w:val="20"/>
        </w:rPr>
        <w:t xml:space="preserve">En el desarrollo de los modelos operativos para la MSE multistock de túnidos tropicales, la Comisión </w:t>
      </w:r>
      <w:r w:rsidR="004D7350" w:rsidRPr="00F72333">
        <w:rPr>
          <w:rFonts w:ascii="Cambria" w:hAnsi="Cambria"/>
          <w:sz w:val="20"/>
        </w:rPr>
        <w:t xml:space="preserve">solicita </w:t>
      </w:r>
      <w:r w:rsidRPr="00F72333">
        <w:rPr>
          <w:rFonts w:ascii="Cambria" w:hAnsi="Cambria"/>
          <w:sz w:val="20"/>
        </w:rPr>
        <w:t>al SCRS, en coherencia con e</w:t>
      </w:r>
      <w:r w:rsidRPr="00DF6530">
        <w:rPr>
          <w:rFonts w:ascii="Cambria" w:hAnsi="Cambria"/>
          <w:sz w:val="20"/>
        </w:rPr>
        <w:t xml:space="preserve">l párrafo </w:t>
      </w:r>
      <w:r w:rsidR="00FF53F4" w:rsidRPr="00DF6530">
        <w:rPr>
          <w:rFonts w:ascii="Cambria" w:hAnsi="Cambria"/>
          <w:sz w:val="20"/>
        </w:rPr>
        <w:t>75</w:t>
      </w:r>
      <w:r w:rsidRPr="00DF6530">
        <w:rPr>
          <w:rFonts w:ascii="Cambria" w:hAnsi="Cambria"/>
          <w:sz w:val="20"/>
        </w:rPr>
        <w:t xml:space="preserve"> de la </w:t>
      </w:r>
      <w:r w:rsidR="00220943" w:rsidRPr="00DF6530">
        <w:rPr>
          <w:rFonts w:ascii="Cambria" w:hAnsi="Cambria"/>
          <w:i/>
          <w:iCs/>
          <w:sz w:val="20"/>
        </w:rPr>
        <w:t>R</w:t>
      </w:r>
      <w:r w:rsidR="00220943" w:rsidRPr="00F72333">
        <w:rPr>
          <w:rFonts w:ascii="Cambria" w:hAnsi="Cambria"/>
          <w:i/>
          <w:iCs/>
          <w:sz w:val="20"/>
        </w:rPr>
        <w:t>ecomendación de ICCAT que reemplaza la Recomendación 22-01 sobre un Programa plurianual de conservación y ordenación para los túnidos tropicales</w:t>
      </w:r>
      <w:r w:rsidRPr="00F72333">
        <w:rPr>
          <w:rFonts w:ascii="Cambria" w:hAnsi="Cambria"/>
          <w:sz w:val="20"/>
        </w:rPr>
        <w:t xml:space="preserve"> (Rec. 2</w:t>
      </w:r>
      <w:r w:rsidR="00220943" w:rsidRPr="00F72333">
        <w:rPr>
          <w:rFonts w:ascii="Cambria" w:hAnsi="Cambria"/>
          <w:sz w:val="20"/>
        </w:rPr>
        <w:t>4</w:t>
      </w:r>
      <w:r w:rsidRPr="00F72333">
        <w:rPr>
          <w:rFonts w:ascii="Cambria" w:hAnsi="Cambria"/>
          <w:sz w:val="20"/>
        </w:rPr>
        <w:t xml:space="preserve">-01), que evalúe los impactos diferenciales de las operaciones de pesca </w:t>
      </w:r>
      <w:r w:rsidR="00B96FA6" w:rsidRPr="00F72333">
        <w:rPr>
          <w:rFonts w:ascii="Cambria" w:hAnsi="Cambria"/>
          <w:sz w:val="20"/>
        </w:rPr>
        <w:t xml:space="preserve">(por ejemplo, cerco, palangre y cebo vivo) </w:t>
      </w:r>
      <w:r w:rsidR="008D444F" w:rsidRPr="00F72333">
        <w:rPr>
          <w:rFonts w:ascii="Cambria" w:hAnsi="Cambria"/>
          <w:sz w:val="20"/>
        </w:rPr>
        <w:t>en</w:t>
      </w:r>
      <w:r w:rsidR="008153D6" w:rsidRPr="00F72333">
        <w:rPr>
          <w:rFonts w:ascii="Cambria" w:hAnsi="Cambria"/>
          <w:sz w:val="20"/>
        </w:rPr>
        <w:t xml:space="preserve"> tod</w:t>
      </w:r>
      <w:r w:rsidR="00AE0C26" w:rsidRPr="00F72333">
        <w:rPr>
          <w:rFonts w:ascii="Cambria" w:hAnsi="Cambria"/>
          <w:sz w:val="20"/>
        </w:rPr>
        <w:t>o el rango</w:t>
      </w:r>
      <w:r w:rsidR="008153D6" w:rsidRPr="00F72333">
        <w:rPr>
          <w:rFonts w:ascii="Cambria" w:hAnsi="Cambria"/>
          <w:sz w:val="20"/>
        </w:rPr>
        <w:t xml:space="preserve"> de</w:t>
      </w:r>
      <w:r w:rsidR="00AE0C26" w:rsidRPr="00F72333">
        <w:rPr>
          <w:rFonts w:ascii="Cambria" w:hAnsi="Cambria"/>
          <w:sz w:val="20"/>
        </w:rPr>
        <w:t>l</w:t>
      </w:r>
      <w:r w:rsidR="008153D6" w:rsidRPr="00F72333">
        <w:rPr>
          <w:rFonts w:ascii="Cambria" w:hAnsi="Cambria"/>
          <w:sz w:val="20"/>
        </w:rPr>
        <w:t xml:space="preserve"> stock, lo que incluye </w:t>
      </w:r>
      <w:r w:rsidR="00AE0C26" w:rsidRPr="00F72333">
        <w:rPr>
          <w:rFonts w:ascii="Cambria" w:hAnsi="Cambria"/>
          <w:sz w:val="20"/>
        </w:rPr>
        <w:t>en</w:t>
      </w:r>
      <w:r w:rsidR="00B96FA6" w:rsidRPr="00F72333">
        <w:rPr>
          <w:rFonts w:ascii="Cambria" w:hAnsi="Cambria"/>
          <w:sz w:val="20"/>
        </w:rPr>
        <w:t xml:space="preserve"> la mortalidad de juveniles y el rendimiento en RMS</w:t>
      </w:r>
      <w:r w:rsidR="008153D6" w:rsidRPr="00F72333">
        <w:rPr>
          <w:rFonts w:ascii="Cambria" w:hAnsi="Cambria"/>
          <w:sz w:val="20"/>
        </w:rPr>
        <w:t xml:space="preserve">, así como otros impactos de estas pesquerías, incluidos los impactos </w:t>
      </w:r>
      <w:r w:rsidR="00AE0C26" w:rsidRPr="00F72333">
        <w:rPr>
          <w:rFonts w:ascii="Cambria" w:hAnsi="Cambria"/>
          <w:sz w:val="20"/>
        </w:rPr>
        <w:t>en</w:t>
      </w:r>
      <w:r w:rsidR="008153D6" w:rsidRPr="00F72333">
        <w:rPr>
          <w:rFonts w:ascii="Cambria" w:hAnsi="Cambria"/>
          <w:sz w:val="20"/>
        </w:rPr>
        <w:t xml:space="preserve"> la captura fortuita, los impactos en el ecosistema y los impactos socioeconómicos.</w:t>
      </w:r>
    </w:p>
    <w:p w14:paraId="0000002C" w14:textId="77777777" w:rsidR="009F6F25" w:rsidRPr="00F72333" w:rsidRDefault="009F6F25" w:rsidP="00AE0C2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2D" w14:textId="1DF70D83" w:rsidR="009F6F25" w:rsidRPr="00F72333" w:rsidRDefault="00FF323D" w:rsidP="00AE0C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t xml:space="preserve">Estos </w:t>
      </w:r>
      <w:r w:rsidR="001526F7" w:rsidRPr="00F72333">
        <w:rPr>
          <w:rFonts w:ascii="Cambria" w:hAnsi="Cambria"/>
          <w:color w:val="000000"/>
          <w:sz w:val="20"/>
        </w:rPr>
        <w:t xml:space="preserve">objetivos </w:t>
      </w:r>
      <w:r w:rsidRPr="00F72333">
        <w:rPr>
          <w:rFonts w:ascii="Cambria" w:hAnsi="Cambria"/>
          <w:color w:val="000000"/>
          <w:sz w:val="20"/>
        </w:rPr>
        <w:t xml:space="preserve">de ordenación </w:t>
      </w:r>
      <w:r w:rsidR="001526F7" w:rsidRPr="00F72333">
        <w:rPr>
          <w:rFonts w:ascii="Cambria" w:hAnsi="Cambria"/>
          <w:color w:val="000000"/>
          <w:sz w:val="20"/>
        </w:rPr>
        <w:t xml:space="preserve">operativos provisionales se remitirán al SCRS para su </w:t>
      </w:r>
      <w:r w:rsidR="003C5D5E" w:rsidRPr="00F72333">
        <w:rPr>
          <w:rFonts w:ascii="Cambria" w:hAnsi="Cambria"/>
          <w:color w:val="000000"/>
          <w:sz w:val="20"/>
        </w:rPr>
        <w:t>examen</w:t>
      </w:r>
      <w:r w:rsidR="001526F7" w:rsidRPr="00F72333">
        <w:rPr>
          <w:rFonts w:ascii="Cambria" w:hAnsi="Cambria"/>
          <w:color w:val="000000"/>
          <w:sz w:val="20"/>
        </w:rPr>
        <w:t xml:space="preserve"> y evaluación a través del proceso de MSE. </w:t>
      </w:r>
    </w:p>
    <w:p w14:paraId="0000002E" w14:textId="77777777" w:rsidR="009F6F25" w:rsidRPr="00F72333" w:rsidRDefault="009F6F25" w:rsidP="00AE0C26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000002F" w14:textId="2C4032A2" w:rsidR="009F6F25" w:rsidRPr="00F72333" w:rsidRDefault="00FE4D21" w:rsidP="00AE0C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t xml:space="preserve">La Subcomisión 1 presentará a la Comisión sus recomendaciones para confirmar o modificar los objetivos de ordenación del patudo, el rabil y el stock oriental de listado del Atlántico, teniendo en cuenta las aportaciones del SCRS, como parte de la selección de un procedimiento de ordenación, en su reunión anual de 2026 o lo antes posible a partir de entonces. </w:t>
      </w:r>
      <w:r w:rsidR="00B96FA6" w:rsidRPr="00F72333">
        <w:rPr>
          <w:rFonts w:ascii="Cambria" w:hAnsi="Cambria"/>
          <w:color w:val="000000"/>
          <w:sz w:val="20"/>
        </w:rPr>
        <w:t xml:space="preserve">La Subcomisión 1 debería considerar si los objetivos de ordenación deberían ser los mismos para </w:t>
      </w:r>
      <w:r w:rsidR="00DF6D0E" w:rsidRPr="00F72333">
        <w:rPr>
          <w:rFonts w:ascii="Cambria" w:hAnsi="Cambria"/>
          <w:color w:val="000000"/>
          <w:sz w:val="20"/>
        </w:rPr>
        <w:t xml:space="preserve">los </w:t>
      </w:r>
      <w:r w:rsidR="00B96FA6" w:rsidRPr="00F72333">
        <w:rPr>
          <w:rFonts w:ascii="Cambria" w:hAnsi="Cambria"/>
          <w:color w:val="000000"/>
          <w:sz w:val="20"/>
        </w:rPr>
        <w:t xml:space="preserve">tres </w:t>
      </w:r>
      <w:r w:rsidR="00DF6D0E" w:rsidRPr="00F72333">
        <w:rPr>
          <w:rFonts w:ascii="Cambria" w:hAnsi="Cambria"/>
          <w:color w:val="000000"/>
          <w:sz w:val="20"/>
        </w:rPr>
        <w:t xml:space="preserve">stocks </w:t>
      </w:r>
      <w:r w:rsidR="00B96FA6" w:rsidRPr="00F72333">
        <w:rPr>
          <w:rFonts w:ascii="Cambria" w:hAnsi="Cambria"/>
          <w:color w:val="000000"/>
          <w:sz w:val="20"/>
        </w:rPr>
        <w:t xml:space="preserve">o si sería más apropiado un enfoque asimétrico para cada </w:t>
      </w:r>
      <w:r w:rsidR="00DF6D0E" w:rsidRPr="00F72333">
        <w:rPr>
          <w:rFonts w:ascii="Cambria" w:hAnsi="Cambria"/>
          <w:color w:val="000000"/>
          <w:sz w:val="20"/>
        </w:rPr>
        <w:t>stock</w:t>
      </w:r>
      <w:r w:rsidR="00B96FA6" w:rsidRPr="00F72333">
        <w:rPr>
          <w:rFonts w:ascii="Cambria" w:hAnsi="Cambria"/>
          <w:color w:val="000000"/>
          <w:sz w:val="20"/>
        </w:rPr>
        <w:t>.</w:t>
      </w:r>
    </w:p>
    <w:p w14:paraId="00000030" w14:textId="77777777" w:rsidR="009F6F25" w:rsidRPr="00F72333" w:rsidRDefault="009F6F25" w:rsidP="00AE0C2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31" w14:textId="1014EED7" w:rsidR="009F6F25" w:rsidRPr="00F72333" w:rsidRDefault="00FE4D21" w:rsidP="00AE0C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F72333">
        <w:rPr>
          <w:rFonts w:ascii="Cambria" w:hAnsi="Cambria"/>
          <w:color w:val="000000"/>
          <w:sz w:val="20"/>
        </w:rPr>
        <w:t>Esta Resolución quedará derogada cuando la Comisión adopte los objetivos de ordenación para el patudo, el rabil y el stock oriental de listado del Atlántico.</w:t>
      </w:r>
    </w:p>
    <w:p w14:paraId="00000032" w14:textId="77777777" w:rsidR="009F6F25" w:rsidRPr="00F72333" w:rsidRDefault="009F6F25" w:rsidP="00AE0C2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33" w14:textId="77777777" w:rsidR="009F6F25" w:rsidRPr="00F72333" w:rsidRDefault="009F6F25" w:rsidP="00AE0C26">
      <w:pPr>
        <w:jc w:val="both"/>
        <w:rPr>
          <w:rFonts w:ascii="Cambria" w:eastAsia="Cambria" w:hAnsi="Cambria" w:cs="Cambria"/>
          <w:sz w:val="20"/>
          <w:szCs w:val="20"/>
        </w:rPr>
      </w:pPr>
    </w:p>
    <w:sectPr w:rsidR="009F6F25" w:rsidRPr="00F72333">
      <w:footerReference w:type="default" r:id="rId8"/>
      <w:pgSz w:w="11907" w:h="16840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7CA0C" w14:textId="77777777" w:rsidR="0000440C" w:rsidRDefault="0000440C">
      <w:r>
        <w:separator/>
      </w:r>
    </w:p>
  </w:endnote>
  <w:endnote w:type="continuationSeparator" w:id="0">
    <w:p w14:paraId="51A1F480" w14:textId="77777777" w:rsidR="0000440C" w:rsidRDefault="0000440C">
      <w:r>
        <w:continuationSeparator/>
      </w:r>
    </w:p>
  </w:endnote>
  <w:endnote w:type="continuationNotice" w:id="1">
    <w:p w14:paraId="6BD4BBCD" w14:textId="77777777" w:rsidR="0000440C" w:rsidRDefault="00004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F" w14:textId="6B0C715D" w:rsidR="009F6F25" w:rsidRDefault="00FE4D21" w:rsidP="00FC62BD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</w:rPr>
      <w:fldChar w:fldCharType="begin"/>
    </w:r>
    <w:r>
      <w:rPr>
        <w:rFonts w:ascii="Cambria" w:eastAsia="Cambria" w:hAnsi="Cambria" w:cs="Cambria"/>
        <w:sz w:val="20"/>
      </w:rPr>
      <w:instrText>PAGE</w:instrText>
    </w:r>
    <w:r>
      <w:rPr>
        <w:rFonts w:ascii="Cambria" w:eastAsia="Cambria" w:hAnsi="Cambria" w:cs="Cambria"/>
        <w:sz w:val="20"/>
      </w:rPr>
      <w:fldChar w:fldCharType="separate"/>
    </w:r>
    <w:r w:rsidR="00E568B8">
      <w:rPr>
        <w:rFonts w:ascii="Cambria" w:eastAsia="Cambria" w:hAnsi="Cambria" w:cs="Cambria"/>
        <w:sz w:val="20"/>
      </w:rPr>
      <w:t>1</w:t>
    </w:r>
    <w:r>
      <w:rPr>
        <w:rFonts w:ascii="Cambria" w:eastAsia="Cambria" w:hAnsi="Cambria" w:cs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6D1CD" w14:textId="77777777" w:rsidR="0000440C" w:rsidRDefault="0000440C">
      <w:r>
        <w:separator/>
      </w:r>
    </w:p>
  </w:footnote>
  <w:footnote w:type="continuationSeparator" w:id="0">
    <w:p w14:paraId="25707444" w14:textId="77777777" w:rsidR="0000440C" w:rsidRDefault="0000440C">
      <w:r>
        <w:continuationSeparator/>
      </w:r>
    </w:p>
  </w:footnote>
  <w:footnote w:type="continuationNotice" w:id="1">
    <w:p w14:paraId="53059206" w14:textId="77777777" w:rsidR="0000440C" w:rsidRDefault="0000440C"/>
  </w:footnote>
  <w:footnote w:id="2">
    <w:p w14:paraId="1B22FB05" w14:textId="5D44F219" w:rsidR="00B96FA6" w:rsidRPr="00593619" w:rsidRDefault="00B96FA6" w:rsidP="00B96FA6">
      <w:pPr>
        <w:pStyle w:val="FootnoteText"/>
        <w:jc w:val="both"/>
        <w:rPr>
          <w:rFonts w:ascii="Cambria" w:hAnsi="Cambria"/>
          <w:sz w:val="16"/>
          <w:szCs w:val="16"/>
        </w:rPr>
      </w:pPr>
      <w:r w:rsidRPr="00593619">
        <w:rPr>
          <w:rStyle w:val="FootnoteReference"/>
          <w:rFonts w:ascii="Cambria" w:hAnsi="Cambria"/>
          <w:sz w:val="16"/>
          <w:szCs w:val="16"/>
        </w:rPr>
        <w:footnoteRef/>
      </w:r>
      <w:r w:rsidRPr="00593619">
        <w:rPr>
          <w:rFonts w:ascii="Cambria" w:hAnsi="Cambria"/>
          <w:sz w:val="16"/>
          <w:szCs w:val="16"/>
        </w:rPr>
        <w:t xml:space="preserve"> </w:t>
      </w:r>
      <w:r w:rsidR="00F7010B" w:rsidRPr="00593619">
        <w:rPr>
          <w:rFonts w:ascii="Cambria" w:hAnsi="Cambria"/>
          <w:sz w:val="16"/>
          <w:szCs w:val="16"/>
        </w:rPr>
        <w:t>E</w:t>
      </w:r>
      <w:r w:rsidRPr="00593619">
        <w:rPr>
          <w:rFonts w:ascii="Cambria" w:hAnsi="Cambria"/>
          <w:sz w:val="16"/>
          <w:szCs w:val="16"/>
        </w:rPr>
        <w:t xml:space="preserve">l SCRS utilizará </w:t>
      </w:r>
      <w:r w:rsidR="008D444F" w:rsidRPr="00593619">
        <w:rPr>
          <w:rFonts w:ascii="Cambria" w:hAnsi="Cambria"/>
          <w:sz w:val="16"/>
          <w:szCs w:val="16"/>
        </w:rPr>
        <w:t xml:space="preserve">los </w:t>
      </w:r>
      <w:r w:rsidR="00AB40A9" w:rsidRPr="00593619">
        <w:rPr>
          <w:rFonts w:ascii="Cambria" w:hAnsi="Cambria"/>
          <w:sz w:val="16"/>
          <w:szCs w:val="16"/>
        </w:rPr>
        <w:t>rendimiento</w:t>
      </w:r>
      <w:r w:rsidR="008D444F" w:rsidRPr="00593619">
        <w:rPr>
          <w:rFonts w:ascii="Cambria" w:hAnsi="Cambria"/>
          <w:sz w:val="16"/>
          <w:szCs w:val="16"/>
        </w:rPr>
        <w:t>s</w:t>
      </w:r>
      <w:r w:rsidR="00AB40A9" w:rsidRPr="00593619">
        <w:rPr>
          <w:rFonts w:ascii="Cambria" w:hAnsi="Cambria"/>
          <w:sz w:val="16"/>
          <w:szCs w:val="16"/>
        </w:rPr>
        <w:t xml:space="preserve"> a </w:t>
      </w:r>
      <w:r w:rsidRPr="00593619">
        <w:rPr>
          <w:rFonts w:ascii="Cambria" w:hAnsi="Cambria"/>
          <w:sz w:val="16"/>
          <w:szCs w:val="16"/>
        </w:rPr>
        <w:t xml:space="preserve">corto (por ejemplo, 1-3 años), medio (por ejemplo, 4-10 años) y largo (por ejemplo, 11-20 años) </w:t>
      </w:r>
      <w:r w:rsidR="00AB40A9" w:rsidRPr="00593619">
        <w:rPr>
          <w:rFonts w:ascii="Cambria" w:hAnsi="Cambria"/>
          <w:sz w:val="16"/>
          <w:szCs w:val="16"/>
        </w:rPr>
        <w:t xml:space="preserve">plazo </w:t>
      </w:r>
      <w:r w:rsidRPr="00593619">
        <w:rPr>
          <w:rFonts w:ascii="Cambria" w:hAnsi="Cambria"/>
          <w:sz w:val="16"/>
          <w:szCs w:val="16"/>
        </w:rPr>
        <w:t xml:space="preserve">como </w:t>
      </w:r>
      <w:r w:rsidR="000277A7" w:rsidRPr="00593619">
        <w:rPr>
          <w:rFonts w:ascii="Cambria" w:hAnsi="Cambria"/>
          <w:sz w:val="16"/>
          <w:szCs w:val="16"/>
        </w:rPr>
        <w:t>indicad</w:t>
      </w:r>
      <w:r w:rsidR="008D444F" w:rsidRPr="00593619">
        <w:rPr>
          <w:rFonts w:ascii="Cambria" w:hAnsi="Cambria"/>
          <w:sz w:val="16"/>
          <w:szCs w:val="16"/>
        </w:rPr>
        <w:t>ores</w:t>
      </w:r>
      <w:r w:rsidRPr="00593619">
        <w:rPr>
          <w:rFonts w:ascii="Cambria" w:hAnsi="Cambria"/>
          <w:sz w:val="16"/>
          <w:szCs w:val="16"/>
        </w:rPr>
        <w:t xml:space="preserve"> de desempeño principal</w:t>
      </w:r>
      <w:r w:rsidR="008D444F" w:rsidRPr="00593619">
        <w:rPr>
          <w:rFonts w:ascii="Cambria" w:hAnsi="Cambria"/>
          <w:sz w:val="16"/>
          <w:szCs w:val="16"/>
        </w:rPr>
        <w:t>es</w:t>
      </w:r>
      <w:r w:rsidRPr="00593619">
        <w:rPr>
          <w:rFonts w:ascii="Cambria" w:hAnsi="Cambria"/>
          <w:sz w:val="16"/>
          <w:szCs w:val="16"/>
        </w:rPr>
        <w:t xml:space="preserve"> para evaluar este objetivo de ordenación.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4DCD"/>
    <w:multiLevelType w:val="multilevel"/>
    <w:tmpl w:val="D5386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61936"/>
    <w:multiLevelType w:val="multilevel"/>
    <w:tmpl w:val="BEDA4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167"/>
    <w:multiLevelType w:val="hybridMultilevel"/>
    <w:tmpl w:val="E9FC1DE0"/>
    <w:lvl w:ilvl="0" w:tplc="989AC79E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41513453">
    <w:abstractNumId w:val="1"/>
  </w:num>
  <w:num w:numId="2" w16cid:durableId="675571053">
    <w:abstractNumId w:val="0"/>
  </w:num>
  <w:num w:numId="3" w16cid:durableId="37125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F6F25"/>
    <w:rsid w:val="0000440C"/>
    <w:rsid w:val="000277A7"/>
    <w:rsid w:val="00046259"/>
    <w:rsid w:val="00073AC7"/>
    <w:rsid w:val="00080BA1"/>
    <w:rsid w:val="00081C94"/>
    <w:rsid w:val="00087F5B"/>
    <w:rsid w:val="00092A7A"/>
    <w:rsid w:val="00094490"/>
    <w:rsid w:val="000B4BF0"/>
    <w:rsid w:val="000C1B8C"/>
    <w:rsid w:val="000F20FA"/>
    <w:rsid w:val="001108EF"/>
    <w:rsid w:val="0014378D"/>
    <w:rsid w:val="00151697"/>
    <w:rsid w:val="001526F7"/>
    <w:rsid w:val="001738F5"/>
    <w:rsid w:val="00191919"/>
    <w:rsid w:val="001C299B"/>
    <w:rsid w:val="001C362C"/>
    <w:rsid w:val="001C568E"/>
    <w:rsid w:val="001E3CDC"/>
    <w:rsid w:val="00211D15"/>
    <w:rsid w:val="00220943"/>
    <w:rsid w:val="00221825"/>
    <w:rsid w:val="00222C38"/>
    <w:rsid w:val="00245A9B"/>
    <w:rsid w:val="002571D2"/>
    <w:rsid w:val="002667B6"/>
    <w:rsid w:val="00283589"/>
    <w:rsid w:val="00292E9E"/>
    <w:rsid w:val="002941C4"/>
    <w:rsid w:val="002E69DF"/>
    <w:rsid w:val="002E7B09"/>
    <w:rsid w:val="002F23A3"/>
    <w:rsid w:val="002F47E8"/>
    <w:rsid w:val="00302E94"/>
    <w:rsid w:val="0033355F"/>
    <w:rsid w:val="00335483"/>
    <w:rsid w:val="003712FF"/>
    <w:rsid w:val="00372B6B"/>
    <w:rsid w:val="00380D63"/>
    <w:rsid w:val="003A39B9"/>
    <w:rsid w:val="003C03D8"/>
    <w:rsid w:val="003C5C40"/>
    <w:rsid w:val="003C5D5E"/>
    <w:rsid w:val="003C7A8E"/>
    <w:rsid w:val="003E2F16"/>
    <w:rsid w:val="003F7D2D"/>
    <w:rsid w:val="004033BB"/>
    <w:rsid w:val="00432288"/>
    <w:rsid w:val="00437230"/>
    <w:rsid w:val="004508DA"/>
    <w:rsid w:val="00472545"/>
    <w:rsid w:val="004A360E"/>
    <w:rsid w:val="004D13EE"/>
    <w:rsid w:val="004D7350"/>
    <w:rsid w:val="004F04A1"/>
    <w:rsid w:val="0050068B"/>
    <w:rsid w:val="00513C06"/>
    <w:rsid w:val="00515668"/>
    <w:rsid w:val="00534650"/>
    <w:rsid w:val="0053606B"/>
    <w:rsid w:val="00544D74"/>
    <w:rsid w:val="00567DDC"/>
    <w:rsid w:val="00592CFD"/>
    <w:rsid w:val="00593619"/>
    <w:rsid w:val="005D0A1E"/>
    <w:rsid w:val="0060709E"/>
    <w:rsid w:val="00607643"/>
    <w:rsid w:val="00615FAF"/>
    <w:rsid w:val="00630353"/>
    <w:rsid w:val="006570A3"/>
    <w:rsid w:val="00660572"/>
    <w:rsid w:val="00663584"/>
    <w:rsid w:val="00671AF1"/>
    <w:rsid w:val="00674242"/>
    <w:rsid w:val="006B1EEA"/>
    <w:rsid w:val="006B5C31"/>
    <w:rsid w:val="006D3A58"/>
    <w:rsid w:val="00732B1D"/>
    <w:rsid w:val="00735A01"/>
    <w:rsid w:val="00737B09"/>
    <w:rsid w:val="0075620D"/>
    <w:rsid w:val="00776F16"/>
    <w:rsid w:val="0078129F"/>
    <w:rsid w:val="007929D0"/>
    <w:rsid w:val="007A305E"/>
    <w:rsid w:val="007B0CAC"/>
    <w:rsid w:val="007B71A2"/>
    <w:rsid w:val="007C1D94"/>
    <w:rsid w:val="007D6DA6"/>
    <w:rsid w:val="007F361F"/>
    <w:rsid w:val="007F6D2B"/>
    <w:rsid w:val="00810488"/>
    <w:rsid w:val="00813CBD"/>
    <w:rsid w:val="008153D6"/>
    <w:rsid w:val="00827B33"/>
    <w:rsid w:val="00846AC8"/>
    <w:rsid w:val="008535CD"/>
    <w:rsid w:val="00856970"/>
    <w:rsid w:val="00866114"/>
    <w:rsid w:val="00873728"/>
    <w:rsid w:val="008A7C4B"/>
    <w:rsid w:val="008A7CEE"/>
    <w:rsid w:val="008B079A"/>
    <w:rsid w:val="008B4AA1"/>
    <w:rsid w:val="008B7275"/>
    <w:rsid w:val="008D1955"/>
    <w:rsid w:val="008D444F"/>
    <w:rsid w:val="008E5ED3"/>
    <w:rsid w:val="008F471F"/>
    <w:rsid w:val="008F5BE4"/>
    <w:rsid w:val="00907790"/>
    <w:rsid w:val="009126DA"/>
    <w:rsid w:val="00927981"/>
    <w:rsid w:val="0097328A"/>
    <w:rsid w:val="009843C2"/>
    <w:rsid w:val="00992831"/>
    <w:rsid w:val="009B1ACB"/>
    <w:rsid w:val="009C203A"/>
    <w:rsid w:val="009D0C43"/>
    <w:rsid w:val="009F6F25"/>
    <w:rsid w:val="00A53AF6"/>
    <w:rsid w:val="00A62B3D"/>
    <w:rsid w:val="00A77FDB"/>
    <w:rsid w:val="00AA5159"/>
    <w:rsid w:val="00AB40A9"/>
    <w:rsid w:val="00AC3D8C"/>
    <w:rsid w:val="00AC410D"/>
    <w:rsid w:val="00AC5663"/>
    <w:rsid w:val="00AD7136"/>
    <w:rsid w:val="00AE0C26"/>
    <w:rsid w:val="00AE6233"/>
    <w:rsid w:val="00B31AF7"/>
    <w:rsid w:val="00B43F15"/>
    <w:rsid w:val="00B46A71"/>
    <w:rsid w:val="00B55B8D"/>
    <w:rsid w:val="00B726D0"/>
    <w:rsid w:val="00B74669"/>
    <w:rsid w:val="00B81E65"/>
    <w:rsid w:val="00B87BC9"/>
    <w:rsid w:val="00B96FA6"/>
    <w:rsid w:val="00BA1C40"/>
    <w:rsid w:val="00BC538B"/>
    <w:rsid w:val="00BE5E00"/>
    <w:rsid w:val="00BF4DB9"/>
    <w:rsid w:val="00C11C94"/>
    <w:rsid w:val="00C25601"/>
    <w:rsid w:val="00C51E08"/>
    <w:rsid w:val="00C61583"/>
    <w:rsid w:val="00C74EF3"/>
    <w:rsid w:val="00C879EF"/>
    <w:rsid w:val="00CA0813"/>
    <w:rsid w:val="00CA0938"/>
    <w:rsid w:val="00CA2ADE"/>
    <w:rsid w:val="00CB5A8E"/>
    <w:rsid w:val="00CC3DEB"/>
    <w:rsid w:val="00CD148D"/>
    <w:rsid w:val="00D0766C"/>
    <w:rsid w:val="00D16C0B"/>
    <w:rsid w:val="00D22935"/>
    <w:rsid w:val="00D23594"/>
    <w:rsid w:val="00D32608"/>
    <w:rsid w:val="00D37FB7"/>
    <w:rsid w:val="00D7102E"/>
    <w:rsid w:val="00D76B40"/>
    <w:rsid w:val="00D9161F"/>
    <w:rsid w:val="00D9349B"/>
    <w:rsid w:val="00DB5477"/>
    <w:rsid w:val="00DF54C5"/>
    <w:rsid w:val="00DF6530"/>
    <w:rsid w:val="00DF6D0E"/>
    <w:rsid w:val="00E012CA"/>
    <w:rsid w:val="00E049DC"/>
    <w:rsid w:val="00E16178"/>
    <w:rsid w:val="00E21386"/>
    <w:rsid w:val="00E21808"/>
    <w:rsid w:val="00E33AE3"/>
    <w:rsid w:val="00E34EDC"/>
    <w:rsid w:val="00E36B4E"/>
    <w:rsid w:val="00E42EAE"/>
    <w:rsid w:val="00E568B8"/>
    <w:rsid w:val="00E66817"/>
    <w:rsid w:val="00E76E37"/>
    <w:rsid w:val="00E94982"/>
    <w:rsid w:val="00EA443F"/>
    <w:rsid w:val="00EC4172"/>
    <w:rsid w:val="00ED65B7"/>
    <w:rsid w:val="00EE1ECA"/>
    <w:rsid w:val="00EE737B"/>
    <w:rsid w:val="00EF5DE2"/>
    <w:rsid w:val="00F06294"/>
    <w:rsid w:val="00F4068D"/>
    <w:rsid w:val="00F4679E"/>
    <w:rsid w:val="00F6518B"/>
    <w:rsid w:val="00F654B8"/>
    <w:rsid w:val="00F7010B"/>
    <w:rsid w:val="00F72333"/>
    <w:rsid w:val="00F76C67"/>
    <w:rsid w:val="00FB4C05"/>
    <w:rsid w:val="00FC4E8C"/>
    <w:rsid w:val="00FC62BD"/>
    <w:rsid w:val="00FC73CE"/>
    <w:rsid w:val="00FD78A2"/>
    <w:rsid w:val="00FE4D21"/>
    <w:rsid w:val="00FF323D"/>
    <w:rsid w:val="00FF45D0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488A3"/>
  <w15:docId w15:val="{2CC9A8F0-A792-456B-BE1B-A7326D90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8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D1C10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ListParagraph">
    <w:name w:val="List Paragraph"/>
    <w:basedOn w:val="Normal"/>
    <w:uiPriority w:val="1"/>
    <w:qFormat/>
    <w:rsid w:val="00DD1C1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9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E"/>
  </w:style>
  <w:style w:type="paragraph" w:styleId="Footer">
    <w:name w:val="footer"/>
    <w:basedOn w:val="Normal"/>
    <w:link w:val="FooterChar"/>
    <w:uiPriority w:val="99"/>
    <w:unhideWhenUsed/>
    <w:rsid w:val="0049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E"/>
  </w:style>
  <w:style w:type="paragraph" w:styleId="FootnoteText">
    <w:name w:val="footnote text"/>
    <w:basedOn w:val="Normal"/>
    <w:link w:val="FootnoteTextChar"/>
    <w:uiPriority w:val="99"/>
    <w:semiHidden/>
    <w:unhideWhenUsed/>
    <w:rsid w:val="00FD54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7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12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C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843C2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3C2"/>
    <w:rPr>
      <w:rFonts w:ascii="Cambria" w:eastAsia="Cambria" w:hAnsi="Cambria" w:cs="Cambr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2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3A3"/>
    <w:rPr>
      <w:color w:val="605E5C"/>
      <w:shd w:val="clear" w:color="auto" w:fill="E1DFDD"/>
    </w:rPr>
  </w:style>
  <w:style w:type="paragraph" w:customStyle="1" w:styleId="rec">
    <w:name w:val="rec"/>
    <w:basedOn w:val="Normal"/>
    <w:qFormat/>
    <w:rsid w:val="00593619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Cambria" w:hAnsi="Cambri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A3BB-9ADB-40EF-80DB-C9D0BB6741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f01cf0-dd39-4ca8-8ed8-80cbd24f5bed}" enabled="1" method="Standard" siteId="{6219f119-3e79-4e7f-acde-a5750808cd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792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Author</cp:lastModifiedBy>
  <cp:revision>31</cp:revision>
  <dcterms:created xsi:type="dcterms:W3CDTF">2024-11-18T06:31:00Z</dcterms:created>
  <dcterms:modified xsi:type="dcterms:W3CDTF">2024-12-12T10:52:00Z</dcterms:modified>
</cp:coreProperties>
</file>