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9F6F25" w:rsidRPr="00792C9E" w:rsidRDefault="009F6F25">
      <w:pPr>
        <w:pBdr>
          <w:top w:val="nil"/>
          <w:left w:val="nil"/>
          <w:bottom w:val="nil"/>
          <w:right w:val="nil"/>
          <w:between w:val="nil"/>
        </w:pBdr>
        <w:jc w:val="center"/>
        <w:rPr>
          <w:rFonts w:ascii="Cambria" w:eastAsia="Cambria" w:hAnsi="Cambria" w:cs="Cambria"/>
          <w:b/>
          <w:color w:val="000000"/>
          <w:sz w:val="2"/>
          <w:szCs w:val="2"/>
        </w:rPr>
      </w:pPr>
    </w:p>
    <w:p w14:paraId="6BAA4253" w14:textId="2C2DF3C7" w:rsidR="008E7C9B" w:rsidRPr="00792C9E" w:rsidRDefault="008E7C9B" w:rsidP="008E7C9B">
      <w:pPr>
        <w:pBdr>
          <w:top w:val="double" w:sz="4" w:space="1" w:color="auto"/>
          <w:left w:val="double" w:sz="4" w:space="4" w:color="auto"/>
          <w:bottom w:val="double" w:sz="4" w:space="1" w:color="auto"/>
          <w:right w:val="double" w:sz="4" w:space="28" w:color="auto"/>
        </w:pBdr>
        <w:spacing w:after="160" w:line="259" w:lineRule="auto"/>
        <w:ind w:left="8222" w:hanging="8222"/>
        <w:contextualSpacing/>
        <w:jc w:val="center"/>
        <w:rPr>
          <w:rFonts w:ascii="Cambria" w:hAnsi="Cambria"/>
          <w:b/>
          <w:color w:val="000000"/>
          <w:sz w:val="20"/>
          <w:szCs w:val="20"/>
        </w:rPr>
      </w:pPr>
      <w:bookmarkStart w:id="0" w:name="_heading=h.gjdgxs"/>
      <w:bookmarkStart w:id="1" w:name="_Hlk151365298"/>
      <w:bookmarkStart w:id="2" w:name="_Hlk182838730"/>
      <w:bookmarkEnd w:id="0"/>
      <w:r w:rsidRPr="00792C9E">
        <w:rPr>
          <w:rFonts w:ascii="Cambria" w:hAnsi="Cambria"/>
          <w:b/>
          <w:color w:val="000000"/>
          <w:sz w:val="20"/>
          <w:szCs w:val="20"/>
        </w:rPr>
        <w:t>24-02</w:t>
      </w:r>
      <w:r w:rsidRPr="00792C9E">
        <w:rPr>
          <w:rFonts w:ascii="Cambria" w:hAnsi="Cambria"/>
          <w:b/>
          <w:color w:val="000000"/>
          <w:sz w:val="20"/>
          <w:szCs w:val="20"/>
        </w:rPr>
        <w:tab/>
      </w:r>
      <w:r w:rsidRPr="00792C9E">
        <w:rPr>
          <w:rFonts w:ascii="Cambria" w:hAnsi="Cambria"/>
          <w:b/>
          <w:color w:val="000000"/>
          <w:sz w:val="20"/>
          <w:szCs w:val="20"/>
        </w:rPr>
        <w:tab/>
        <w:t>TRO</w:t>
      </w:r>
    </w:p>
    <w:p w14:paraId="334BD7A3" w14:textId="77777777" w:rsidR="008E7C9B" w:rsidRPr="00792C9E" w:rsidRDefault="008E7C9B" w:rsidP="008E7C9B">
      <w:pPr>
        <w:pBdr>
          <w:top w:val="double" w:sz="4" w:space="1" w:color="auto"/>
          <w:left w:val="double" w:sz="4" w:space="4" w:color="auto"/>
          <w:bottom w:val="double" w:sz="4" w:space="1" w:color="auto"/>
          <w:right w:val="double" w:sz="4" w:space="28" w:color="auto"/>
        </w:pBdr>
        <w:spacing w:after="160" w:line="259" w:lineRule="auto"/>
        <w:contextualSpacing/>
        <w:jc w:val="center"/>
        <w:rPr>
          <w:rFonts w:ascii="Cambria" w:hAnsi="Cambria"/>
          <w:b/>
          <w:color w:val="000000"/>
          <w:sz w:val="20"/>
          <w:szCs w:val="20"/>
        </w:rPr>
      </w:pPr>
    </w:p>
    <w:p w14:paraId="593F5549" w14:textId="6DB7B133" w:rsidR="009411CA" w:rsidRPr="00792C9E" w:rsidRDefault="008E7C9B" w:rsidP="009411CA">
      <w:pPr>
        <w:pBdr>
          <w:top w:val="double" w:sz="4" w:space="1" w:color="auto"/>
          <w:left w:val="double" w:sz="4" w:space="4" w:color="auto"/>
          <w:bottom w:val="double" w:sz="4" w:space="1" w:color="auto"/>
          <w:right w:val="double" w:sz="4" w:space="28" w:color="auto"/>
        </w:pBdr>
        <w:spacing w:after="160" w:line="259" w:lineRule="auto"/>
        <w:contextualSpacing/>
        <w:jc w:val="center"/>
        <w:rPr>
          <w:rFonts w:ascii="Cambria" w:hAnsi="Cambria"/>
          <w:b/>
          <w:color w:val="000000"/>
          <w:sz w:val="20"/>
          <w:szCs w:val="20"/>
        </w:rPr>
      </w:pPr>
      <w:r w:rsidRPr="00792C9E">
        <w:rPr>
          <w:rFonts w:ascii="Cambria" w:hAnsi="Cambria"/>
          <w:b/>
          <w:color w:val="000000"/>
          <w:sz w:val="20"/>
          <w:szCs w:val="20"/>
        </w:rPr>
        <w:t>R</w:t>
      </w:r>
      <w:r w:rsidR="0059732F" w:rsidRPr="00792C9E">
        <w:rPr>
          <w:rFonts w:ascii="Cambria" w:hAnsi="Cambria"/>
          <w:b/>
          <w:color w:val="000000"/>
          <w:sz w:val="20"/>
          <w:szCs w:val="20"/>
        </w:rPr>
        <w:t>É</w:t>
      </w:r>
      <w:r w:rsidRPr="00792C9E">
        <w:rPr>
          <w:rFonts w:ascii="Cambria" w:hAnsi="Cambria"/>
          <w:b/>
          <w:color w:val="000000"/>
          <w:sz w:val="20"/>
          <w:szCs w:val="20"/>
        </w:rPr>
        <w:t>SOLUTION DE L’ICCAT SUR LES OBJECTIFS DE GESTION OP</w:t>
      </w:r>
      <w:r w:rsidR="0059732F" w:rsidRPr="00792C9E">
        <w:rPr>
          <w:rFonts w:ascii="Cambria" w:hAnsi="Cambria"/>
          <w:b/>
          <w:color w:val="000000"/>
          <w:sz w:val="20"/>
          <w:szCs w:val="20"/>
        </w:rPr>
        <w:t>É</w:t>
      </w:r>
      <w:r w:rsidRPr="00792C9E">
        <w:rPr>
          <w:rFonts w:ascii="Cambria" w:hAnsi="Cambria"/>
          <w:b/>
          <w:color w:val="000000"/>
          <w:sz w:val="20"/>
          <w:szCs w:val="20"/>
        </w:rPr>
        <w:t>RATIONNELS PROVISOIRES POUR LE THON OB</w:t>
      </w:r>
      <w:r w:rsidR="0059732F" w:rsidRPr="00792C9E">
        <w:rPr>
          <w:rFonts w:ascii="Cambria" w:hAnsi="Cambria"/>
          <w:b/>
          <w:color w:val="000000"/>
          <w:sz w:val="20"/>
          <w:szCs w:val="20"/>
        </w:rPr>
        <w:t>È</w:t>
      </w:r>
      <w:r w:rsidRPr="00792C9E">
        <w:rPr>
          <w:rFonts w:ascii="Cambria" w:hAnsi="Cambria"/>
          <w:b/>
          <w:color w:val="000000"/>
          <w:sz w:val="20"/>
          <w:szCs w:val="20"/>
        </w:rPr>
        <w:t>SE, L’ALBACORE ET LE STOCK ORIENTAL DE LISTAO DE L'ATLANTIQUE</w:t>
      </w:r>
    </w:p>
    <w:p w14:paraId="00000004" w14:textId="77777777" w:rsidR="009F6F25" w:rsidRPr="00792C9E" w:rsidRDefault="009F6F25">
      <w:pPr>
        <w:pBdr>
          <w:top w:val="nil"/>
          <w:left w:val="nil"/>
          <w:bottom w:val="nil"/>
          <w:right w:val="nil"/>
          <w:between w:val="nil"/>
        </w:pBdr>
        <w:jc w:val="center"/>
        <w:rPr>
          <w:rFonts w:ascii="Cambria" w:eastAsia="Cambria" w:hAnsi="Cambria" w:cs="Cambria"/>
          <w:b/>
          <w:color w:val="000000"/>
          <w:sz w:val="20"/>
          <w:szCs w:val="20"/>
        </w:rPr>
      </w:pPr>
    </w:p>
    <w:bookmarkEnd w:id="1"/>
    <w:bookmarkEnd w:id="2"/>
    <w:p w14:paraId="00000007" w14:textId="77777777" w:rsidR="009F6F25" w:rsidRPr="00792C9E" w:rsidRDefault="009F6F25">
      <w:pPr>
        <w:pBdr>
          <w:top w:val="nil"/>
          <w:left w:val="nil"/>
          <w:bottom w:val="nil"/>
          <w:right w:val="nil"/>
          <w:between w:val="nil"/>
        </w:pBdr>
        <w:jc w:val="both"/>
        <w:rPr>
          <w:rFonts w:ascii="Cambria" w:eastAsia="Cambria" w:hAnsi="Cambria" w:cs="Cambria"/>
          <w:color w:val="000000"/>
          <w:sz w:val="20"/>
          <w:szCs w:val="20"/>
        </w:rPr>
      </w:pPr>
    </w:p>
    <w:p w14:paraId="00000008" w14:textId="56A590D5" w:rsidR="009F6F25" w:rsidRPr="00792C9E" w:rsidRDefault="00FE4D21" w:rsidP="00151EF6">
      <w:pPr>
        <w:ind w:firstLine="426"/>
        <w:jc w:val="both"/>
        <w:rPr>
          <w:rFonts w:ascii="Cambria" w:eastAsia="Cambria" w:hAnsi="Cambria" w:cs="Cambria"/>
          <w:b/>
          <w:sz w:val="20"/>
          <w:szCs w:val="20"/>
        </w:rPr>
      </w:pPr>
      <w:r w:rsidRPr="00792C9E">
        <w:rPr>
          <w:rFonts w:ascii="Cambria" w:hAnsi="Cambria"/>
          <w:i/>
          <w:iCs/>
          <w:sz w:val="20"/>
          <w:szCs w:val="20"/>
        </w:rPr>
        <w:t>PRÉVOYANT</w:t>
      </w:r>
      <w:r w:rsidRPr="00792C9E">
        <w:rPr>
          <w:rFonts w:ascii="Cambria" w:hAnsi="Cambria"/>
          <w:sz w:val="20"/>
          <w:szCs w:val="20"/>
        </w:rPr>
        <w:t xml:space="preserve"> la transition vers l'utilisation de procédures de gestion (</w:t>
      </w:r>
      <w:r w:rsidR="00851B96" w:rsidRPr="00792C9E">
        <w:rPr>
          <w:rFonts w:ascii="Cambria" w:hAnsi="Cambria"/>
          <w:sz w:val="20"/>
          <w:szCs w:val="20"/>
        </w:rPr>
        <w:t>« </w:t>
      </w:r>
      <w:r w:rsidRPr="00792C9E">
        <w:rPr>
          <w:rFonts w:ascii="Cambria" w:hAnsi="Cambria"/>
          <w:sz w:val="20"/>
          <w:szCs w:val="20"/>
        </w:rPr>
        <w:t>MP</w:t>
      </w:r>
      <w:r w:rsidR="00851B96" w:rsidRPr="00792C9E">
        <w:rPr>
          <w:rFonts w:ascii="Cambria" w:hAnsi="Cambria"/>
          <w:sz w:val="20"/>
          <w:szCs w:val="20"/>
        </w:rPr>
        <w:t> »</w:t>
      </w:r>
      <w:r w:rsidRPr="00792C9E">
        <w:rPr>
          <w:rFonts w:ascii="Cambria" w:hAnsi="Cambria"/>
          <w:sz w:val="20"/>
          <w:szCs w:val="20"/>
        </w:rPr>
        <w:t xml:space="preserve">) recommandées par la Commission pour les thonidés tropicaux et d'autres stocks prioritaires afin de gérer plus efficacement les pêcheries en présence des incertitudes identifiées, compatibles avec la Convention et la </w:t>
      </w:r>
      <w:r w:rsidRPr="00792C9E">
        <w:rPr>
          <w:rFonts w:ascii="Cambria" w:hAnsi="Cambria"/>
          <w:i/>
          <w:iCs/>
          <w:sz w:val="20"/>
          <w:szCs w:val="20"/>
        </w:rPr>
        <w:t>Recommandation de l'ICCAT sur les principes de la prise de décisions sur des mesures de conservation et de gestion de l’ICCAT</w:t>
      </w:r>
      <w:r w:rsidRPr="00792C9E">
        <w:rPr>
          <w:rFonts w:ascii="Cambria" w:hAnsi="Cambria"/>
          <w:sz w:val="20"/>
          <w:szCs w:val="20"/>
        </w:rPr>
        <w:t xml:space="preserve"> (Rec. 11-13)</w:t>
      </w:r>
      <w:r w:rsidR="00851B96" w:rsidRPr="00792C9E">
        <w:rPr>
          <w:rFonts w:ascii="Cambria" w:hAnsi="Cambria"/>
          <w:sz w:val="20"/>
          <w:szCs w:val="20"/>
        </w:rPr>
        <w:t> ;</w:t>
      </w:r>
    </w:p>
    <w:p w14:paraId="00000009" w14:textId="77777777" w:rsidR="009F6F25" w:rsidRPr="00792C9E" w:rsidRDefault="009F6F25" w:rsidP="00151EF6">
      <w:pPr>
        <w:ind w:firstLine="426"/>
        <w:jc w:val="both"/>
        <w:rPr>
          <w:rFonts w:ascii="Cambria" w:eastAsia="Cambria" w:hAnsi="Cambria" w:cs="Cambria"/>
          <w:b/>
          <w:sz w:val="20"/>
          <w:szCs w:val="20"/>
        </w:rPr>
      </w:pPr>
    </w:p>
    <w:p w14:paraId="0000000A" w14:textId="5B11E019" w:rsidR="009F6F25" w:rsidRPr="00792C9E" w:rsidRDefault="00FE4D21" w:rsidP="00151EF6">
      <w:pPr>
        <w:ind w:firstLine="426"/>
        <w:jc w:val="both"/>
        <w:rPr>
          <w:rFonts w:ascii="Cambria" w:eastAsia="Cambria" w:hAnsi="Cambria" w:cs="Cambria"/>
          <w:sz w:val="20"/>
          <w:szCs w:val="20"/>
        </w:rPr>
      </w:pPr>
      <w:r w:rsidRPr="00792C9E">
        <w:rPr>
          <w:rFonts w:ascii="Cambria" w:hAnsi="Cambria"/>
          <w:i/>
          <w:sz w:val="20"/>
          <w:szCs w:val="20"/>
        </w:rPr>
        <w:t>CONSIDÉRANT</w:t>
      </w:r>
      <w:r w:rsidRPr="00792C9E">
        <w:rPr>
          <w:rFonts w:ascii="Cambria" w:hAnsi="Cambria"/>
          <w:sz w:val="20"/>
          <w:szCs w:val="20"/>
        </w:rPr>
        <w:t xml:space="preserve"> que la Commission a l'intention d'achever une évaluation de la stratégie de gestion (</w:t>
      </w:r>
      <w:r w:rsidR="009411CA" w:rsidRPr="00792C9E">
        <w:rPr>
          <w:rFonts w:ascii="Cambria" w:hAnsi="Cambria"/>
          <w:sz w:val="20"/>
          <w:szCs w:val="20"/>
        </w:rPr>
        <w:t>« </w:t>
      </w:r>
      <w:r w:rsidRPr="00792C9E">
        <w:rPr>
          <w:rFonts w:ascii="Cambria" w:hAnsi="Cambria"/>
          <w:sz w:val="20"/>
          <w:szCs w:val="20"/>
        </w:rPr>
        <w:t>MSE</w:t>
      </w:r>
      <w:r w:rsidR="009411CA" w:rsidRPr="00792C9E">
        <w:rPr>
          <w:rFonts w:ascii="Cambria" w:hAnsi="Cambria"/>
          <w:sz w:val="20"/>
          <w:szCs w:val="20"/>
        </w:rPr>
        <w:t> »</w:t>
      </w:r>
      <w:r w:rsidRPr="00792C9E">
        <w:rPr>
          <w:rFonts w:ascii="Cambria" w:hAnsi="Cambria"/>
          <w:sz w:val="20"/>
          <w:szCs w:val="20"/>
        </w:rPr>
        <w:t>) multi-stocks pour le thon obèse, l'albacore et le stock oriental de listao de l'Atlantique d'ici 2026 ou dès que possible après cette date</w:t>
      </w:r>
      <w:r w:rsidR="009411CA" w:rsidRPr="00792C9E">
        <w:rPr>
          <w:rFonts w:ascii="Cambria" w:hAnsi="Cambria"/>
          <w:sz w:val="20"/>
          <w:szCs w:val="20"/>
        </w:rPr>
        <w:t> ;</w:t>
      </w:r>
    </w:p>
    <w:p w14:paraId="0000000D" w14:textId="77777777" w:rsidR="009F6F25" w:rsidRPr="00792C9E" w:rsidRDefault="009F6F25" w:rsidP="00151EF6">
      <w:pPr>
        <w:ind w:firstLine="426"/>
        <w:jc w:val="both"/>
        <w:rPr>
          <w:rFonts w:ascii="Cambria" w:eastAsia="Cambria" w:hAnsi="Cambria" w:cs="Cambria"/>
          <w:sz w:val="20"/>
          <w:szCs w:val="20"/>
        </w:rPr>
      </w:pPr>
    </w:p>
    <w:p w14:paraId="0000000F" w14:textId="56F3BACA" w:rsidR="009F6F25" w:rsidRPr="00792C9E" w:rsidRDefault="00FE4D21" w:rsidP="00151EF6">
      <w:pPr>
        <w:ind w:firstLine="426"/>
        <w:jc w:val="both"/>
        <w:rPr>
          <w:rFonts w:ascii="Cambria" w:hAnsi="Cambria"/>
          <w:sz w:val="20"/>
          <w:szCs w:val="20"/>
        </w:rPr>
      </w:pPr>
      <w:r w:rsidRPr="00792C9E">
        <w:rPr>
          <w:rFonts w:ascii="Cambria" w:hAnsi="Cambria"/>
          <w:i/>
          <w:iCs/>
          <w:sz w:val="20"/>
          <w:szCs w:val="20"/>
        </w:rPr>
        <w:t>RECONNAISSANT</w:t>
      </w:r>
      <w:r w:rsidRPr="00792C9E">
        <w:rPr>
          <w:rFonts w:ascii="Cambria" w:hAnsi="Cambria"/>
          <w:sz w:val="20"/>
          <w:szCs w:val="20"/>
        </w:rPr>
        <w:t xml:space="preserve"> que les objectifs opérationnels </w:t>
      </w:r>
      <w:proofErr w:type="gramStart"/>
      <w:r w:rsidRPr="00792C9E">
        <w:rPr>
          <w:rFonts w:ascii="Cambria" w:hAnsi="Cambria"/>
          <w:sz w:val="20"/>
          <w:szCs w:val="20"/>
        </w:rPr>
        <w:t>sont</w:t>
      </w:r>
      <w:proofErr w:type="gramEnd"/>
      <w:r w:rsidRPr="00792C9E">
        <w:rPr>
          <w:rFonts w:ascii="Cambria" w:hAnsi="Cambria"/>
          <w:sz w:val="20"/>
          <w:szCs w:val="20"/>
        </w:rPr>
        <w:t xml:space="preserve"> les composants fondateurs clés d’une MSE</w:t>
      </w:r>
      <w:r w:rsidR="009411CA" w:rsidRPr="00792C9E">
        <w:rPr>
          <w:rFonts w:ascii="Cambria" w:hAnsi="Cambria"/>
          <w:sz w:val="20"/>
          <w:szCs w:val="20"/>
        </w:rPr>
        <w:t> ;</w:t>
      </w:r>
    </w:p>
    <w:p w14:paraId="528B5398" w14:textId="77777777" w:rsidR="00EA120B" w:rsidRPr="00792C9E" w:rsidRDefault="00EA120B" w:rsidP="00151EF6">
      <w:pPr>
        <w:ind w:firstLine="426"/>
        <w:jc w:val="both"/>
        <w:rPr>
          <w:rFonts w:ascii="Cambria" w:eastAsia="Cambria" w:hAnsi="Cambria" w:cs="Cambria"/>
          <w:sz w:val="20"/>
          <w:szCs w:val="20"/>
        </w:rPr>
      </w:pPr>
    </w:p>
    <w:p w14:paraId="00000010" w14:textId="35ED8BE1" w:rsidR="009F6F25" w:rsidRPr="00792C9E" w:rsidRDefault="00FE4D21" w:rsidP="00151EF6">
      <w:pPr>
        <w:ind w:firstLine="426"/>
        <w:jc w:val="both"/>
        <w:rPr>
          <w:rFonts w:ascii="Cambria" w:eastAsia="Cambria" w:hAnsi="Cambria" w:cs="Cambria"/>
          <w:sz w:val="20"/>
          <w:szCs w:val="20"/>
        </w:rPr>
      </w:pPr>
      <w:r w:rsidRPr="00792C9E">
        <w:rPr>
          <w:rFonts w:ascii="Cambria" w:hAnsi="Cambria"/>
          <w:i/>
          <w:iCs/>
          <w:sz w:val="20"/>
          <w:szCs w:val="20"/>
        </w:rPr>
        <w:t>CHERCHANT</w:t>
      </w:r>
      <w:r w:rsidRPr="00792C9E">
        <w:rPr>
          <w:rFonts w:ascii="Cambria" w:hAnsi="Cambria"/>
          <w:sz w:val="20"/>
          <w:szCs w:val="20"/>
        </w:rPr>
        <w:t xml:space="preserve"> à faire avancer le développement de procédures de gestion, comme convenu par la Commission conformément à la </w:t>
      </w:r>
      <w:r w:rsidRPr="00792C9E">
        <w:rPr>
          <w:rFonts w:ascii="Cambria" w:hAnsi="Cambria"/>
          <w:i/>
          <w:iCs/>
          <w:sz w:val="20"/>
          <w:szCs w:val="20"/>
        </w:rPr>
        <w:t>Recommandation de l’ICCAT sur le développement de règles de contrôle de l’exploitation et d'une évaluation de la stratégie de gestion</w:t>
      </w:r>
      <w:r w:rsidRPr="00792C9E">
        <w:rPr>
          <w:rFonts w:ascii="Cambria" w:hAnsi="Cambria"/>
          <w:sz w:val="20"/>
          <w:szCs w:val="20"/>
        </w:rPr>
        <w:t xml:space="preserve"> (Rec. 15-07)</w:t>
      </w:r>
      <w:r w:rsidR="009411CA" w:rsidRPr="00792C9E">
        <w:rPr>
          <w:rFonts w:ascii="Cambria" w:hAnsi="Cambria"/>
          <w:sz w:val="20"/>
          <w:szCs w:val="20"/>
        </w:rPr>
        <w:t> ;</w:t>
      </w:r>
    </w:p>
    <w:p w14:paraId="00000011" w14:textId="77777777" w:rsidR="009F6F25" w:rsidRPr="00792C9E" w:rsidRDefault="009F6F25" w:rsidP="00151EF6">
      <w:pPr>
        <w:ind w:firstLine="426"/>
        <w:jc w:val="both"/>
        <w:rPr>
          <w:rFonts w:ascii="Cambria" w:eastAsia="Cambria" w:hAnsi="Cambria" w:cs="Cambria"/>
          <w:sz w:val="20"/>
          <w:szCs w:val="20"/>
        </w:rPr>
      </w:pPr>
    </w:p>
    <w:p w14:paraId="00000012" w14:textId="0572D9D6" w:rsidR="009F6F25" w:rsidRPr="00792C9E" w:rsidRDefault="00FE4D21" w:rsidP="00151EF6">
      <w:pPr>
        <w:ind w:firstLine="426"/>
        <w:jc w:val="both"/>
        <w:rPr>
          <w:rFonts w:ascii="Cambria" w:hAnsi="Cambria"/>
          <w:sz w:val="20"/>
          <w:szCs w:val="20"/>
        </w:rPr>
      </w:pPr>
      <w:r w:rsidRPr="00792C9E">
        <w:rPr>
          <w:rFonts w:ascii="Cambria" w:hAnsi="Cambria"/>
          <w:i/>
          <w:iCs/>
          <w:sz w:val="20"/>
          <w:szCs w:val="20"/>
        </w:rPr>
        <w:t>RECONNAISSANT</w:t>
      </w:r>
      <w:r w:rsidRPr="00792C9E">
        <w:rPr>
          <w:rFonts w:ascii="Cambria" w:hAnsi="Cambria"/>
          <w:sz w:val="20"/>
          <w:szCs w:val="20"/>
        </w:rPr>
        <w:t xml:space="preserve"> que, compte tenu de la nature des stocks mixtes de ces pêcheries, la Commission devra revoir les objectifs de gestion initiaux et envisager des compromis en ce qui concerne la production </w:t>
      </w:r>
      <w:r w:rsidR="00471533" w:rsidRPr="00792C9E">
        <w:rPr>
          <w:rFonts w:ascii="Cambria" w:hAnsi="Cambria"/>
          <w:sz w:val="20"/>
          <w:szCs w:val="20"/>
        </w:rPr>
        <w:t xml:space="preserve">et la stabilité </w:t>
      </w:r>
      <w:r w:rsidRPr="00792C9E">
        <w:rPr>
          <w:rFonts w:ascii="Cambria" w:hAnsi="Cambria"/>
          <w:sz w:val="20"/>
          <w:szCs w:val="20"/>
        </w:rPr>
        <w:t>de trois stocks de thonidés tropicaux, en tenant compte de l'avis du SCRS</w:t>
      </w:r>
      <w:r w:rsidR="009411CA" w:rsidRPr="00792C9E">
        <w:rPr>
          <w:rFonts w:ascii="Cambria" w:hAnsi="Cambria"/>
          <w:sz w:val="20"/>
          <w:szCs w:val="20"/>
        </w:rPr>
        <w:t> ;</w:t>
      </w:r>
    </w:p>
    <w:p w14:paraId="00000017" w14:textId="77777777" w:rsidR="009F6F25" w:rsidRPr="00792C9E" w:rsidRDefault="009F6F25" w:rsidP="00151EF6">
      <w:pPr>
        <w:ind w:firstLine="426"/>
        <w:jc w:val="both"/>
        <w:rPr>
          <w:rFonts w:ascii="Cambria" w:eastAsia="Cambria" w:hAnsi="Cambria" w:cs="Cambria"/>
          <w:sz w:val="20"/>
          <w:szCs w:val="20"/>
        </w:rPr>
      </w:pPr>
    </w:p>
    <w:p w14:paraId="00000018" w14:textId="06D7FAA0" w:rsidR="009F6F25" w:rsidRPr="00792C9E" w:rsidRDefault="00FE4D21" w:rsidP="00151EF6">
      <w:pPr>
        <w:ind w:firstLine="426"/>
        <w:jc w:val="both"/>
        <w:rPr>
          <w:rFonts w:ascii="Cambria" w:eastAsia="Cambria" w:hAnsi="Cambria" w:cs="Cambria"/>
          <w:b/>
          <w:sz w:val="20"/>
          <w:szCs w:val="20"/>
        </w:rPr>
      </w:pPr>
      <w:r w:rsidRPr="00792C9E">
        <w:rPr>
          <w:rFonts w:ascii="Cambria" w:hAnsi="Cambria"/>
          <w:i/>
          <w:sz w:val="20"/>
          <w:szCs w:val="20"/>
        </w:rPr>
        <w:t>NOTANT</w:t>
      </w:r>
      <w:r w:rsidRPr="00792C9E">
        <w:rPr>
          <w:rFonts w:ascii="Cambria" w:hAnsi="Cambria"/>
          <w:sz w:val="20"/>
          <w:szCs w:val="20"/>
        </w:rPr>
        <w:t xml:space="preserve"> la valeur ajoutée de l'adoption d'objectifs de gestion opérationnels </w:t>
      </w:r>
      <w:r w:rsidR="00471533" w:rsidRPr="00792C9E">
        <w:rPr>
          <w:rFonts w:ascii="Cambria" w:hAnsi="Cambria"/>
          <w:bCs/>
          <w:color w:val="000000"/>
          <w:sz w:val="20"/>
          <w:szCs w:val="20"/>
        </w:rPr>
        <w:t>provisoires</w:t>
      </w:r>
      <w:r w:rsidR="00471533" w:rsidRPr="00792C9E">
        <w:rPr>
          <w:rFonts w:ascii="Cambria" w:hAnsi="Cambria"/>
          <w:b/>
          <w:color w:val="000000"/>
          <w:sz w:val="20"/>
          <w:szCs w:val="20"/>
        </w:rPr>
        <w:t xml:space="preserve"> </w:t>
      </w:r>
      <w:r w:rsidRPr="00792C9E">
        <w:rPr>
          <w:rFonts w:ascii="Cambria" w:hAnsi="Cambria"/>
          <w:sz w:val="20"/>
          <w:szCs w:val="20"/>
        </w:rPr>
        <w:t xml:space="preserve">pour les thonidés tropicaux </w:t>
      </w:r>
      <w:r w:rsidR="00471533" w:rsidRPr="00792C9E">
        <w:rPr>
          <w:rFonts w:ascii="Cambria" w:hAnsi="Cambria"/>
          <w:sz w:val="20"/>
          <w:szCs w:val="20"/>
        </w:rPr>
        <w:t>dans le but d</w:t>
      </w:r>
      <w:r w:rsidR="00E54CFF" w:rsidRPr="00792C9E">
        <w:rPr>
          <w:rFonts w:ascii="Cambria" w:hAnsi="Cambria"/>
          <w:sz w:val="20"/>
          <w:szCs w:val="20"/>
        </w:rPr>
        <w:t>’élaborer</w:t>
      </w:r>
      <w:r w:rsidR="00471533" w:rsidRPr="00792C9E">
        <w:rPr>
          <w:rFonts w:ascii="Cambria" w:hAnsi="Cambria"/>
          <w:sz w:val="20"/>
          <w:szCs w:val="20"/>
        </w:rPr>
        <w:t xml:space="preserve">, de tester </w:t>
      </w:r>
      <w:r w:rsidR="00E54CFF" w:rsidRPr="00792C9E">
        <w:rPr>
          <w:rFonts w:ascii="Cambria" w:hAnsi="Cambria"/>
          <w:sz w:val="20"/>
          <w:szCs w:val="20"/>
        </w:rPr>
        <w:t xml:space="preserve">et d’affiner les </w:t>
      </w:r>
      <w:r w:rsidRPr="00792C9E">
        <w:rPr>
          <w:rFonts w:ascii="Cambria" w:hAnsi="Cambria"/>
          <w:sz w:val="20"/>
          <w:szCs w:val="20"/>
        </w:rPr>
        <w:t xml:space="preserve">MP </w:t>
      </w:r>
      <w:r w:rsidR="00E54CFF" w:rsidRPr="00792C9E">
        <w:rPr>
          <w:rFonts w:ascii="Cambria" w:hAnsi="Cambria"/>
          <w:sz w:val="20"/>
          <w:szCs w:val="20"/>
        </w:rPr>
        <w:t xml:space="preserve">potentielles </w:t>
      </w:r>
      <w:r w:rsidRPr="00792C9E">
        <w:rPr>
          <w:rFonts w:ascii="Cambria" w:hAnsi="Cambria"/>
          <w:sz w:val="20"/>
          <w:szCs w:val="20"/>
        </w:rPr>
        <w:t>pour le thon obèse, l’albacore et le stock oriental de listao de l'Atlantique</w:t>
      </w:r>
      <w:r w:rsidR="009411CA" w:rsidRPr="00792C9E">
        <w:rPr>
          <w:rFonts w:ascii="Cambria" w:hAnsi="Cambria"/>
          <w:sz w:val="20"/>
          <w:szCs w:val="20"/>
        </w:rPr>
        <w:t> ;</w:t>
      </w:r>
    </w:p>
    <w:p w14:paraId="00000019" w14:textId="77777777" w:rsidR="009F6F25" w:rsidRPr="00792C9E" w:rsidRDefault="009F6F25" w:rsidP="00151EF6">
      <w:pPr>
        <w:ind w:firstLine="426"/>
        <w:jc w:val="both"/>
        <w:rPr>
          <w:rFonts w:ascii="Cambria" w:eastAsia="Cambria" w:hAnsi="Cambria" w:cs="Cambria"/>
          <w:b/>
          <w:sz w:val="20"/>
          <w:szCs w:val="20"/>
        </w:rPr>
      </w:pPr>
    </w:p>
    <w:p w14:paraId="5E1C3774" w14:textId="77777777" w:rsidR="00FC62BD" w:rsidRPr="00792C9E" w:rsidRDefault="00FC62BD">
      <w:pPr>
        <w:jc w:val="both"/>
        <w:rPr>
          <w:rFonts w:ascii="Cambria" w:eastAsia="Cambria" w:hAnsi="Cambria" w:cs="Cambria"/>
          <w:b/>
          <w:sz w:val="20"/>
          <w:szCs w:val="20"/>
        </w:rPr>
      </w:pPr>
    </w:p>
    <w:p w14:paraId="0000001A" w14:textId="6469633F" w:rsidR="009F6F25" w:rsidRPr="00792C9E" w:rsidRDefault="00FE4D21">
      <w:pPr>
        <w:jc w:val="center"/>
        <w:rPr>
          <w:rFonts w:ascii="Cambria" w:eastAsia="Cambria" w:hAnsi="Cambria" w:cs="Cambria"/>
          <w:sz w:val="20"/>
          <w:szCs w:val="20"/>
        </w:rPr>
      </w:pPr>
      <w:r w:rsidRPr="00792C9E">
        <w:rPr>
          <w:rFonts w:ascii="Cambria" w:hAnsi="Cambria"/>
          <w:sz w:val="20"/>
          <w:szCs w:val="20"/>
        </w:rPr>
        <w:t xml:space="preserve">LA COMMISSION INTERNATIONALE POUR </w:t>
      </w:r>
      <w:proofErr w:type="gramStart"/>
      <w:r w:rsidRPr="00792C9E">
        <w:rPr>
          <w:rFonts w:ascii="Cambria" w:hAnsi="Cambria"/>
          <w:sz w:val="20"/>
          <w:szCs w:val="20"/>
        </w:rPr>
        <w:t>LA</w:t>
      </w:r>
      <w:proofErr w:type="gramEnd"/>
    </w:p>
    <w:p w14:paraId="0000001B" w14:textId="77777777" w:rsidR="009F6F25" w:rsidRPr="00792C9E" w:rsidRDefault="00FE4D21">
      <w:pPr>
        <w:jc w:val="center"/>
        <w:rPr>
          <w:rFonts w:ascii="Cambria" w:eastAsia="Cambria" w:hAnsi="Cambria" w:cs="Cambria"/>
          <w:sz w:val="20"/>
          <w:szCs w:val="20"/>
        </w:rPr>
      </w:pPr>
      <w:r w:rsidRPr="00792C9E">
        <w:rPr>
          <w:rFonts w:ascii="Cambria" w:hAnsi="Cambria"/>
          <w:sz w:val="20"/>
          <w:szCs w:val="20"/>
        </w:rPr>
        <w:t>CONSERVATION DES THONIDÉS DE L’ATLANTIQUE (ICCAT) DÉCIDE CE QUI SUIT :</w:t>
      </w:r>
    </w:p>
    <w:p w14:paraId="0000001C" w14:textId="77777777" w:rsidR="009F6F25" w:rsidRPr="00792C9E" w:rsidRDefault="009F6F25">
      <w:pPr>
        <w:jc w:val="both"/>
        <w:rPr>
          <w:rFonts w:ascii="Cambria" w:eastAsia="Cambria" w:hAnsi="Cambria" w:cs="Cambria"/>
          <w:sz w:val="20"/>
          <w:szCs w:val="20"/>
        </w:rPr>
      </w:pPr>
    </w:p>
    <w:p w14:paraId="0000001D" w14:textId="0162EAF1" w:rsidR="009F6F25" w:rsidRPr="00792C9E" w:rsidRDefault="00151EF6" w:rsidP="00151EF6">
      <w:pPr>
        <w:pBdr>
          <w:top w:val="nil"/>
          <w:left w:val="nil"/>
          <w:bottom w:val="nil"/>
          <w:right w:val="nil"/>
          <w:between w:val="nil"/>
        </w:pBdr>
        <w:ind w:left="426" w:hanging="426"/>
        <w:jc w:val="both"/>
        <w:rPr>
          <w:rFonts w:ascii="Cambria" w:eastAsia="Cambria" w:hAnsi="Cambria" w:cs="Cambria"/>
          <w:color w:val="000000"/>
          <w:sz w:val="20"/>
          <w:szCs w:val="20"/>
        </w:rPr>
      </w:pPr>
      <w:r w:rsidRPr="00792C9E">
        <w:rPr>
          <w:rFonts w:ascii="Cambria" w:hAnsi="Cambria"/>
          <w:color w:val="000000"/>
          <w:sz w:val="20"/>
          <w:szCs w:val="20"/>
        </w:rPr>
        <w:t xml:space="preserve">1. </w:t>
      </w:r>
      <w:r w:rsidRPr="00792C9E">
        <w:rPr>
          <w:rFonts w:ascii="Cambria" w:hAnsi="Cambria"/>
          <w:color w:val="000000"/>
          <w:sz w:val="20"/>
          <w:szCs w:val="20"/>
        </w:rPr>
        <w:tab/>
      </w:r>
      <w:r w:rsidR="00FE4D21" w:rsidRPr="00792C9E">
        <w:rPr>
          <w:rFonts w:ascii="Cambria" w:hAnsi="Cambria"/>
          <w:color w:val="000000"/>
          <w:sz w:val="20"/>
          <w:szCs w:val="20"/>
        </w:rPr>
        <w:t xml:space="preserve">Des objectifs de gestion devraient être établis pour le thon obèse, l’albacore et stock oriental de listao de l'Atlantique, conformément à l’objectif de la Convention de maintenir les populations à des niveaux égaux ou supérieurs à ceux qui permettront d’obtenir la prise maximale équilibrée (généralement désignée </w:t>
      </w:r>
      <w:r w:rsidR="00B46B38" w:rsidRPr="00792C9E">
        <w:rPr>
          <w:rFonts w:ascii="Cambria" w:hAnsi="Cambria"/>
          <w:color w:val="000000"/>
          <w:sz w:val="20"/>
          <w:szCs w:val="20"/>
        </w:rPr>
        <w:t>« </w:t>
      </w:r>
      <w:r w:rsidR="00FE4D21" w:rsidRPr="00792C9E">
        <w:rPr>
          <w:rFonts w:ascii="Cambria" w:hAnsi="Cambria"/>
          <w:color w:val="000000"/>
          <w:sz w:val="20"/>
          <w:szCs w:val="20"/>
        </w:rPr>
        <w:t>PME</w:t>
      </w:r>
      <w:r w:rsidR="00B46B38" w:rsidRPr="00792C9E">
        <w:rPr>
          <w:rFonts w:ascii="Cambria" w:hAnsi="Cambria"/>
          <w:color w:val="000000"/>
          <w:sz w:val="20"/>
          <w:szCs w:val="20"/>
        </w:rPr>
        <w:t> »</w:t>
      </w:r>
      <w:r w:rsidR="00FE4D21" w:rsidRPr="00792C9E">
        <w:rPr>
          <w:rFonts w:ascii="Cambria" w:hAnsi="Cambria"/>
          <w:color w:val="000000"/>
          <w:sz w:val="20"/>
          <w:szCs w:val="20"/>
        </w:rPr>
        <w:t xml:space="preserve">) ; </w:t>
      </w:r>
    </w:p>
    <w:p w14:paraId="3C7F5D62" w14:textId="77777777" w:rsidR="00380D63" w:rsidRPr="00792C9E" w:rsidRDefault="00380D63" w:rsidP="00380D63">
      <w:pPr>
        <w:pBdr>
          <w:top w:val="nil"/>
          <w:left w:val="nil"/>
          <w:bottom w:val="nil"/>
          <w:right w:val="nil"/>
          <w:between w:val="nil"/>
        </w:pBdr>
        <w:ind w:left="426"/>
        <w:jc w:val="both"/>
        <w:rPr>
          <w:rFonts w:ascii="Cambria" w:eastAsia="Cambria" w:hAnsi="Cambria" w:cs="Cambria"/>
          <w:color w:val="000000"/>
          <w:sz w:val="20"/>
          <w:szCs w:val="20"/>
        </w:rPr>
      </w:pPr>
    </w:p>
    <w:p w14:paraId="40193D1C" w14:textId="2369D60A" w:rsidR="00E54CFF" w:rsidRPr="00792C9E" w:rsidRDefault="00151EF6" w:rsidP="00151EF6">
      <w:pPr>
        <w:pBdr>
          <w:top w:val="nil"/>
          <w:left w:val="nil"/>
          <w:bottom w:val="nil"/>
          <w:right w:val="nil"/>
          <w:between w:val="nil"/>
        </w:pBdr>
        <w:ind w:left="426" w:hanging="426"/>
        <w:jc w:val="both"/>
        <w:rPr>
          <w:rFonts w:ascii="Cambria" w:hAnsi="Cambria"/>
          <w:color w:val="000000"/>
          <w:sz w:val="20"/>
          <w:szCs w:val="20"/>
        </w:rPr>
      </w:pPr>
      <w:r w:rsidRPr="00792C9E">
        <w:rPr>
          <w:rFonts w:ascii="Cambria" w:hAnsi="Cambria"/>
          <w:color w:val="000000"/>
          <w:sz w:val="20"/>
          <w:szCs w:val="20"/>
        </w:rPr>
        <w:t xml:space="preserve">2. </w:t>
      </w:r>
      <w:r w:rsidRPr="00792C9E">
        <w:rPr>
          <w:rFonts w:ascii="Cambria" w:hAnsi="Cambria"/>
          <w:color w:val="000000"/>
          <w:sz w:val="20"/>
          <w:szCs w:val="20"/>
        </w:rPr>
        <w:tab/>
      </w:r>
      <w:r w:rsidR="00380D63" w:rsidRPr="00792C9E">
        <w:rPr>
          <w:rFonts w:ascii="Cambria" w:hAnsi="Cambria"/>
          <w:color w:val="000000"/>
          <w:sz w:val="20"/>
          <w:szCs w:val="20"/>
        </w:rPr>
        <w:t>Lorsqu’il évaluera la situation des stocks et qu’il formulera des recommandations de gestion à la Commission, le SCRS devra tenir compte du point de référence limite (</w:t>
      </w:r>
      <w:r w:rsidR="00005E4E" w:rsidRPr="00792C9E">
        <w:rPr>
          <w:rFonts w:ascii="Cambria" w:hAnsi="Cambria"/>
          <w:color w:val="000000"/>
          <w:sz w:val="20"/>
          <w:szCs w:val="20"/>
        </w:rPr>
        <w:t>« </w:t>
      </w:r>
      <w:r w:rsidR="00380D63" w:rsidRPr="00792C9E">
        <w:rPr>
          <w:rFonts w:ascii="Cambria" w:hAnsi="Cambria"/>
          <w:color w:val="000000"/>
          <w:sz w:val="20"/>
          <w:szCs w:val="20"/>
        </w:rPr>
        <w:t>LRP</w:t>
      </w:r>
      <w:r w:rsidR="00005E4E" w:rsidRPr="00792C9E">
        <w:rPr>
          <w:rFonts w:ascii="Cambria" w:hAnsi="Cambria"/>
          <w:color w:val="000000"/>
          <w:sz w:val="20"/>
          <w:szCs w:val="20"/>
        </w:rPr>
        <w:t> »</w:t>
      </w:r>
      <w:r w:rsidR="00380D63" w:rsidRPr="00792C9E">
        <w:rPr>
          <w:rFonts w:ascii="Cambria" w:hAnsi="Cambria"/>
          <w:color w:val="000000"/>
          <w:sz w:val="20"/>
          <w:szCs w:val="20"/>
        </w:rPr>
        <w:t xml:space="preserve">) </w:t>
      </w:r>
      <w:r w:rsidR="00005E4E" w:rsidRPr="00792C9E">
        <w:rPr>
          <w:rFonts w:ascii="Cambria" w:hAnsi="Cambria"/>
          <w:color w:val="000000"/>
          <w:sz w:val="20"/>
          <w:szCs w:val="20"/>
        </w:rPr>
        <w:t xml:space="preserve">provisoire </w:t>
      </w:r>
      <w:r w:rsidR="00380D63" w:rsidRPr="00792C9E">
        <w:rPr>
          <w:rFonts w:ascii="Cambria" w:hAnsi="Cambria"/>
          <w:color w:val="000000"/>
          <w:sz w:val="20"/>
          <w:szCs w:val="20"/>
        </w:rPr>
        <w:t>de 0,4*B</w:t>
      </w:r>
      <w:r w:rsidR="00380D63" w:rsidRPr="00792C9E">
        <w:rPr>
          <w:rFonts w:ascii="Cambria" w:hAnsi="Cambria"/>
          <w:color w:val="000000"/>
          <w:sz w:val="20"/>
          <w:szCs w:val="20"/>
          <w:vertAlign w:val="subscript"/>
        </w:rPr>
        <w:t>PME</w:t>
      </w:r>
      <w:r w:rsidR="00E54CFF" w:rsidRPr="00792C9E">
        <w:rPr>
          <w:rFonts w:ascii="Cambria" w:hAnsi="Cambria"/>
          <w:color w:val="000000"/>
          <w:sz w:val="20"/>
          <w:szCs w:val="20"/>
        </w:rPr>
        <w:t xml:space="preserve"> pour</w:t>
      </w:r>
      <w:r w:rsidR="00E54CFF" w:rsidRPr="00792C9E">
        <w:rPr>
          <w:rFonts w:ascii="Cambria" w:hAnsi="Cambria"/>
          <w:color w:val="000000"/>
          <w:sz w:val="20"/>
          <w:szCs w:val="20"/>
          <w:vertAlign w:val="subscript"/>
        </w:rPr>
        <w:t xml:space="preserve"> </w:t>
      </w:r>
      <w:r w:rsidR="00E54CFF" w:rsidRPr="00792C9E">
        <w:rPr>
          <w:rFonts w:ascii="Cambria" w:hAnsi="Cambria"/>
          <w:color w:val="000000"/>
          <w:sz w:val="20"/>
          <w:szCs w:val="20"/>
        </w:rPr>
        <w:t>le thon obèse, l'albacore et le stock oriental de listao</w:t>
      </w:r>
      <w:r w:rsidR="00DE0CDD" w:rsidRPr="00792C9E">
        <w:rPr>
          <w:rFonts w:ascii="Cambria" w:hAnsi="Cambria"/>
          <w:color w:val="000000"/>
          <w:sz w:val="20"/>
          <w:szCs w:val="20"/>
        </w:rPr>
        <w:t xml:space="preserve"> de l'Atlantique</w:t>
      </w:r>
      <w:r w:rsidR="00E54CFF" w:rsidRPr="00792C9E">
        <w:rPr>
          <w:rFonts w:ascii="Cambria" w:hAnsi="Cambria"/>
          <w:color w:val="000000"/>
          <w:sz w:val="20"/>
          <w:szCs w:val="20"/>
        </w:rPr>
        <w:t>. Le SCRS formulera un avis sur le</w:t>
      </w:r>
      <w:r w:rsidR="00E667AE" w:rsidRPr="00792C9E">
        <w:rPr>
          <w:rFonts w:ascii="Cambria" w:hAnsi="Cambria"/>
          <w:color w:val="000000"/>
          <w:sz w:val="20"/>
          <w:szCs w:val="20"/>
        </w:rPr>
        <w:t>s</w:t>
      </w:r>
      <w:r w:rsidR="00E54CFF" w:rsidRPr="00792C9E">
        <w:rPr>
          <w:rFonts w:ascii="Cambria" w:hAnsi="Cambria"/>
          <w:color w:val="000000"/>
          <w:sz w:val="20"/>
          <w:szCs w:val="20"/>
        </w:rPr>
        <w:t xml:space="preserve"> LRP </w:t>
      </w:r>
      <w:r w:rsidR="00E667AE" w:rsidRPr="00792C9E">
        <w:rPr>
          <w:rFonts w:ascii="Cambria" w:hAnsi="Cambria"/>
          <w:color w:val="000000"/>
          <w:sz w:val="20"/>
          <w:szCs w:val="20"/>
        </w:rPr>
        <w:t>finaux</w:t>
      </w:r>
      <w:r w:rsidR="00E54CFF" w:rsidRPr="00792C9E">
        <w:rPr>
          <w:rFonts w:ascii="Cambria" w:hAnsi="Cambria"/>
          <w:color w:val="000000"/>
          <w:sz w:val="20"/>
          <w:szCs w:val="20"/>
        </w:rPr>
        <w:t xml:space="preserve"> pour le thon obèse, l'albacore et le stock oriental de listao</w:t>
      </w:r>
      <w:r w:rsidR="00DE0CDD" w:rsidRPr="00792C9E">
        <w:rPr>
          <w:rFonts w:ascii="Cambria" w:hAnsi="Cambria"/>
          <w:color w:val="000000"/>
          <w:sz w:val="20"/>
          <w:szCs w:val="20"/>
        </w:rPr>
        <w:t xml:space="preserve"> de l'Atlantique.</w:t>
      </w:r>
    </w:p>
    <w:p w14:paraId="0000001E" w14:textId="77777777" w:rsidR="009F6F25" w:rsidRPr="00792C9E" w:rsidRDefault="009F6F25">
      <w:pPr>
        <w:jc w:val="both"/>
        <w:rPr>
          <w:rFonts w:ascii="Cambria" w:eastAsia="Cambria" w:hAnsi="Cambria" w:cs="Cambria"/>
          <w:sz w:val="20"/>
          <w:szCs w:val="20"/>
        </w:rPr>
      </w:pPr>
    </w:p>
    <w:p w14:paraId="0000001F" w14:textId="735BD411" w:rsidR="009F6F25" w:rsidRPr="00792C9E" w:rsidRDefault="00151EF6" w:rsidP="00151EF6">
      <w:pPr>
        <w:pBdr>
          <w:top w:val="nil"/>
          <w:left w:val="nil"/>
          <w:bottom w:val="nil"/>
          <w:right w:val="nil"/>
          <w:between w:val="nil"/>
        </w:pBdr>
        <w:ind w:left="426" w:hanging="426"/>
        <w:jc w:val="both"/>
        <w:rPr>
          <w:rFonts w:ascii="Cambria" w:eastAsia="Cambria" w:hAnsi="Cambria" w:cs="Cambria"/>
          <w:color w:val="000000"/>
          <w:sz w:val="20"/>
          <w:szCs w:val="20"/>
        </w:rPr>
      </w:pPr>
      <w:r w:rsidRPr="00792C9E">
        <w:rPr>
          <w:rFonts w:ascii="Cambria" w:hAnsi="Cambria"/>
          <w:color w:val="000000"/>
          <w:sz w:val="20"/>
          <w:szCs w:val="20"/>
        </w:rPr>
        <w:t xml:space="preserve">3. </w:t>
      </w:r>
      <w:r w:rsidRPr="00792C9E">
        <w:rPr>
          <w:rFonts w:ascii="Cambria" w:hAnsi="Cambria"/>
          <w:color w:val="000000"/>
          <w:sz w:val="20"/>
          <w:szCs w:val="20"/>
        </w:rPr>
        <w:tab/>
      </w:r>
      <w:r w:rsidR="00E94982" w:rsidRPr="00792C9E">
        <w:rPr>
          <w:rFonts w:ascii="Cambria" w:hAnsi="Cambria"/>
          <w:color w:val="000000"/>
          <w:sz w:val="20"/>
          <w:szCs w:val="20"/>
        </w:rPr>
        <w:t xml:space="preserve">Les objectifs de gestion opérationnels provisoires suivants devraient être pris en considération </w:t>
      </w:r>
      <w:r w:rsidR="00E54CFF" w:rsidRPr="00792C9E">
        <w:rPr>
          <w:rFonts w:ascii="Cambria" w:hAnsi="Cambria"/>
          <w:color w:val="000000"/>
          <w:sz w:val="20"/>
          <w:szCs w:val="20"/>
        </w:rPr>
        <w:t>dans le but d'élaborer, de tester et d'affiner les procédures de gestion potentielles :</w:t>
      </w:r>
    </w:p>
    <w:p w14:paraId="00000020" w14:textId="77777777" w:rsidR="009F6F25" w:rsidRPr="00792C9E" w:rsidRDefault="009F6F25">
      <w:pPr>
        <w:pBdr>
          <w:top w:val="nil"/>
          <w:left w:val="nil"/>
          <w:bottom w:val="nil"/>
          <w:right w:val="nil"/>
          <w:between w:val="nil"/>
        </w:pBdr>
        <w:ind w:left="720"/>
        <w:jc w:val="both"/>
        <w:rPr>
          <w:rFonts w:ascii="Cambria" w:eastAsia="Cambria" w:hAnsi="Cambria" w:cs="Cambria"/>
          <w:color w:val="000000"/>
          <w:sz w:val="20"/>
          <w:szCs w:val="20"/>
        </w:rPr>
      </w:pPr>
    </w:p>
    <w:p w14:paraId="4559A172" w14:textId="2E44FE39" w:rsidR="00FC62BD" w:rsidRPr="00792C9E" w:rsidRDefault="00FE4D21" w:rsidP="00940BB0">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92C9E">
        <w:rPr>
          <w:rFonts w:ascii="Cambria" w:hAnsi="Cambria"/>
          <w:color w:val="000000"/>
          <w:sz w:val="20"/>
          <w:szCs w:val="20"/>
        </w:rPr>
        <w:t xml:space="preserve">État des stocks : </w:t>
      </w:r>
      <w:r w:rsidRPr="00792C9E">
        <w:rPr>
          <w:rFonts w:ascii="Cambria" w:hAnsi="Cambria"/>
          <w:sz w:val="20"/>
          <w:szCs w:val="20"/>
        </w:rPr>
        <w:t>Le thon obèse, l'albacore et le stock de listao de l’Est devraient chacun avoir une probabilité de 50</w:t>
      </w:r>
      <w:r w:rsidR="00005E4E" w:rsidRPr="00792C9E">
        <w:rPr>
          <w:rFonts w:ascii="Cambria" w:hAnsi="Cambria"/>
          <w:sz w:val="20"/>
          <w:szCs w:val="20"/>
        </w:rPr>
        <w:t> </w:t>
      </w:r>
      <w:r w:rsidRPr="00792C9E">
        <w:rPr>
          <w:rFonts w:ascii="Cambria" w:hAnsi="Cambria"/>
          <w:sz w:val="20"/>
          <w:szCs w:val="20"/>
        </w:rPr>
        <w:t xml:space="preserve">% ou plus de se trouver dans le quadrant vert du diagramme de phase de Kobe (absence de surpêche et non surexploité) </w:t>
      </w:r>
      <w:r w:rsidR="00E54CFF" w:rsidRPr="00792C9E">
        <w:rPr>
          <w:rFonts w:ascii="Cambria" w:hAnsi="Cambria"/>
          <w:sz w:val="20"/>
          <w:szCs w:val="20"/>
        </w:rPr>
        <w:t xml:space="preserve">au cours de la période de </w:t>
      </w:r>
      <w:r w:rsidRPr="00792C9E">
        <w:rPr>
          <w:rFonts w:ascii="Cambria" w:hAnsi="Cambria"/>
          <w:sz w:val="20"/>
          <w:szCs w:val="20"/>
        </w:rPr>
        <w:t xml:space="preserve">projection de </w:t>
      </w:r>
      <w:r w:rsidR="0071071D" w:rsidRPr="00792C9E">
        <w:rPr>
          <w:rFonts w:ascii="Cambria" w:hAnsi="Cambria"/>
          <w:sz w:val="20"/>
          <w:szCs w:val="20"/>
        </w:rPr>
        <w:t>XX</w:t>
      </w:r>
      <w:r w:rsidRPr="00792C9E">
        <w:rPr>
          <w:rFonts w:ascii="Cambria" w:hAnsi="Cambria"/>
          <w:sz w:val="20"/>
          <w:szCs w:val="20"/>
        </w:rPr>
        <w:t xml:space="preserve"> ans (telle que déterminée par le SCRS) ; </w:t>
      </w:r>
    </w:p>
    <w:p w14:paraId="25E33D52" w14:textId="77777777" w:rsidR="00FC62BD" w:rsidRPr="00792C9E" w:rsidRDefault="00FC62BD">
      <w:pPr>
        <w:pBdr>
          <w:top w:val="nil"/>
          <w:left w:val="nil"/>
          <w:bottom w:val="nil"/>
          <w:right w:val="nil"/>
          <w:between w:val="nil"/>
        </w:pBdr>
        <w:ind w:left="851"/>
        <w:jc w:val="both"/>
        <w:rPr>
          <w:rFonts w:ascii="Cambria" w:eastAsia="Cambria" w:hAnsi="Cambria" w:cs="Cambria"/>
          <w:color w:val="000000"/>
          <w:sz w:val="20"/>
          <w:szCs w:val="20"/>
        </w:rPr>
      </w:pPr>
    </w:p>
    <w:p w14:paraId="4533DBE9" w14:textId="27D99A37" w:rsidR="00E012CA" w:rsidRPr="00792C9E" w:rsidRDefault="00FE4D21" w:rsidP="00380D63">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92C9E">
        <w:rPr>
          <w:rFonts w:ascii="Cambria" w:hAnsi="Cambria"/>
          <w:color w:val="000000"/>
          <w:sz w:val="20"/>
          <w:szCs w:val="20"/>
        </w:rPr>
        <w:t xml:space="preserve">Sécurité : </w:t>
      </w:r>
      <w:r w:rsidRPr="00792C9E">
        <w:rPr>
          <w:rFonts w:ascii="Cambria" w:hAnsi="Cambria"/>
          <w:sz w:val="20"/>
          <w:szCs w:val="20"/>
        </w:rPr>
        <w:t>Le thon obèse, l'albacore et le stock de listao de l’Est devraient chacun avoir une probabilité de 15</w:t>
      </w:r>
      <w:r w:rsidR="00005E4E" w:rsidRPr="00792C9E">
        <w:rPr>
          <w:rFonts w:ascii="Cambria" w:hAnsi="Cambria"/>
          <w:sz w:val="20"/>
          <w:szCs w:val="20"/>
        </w:rPr>
        <w:t> </w:t>
      </w:r>
      <w:r w:rsidRPr="00792C9E">
        <w:rPr>
          <w:rFonts w:ascii="Cambria" w:hAnsi="Cambria"/>
          <w:sz w:val="20"/>
          <w:szCs w:val="20"/>
        </w:rPr>
        <w:t xml:space="preserve">% ou moins de tomber en dessous du point de référence limite à tout moment au cours de la période de projection de </w:t>
      </w:r>
      <w:r w:rsidR="00DE0CDD" w:rsidRPr="00792C9E">
        <w:rPr>
          <w:rFonts w:ascii="Cambria" w:hAnsi="Cambria"/>
          <w:sz w:val="20"/>
          <w:szCs w:val="20"/>
        </w:rPr>
        <w:t>XX</w:t>
      </w:r>
      <w:r w:rsidRPr="00792C9E">
        <w:rPr>
          <w:rFonts w:ascii="Cambria" w:hAnsi="Cambria"/>
          <w:sz w:val="20"/>
          <w:szCs w:val="20"/>
        </w:rPr>
        <w:t xml:space="preserve"> années ; </w:t>
      </w:r>
    </w:p>
    <w:p w14:paraId="00000024" w14:textId="77777777" w:rsidR="009F6F25" w:rsidRPr="00792C9E" w:rsidRDefault="009F6F25" w:rsidP="00380D63">
      <w:pPr>
        <w:pBdr>
          <w:top w:val="nil"/>
          <w:left w:val="nil"/>
          <w:bottom w:val="nil"/>
          <w:right w:val="nil"/>
          <w:between w:val="nil"/>
        </w:pBdr>
        <w:jc w:val="both"/>
        <w:rPr>
          <w:rFonts w:ascii="Cambria" w:eastAsia="Cambria" w:hAnsi="Cambria" w:cs="Cambria"/>
          <w:color w:val="000000"/>
          <w:sz w:val="20"/>
          <w:szCs w:val="20"/>
        </w:rPr>
      </w:pPr>
    </w:p>
    <w:p w14:paraId="00000026" w14:textId="7E58D611" w:rsidR="009F6F25" w:rsidRPr="00792C9E" w:rsidRDefault="00FE4D21" w:rsidP="00AA22C3">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792C9E">
        <w:rPr>
          <w:rFonts w:ascii="Cambria" w:hAnsi="Cambria"/>
          <w:color w:val="000000"/>
          <w:sz w:val="20"/>
          <w:szCs w:val="20"/>
        </w:rPr>
        <w:lastRenderedPageBreak/>
        <w:t xml:space="preserve">Production : </w:t>
      </w:r>
      <w:r w:rsidRPr="00792C9E">
        <w:rPr>
          <w:rFonts w:ascii="Cambria" w:hAnsi="Cambria"/>
          <w:sz w:val="20"/>
          <w:szCs w:val="20"/>
        </w:rPr>
        <w:t xml:space="preserve">Les </w:t>
      </w:r>
      <w:r w:rsidRPr="00792C9E">
        <w:rPr>
          <w:rFonts w:ascii="Cambria" w:hAnsi="Cambria"/>
          <w:color w:val="000000"/>
          <w:sz w:val="20"/>
          <w:szCs w:val="20"/>
        </w:rPr>
        <w:t xml:space="preserve">niveaux de capture globaux devraient être maximisés dans la mesure du possible </w:t>
      </w:r>
      <w:r w:rsidRPr="00792C9E">
        <w:rPr>
          <w:rFonts w:ascii="Cambria" w:hAnsi="Cambria"/>
          <w:sz w:val="20"/>
          <w:szCs w:val="20"/>
        </w:rPr>
        <w:t>en ce qui concerne</w:t>
      </w:r>
      <w:r w:rsidRPr="00792C9E">
        <w:rPr>
          <w:rFonts w:ascii="Cambria" w:hAnsi="Cambria"/>
          <w:color w:val="000000"/>
          <w:sz w:val="20"/>
          <w:szCs w:val="20"/>
        </w:rPr>
        <w:t xml:space="preserve"> </w:t>
      </w:r>
      <w:r w:rsidRPr="00792C9E">
        <w:rPr>
          <w:rFonts w:ascii="Cambria" w:hAnsi="Cambria"/>
          <w:sz w:val="20"/>
          <w:szCs w:val="20"/>
        </w:rPr>
        <w:t>chaque stock de thon obèse, d’albacore et de listao de l’Est</w:t>
      </w:r>
      <w:r w:rsidR="0071071D" w:rsidRPr="00792C9E">
        <w:rPr>
          <w:rStyle w:val="FootnoteReference"/>
          <w:rFonts w:ascii="Cambria" w:hAnsi="Cambria"/>
          <w:sz w:val="20"/>
          <w:szCs w:val="20"/>
        </w:rPr>
        <w:footnoteReference w:id="2"/>
      </w:r>
      <w:r w:rsidR="0071071D" w:rsidRPr="00792C9E">
        <w:rPr>
          <w:rFonts w:ascii="Cambria" w:hAnsi="Cambria"/>
          <w:sz w:val="20"/>
          <w:szCs w:val="20"/>
        </w:rPr>
        <w:t> ;</w:t>
      </w:r>
    </w:p>
    <w:p w14:paraId="5ED80828" w14:textId="77777777" w:rsidR="0071071D" w:rsidRPr="00792C9E" w:rsidRDefault="0071071D" w:rsidP="0071071D">
      <w:pPr>
        <w:pBdr>
          <w:top w:val="nil"/>
          <w:left w:val="nil"/>
          <w:bottom w:val="nil"/>
          <w:right w:val="nil"/>
          <w:between w:val="nil"/>
        </w:pBdr>
        <w:jc w:val="both"/>
        <w:rPr>
          <w:rFonts w:ascii="Cambria" w:eastAsia="Cambria" w:hAnsi="Cambria" w:cs="Cambria"/>
          <w:color w:val="000000"/>
          <w:sz w:val="20"/>
          <w:szCs w:val="20"/>
        </w:rPr>
      </w:pPr>
    </w:p>
    <w:p w14:paraId="0C15F77F" w14:textId="497617F8" w:rsidR="00E94982" w:rsidRPr="00792C9E" w:rsidRDefault="00FE4D21" w:rsidP="001526F7">
      <w:pPr>
        <w:numPr>
          <w:ilvl w:val="1"/>
          <w:numId w:val="1"/>
        </w:numPr>
        <w:pBdr>
          <w:top w:val="nil"/>
          <w:left w:val="nil"/>
          <w:bottom w:val="nil"/>
          <w:right w:val="nil"/>
          <w:between w:val="nil"/>
        </w:pBdr>
        <w:ind w:left="851" w:hanging="425"/>
        <w:jc w:val="both"/>
        <w:rPr>
          <w:rFonts w:ascii="Cambria" w:eastAsia="Cambria" w:hAnsi="Cambria"/>
          <w:sz w:val="20"/>
          <w:szCs w:val="20"/>
        </w:rPr>
      </w:pPr>
      <w:r w:rsidRPr="00792C9E">
        <w:rPr>
          <w:rFonts w:ascii="Cambria" w:hAnsi="Cambria"/>
          <w:color w:val="000000"/>
          <w:sz w:val="20"/>
          <w:szCs w:val="20"/>
        </w:rPr>
        <w:t xml:space="preserve">Stabilité : </w:t>
      </w:r>
      <w:r w:rsidRPr="00792C9E">
        <w:rPr>
          <w:rFonts w:ascii="Cambria" w:hAnsi="Cambria"/>
          <w:sz w:val="20"/>
          <w:szCs w:val="20"/>
        </w:rPr>
        <w:t>Toute modification du</w:t>
      </w:r>
      <w:r w:rsidR="002F6F31" w:rsidRPr="00792C9E">
        <w:rPr>
          <w:rFonts w:ascii="Cambria" w:hAnsi="Cambria"/>
          <w:sz w:val="20"/>
          <w:szCs w:val="20"/>
        </w:rPr>
        <w:t xml:space="preserve"> total admissible de captures </w:t>
      </w:r>
      <w:r w:rsidRPr="00792C9E">
        <w:rPr>
          <w:rFonts w:ascii="Cambria" w:hAnsi="Cambria"/>
          <w:sz w:val="20"/>
          <w:szCs w:val="20"/>
        </w:rPr>
        <w:t>(</w:t>
      </w:r>
      <w:r w:rsidR="00064DDE" w:rsidRPr="00792C9E">
        <w:rPr>
          <w:rFonts w:ascii="Cambria" w:hAnsi="Cambria"/>
          <w:sz w:val="20"/>
          <w:szCs w:val="20"/>
        </w:rPr>
        <w:t>« </w:t>
      </w:r>
      <w:r w:rsidRPr="00792C9E">
        <w:rPr>
          <w:rFonts w:ascii="Cambria" w:hAnsi="Cambria"/>
          <w:sz w:val="20"/>
          <w:szCs w:val="20"/>
        </w:rPr>
        <w:t>TAC</w:t>
      </w:r>
      <w:r w:rsidR="00064DDE" w:rsidRPr="00792C9E">
        <w:rPr>
          <w:rFonts w:ascii="Cambria" w:hAnsi="Cambria"/>
          <w:sz w:val="20"/>
          <w:szCs w:val="20"/>
        </w:rPr>
        <w:t> »</w:t>
      </w:r>
      <w:r w:rsidRPr="00792C9E">
        <w:rPr>
          <w:rFonts w:ascii="Cambria" w:hAnsi="Cambria"/>
          <w:sz w:val="20"/>
          <w:szCs w:val="20"/>
        </w:rPr>
        <w:t>) entre des périodes de gestion consécutives pour chaque stock de thon obèse, d'albacore et de listao de l’Est ne devrait pas dépasser une augmentation de 25</w:t>
      </w:r>
      <w:r w:rsidR="009411CA" w:rsidRPr="00792C9E">
        <w:rPr>
          <w:rFonts w:ascii="Cambria" w:hAnsi="Cambria"/>
          <w:sz w:val="20"/>
          <w:szCs w:val="20"/>
        </w:rPr>
        <w:t> </w:t>
      </w:r>
      <w:r w:rsidRPr="00792C9E">
        <w:rPr>
          <w:rFonts w:ascii="Cambria" w:hAnsi="Cambria"/>
          <w:sz w:val="20"/>
          <w:szCs w:val="20"/>
        </w:rPr>
        <w:t xml:space="preserve">% ou une diminution de </w:t>
      </w:r>
      <w:r w:rsidR="0071071D" w:rsidRPr="00792C9E">
        <w:rPr>
          <w:rFonts w:ascii="Cambria" w:hAnsi="Cambria"/>
          <w:sz w:val="20"/>
          <w:szCs w:val="20"/>
        </w:rPr>
        <w:t>2</w:t>
      </w:r>
      <w:r w:rsidRPr="00792C9E">
        <w:rPr>
          <w:rFonts w:ascii="Cambria" w:hAnsi="Cambria"/>
          <w:sz w:val="20"/>
          <w:szCs w:val="20"/>
        </w:rPr>
        <w:t>5</w:t>
      </w:r>
      <w:r w:rsidR="00DE0CDD" w:rsidRPr="00792C9E">
        <w:rPr>
          <w:rFonts w:ascii="Cambria" w:hAnsi="Cambria"/>
          <w:sz w:val="20"/>
          <w:szCs w:val="20"/>
        </w:rPr>
        <w:t> </w:t>
      </w:r>
      <w:r w:rsidRPr="00792C9E">
        <w:rPr>
          <w:rFonts w:ascii="Cambria" w:hAnsi="Cambria"/>
          <w:sz w:val="20"/>
          <w:szCs w:val="20"/>
        </w:rPr>
        <w:t>%.</w:t>
      </w:r>
    </w:p>
    <w:p w14:paraId="0000002A" w14:textId="77777777" w:rsidR="009F6F25" w:rsidRPr="00792C9E" w:rsidRDefault="009F6F25">
      <w:pPr>
        <w:jc w:val="both"/>
        <w:rPr>
          <w:rFonts w:ascii="Cambria" w:eastAsia="Cambria" w:hAnsi="Cambria" w:cs="Cambria"/>
          <w:sz w:val="20"/>
          <w:szCs w:val="20"/>
        </w:rPr>
      </w:pPr>
    </w:p>
    <w:p w14:paraId="3BC2E78A" w14:textId="7943EBC9" w:rsidR="00E667AE" w:rsidRPr="00792C9E" w:rsidRDefault="00151EF6" w:rsidP="00151EF6">
      <w:pPr>
        <w:pBdr>
          <w:top w:val="nil"/>
          <w:left w:val="nil"/>
          <w:bottom w:val="nil"/>
          <w:right w:val="nil"/>
          <w:between w:val="nil"/>
        </w:pBdr>
        <w:ind w:left="426" w:hanging="426"/>
        <w:jc w:val="both"/>
        <w:rPr>
          <w:rFonts w:ascii="Cambria" w:eastAsia="Cambria" w:hAnsi="Cambria" w:cs="Cambria"/>
          <w:color w:val="000000"/>
          <w:sz w:val="20"/>
          <w:szCs w:val="20"/>
        </w:rPr>
      </w:pPr>
      <w:bookmarkStart w:id="3" w:name="_Hlk183516307"/>
      <w:r w:rsidRPr="00792C9E">
        <w:rPr>
          <w:rFonts w:ascii="Cambria" w:hAnsi="Cambria"/>
          <w:color w:val="000000"/>
          <w:sz w:val="20"/>
          <w:szCs w:val="20"/>
        </w:rPr>
        <w:t xml:space="preserve">4. </w:t>
      </w:r>
      <w:r w:rsidRPr="00792C9E">
        <w:rPr>
          <w:rFonts w:ascii="Cambria" w:hAnsi="Cambria"/>
          <w:color w:val="000000"/>
          <w:sz w:val="20"/>
          <w:szCs w:val="20"/>
        </w:rPr>
        <w:tab/>
      </w:r>
      <w:r w:rsidR="00FE4D21" w:rsidRPr="00792C9E">
        <w:rPr>
          <w:rFonts w:ascii="Cambria" w:hAnsi="Cambria"/>
          <w:color w:val="000000"/>
          <w:sz w:val="20"/>
          <w:szCs w:val="20"/>
        </w:rPr>
        <w:t>Dans le cadre de l'élaboration des modèles opérationnels pour la MSE multi-stocks pour les thonidés tropicaux, la Commission</w:t>
      </w:r>
      <w:r w:rsidR="00FE4D21" w:rsidRPr="00792C9E">
        <w:rPr>
          <w:rFonts w:ascii="Cambria" w:hAnsi="Cambria"/>
          <w:sz w:val="20"/>
          <w:szCs w:val="20"/>
        </w:rPr>
        <w:t xml:space="preserve"> </w:t>
      </w:r>
      <w:r w:rsidR="00064DDE" w:rsidRPr="00792C9E">
        <w:rPr>
          <w:rFonts w:ascii="Cambria" w:hAnsi="Cambria"/>
          <w:color w:val="000000"/>
          <w:sz w:val="20"/>
          <w:szCs w:val="20"/>
        </w:rPr>
        <w:t>demande au</w:t>
      </w:r>
      <w:r w:rsidR="00FE4D21" w:rsidRPr="00792C9E">
        <w:rPr>
          <w:rFonts w:ascii="Cambria" w:hAnsi="Cambria"/>
          <w:color w:val="000000"/>
          <w:sz w:val="20"/>
          <w:szCs w:val="20"/>
        </w:rPr>
        <w:t xml:space="preserve"> SCRS, conformément au </w:t>
      </w:r>
      <w:r w:rsidR="00FE4D21" w:rsidRPr="00792C9E">
        <w:rPr>
          <w:rFonts w:ascii="Cambria" w:hAnsi="Cambria"/>
          <w:sz w:val="20"/>
          <w:szCs w:val="20"/>
        </w:rPr>
        <w:t>paragraph</w:t>
      </w:r>
      <w:r w:rsidR="00FE4D21" w:rsidRPr="00D31240">
        <w:rPr>
          <w:rFonts w:ascii="Cambria" w:hAnsi="Cambria"/>
          <w:sz w:val="20"/>
          <w:szCs w:val="20"/>
        </w:rPr>
        <w:t xml:space="preserve">e </w:t>
      </w:r>
      <w:r w:rsidR="00872789" w:rsidRPr="00D31240">
        <w:rPr>
          <w:rFonts w:ascii="Cambria" w:hAnsi="Cambria"/>
          <w:sz w:val="20"/>
          <w:szCs w:val="20"/>
        </w:rPr>
        <w:t>75</w:t>
      </w:r>
      <w:r w:rsidR="00FE4D21" w:rsidRPr="00D31240">
        <w:rPr>
          <w:rFonts w:ascii="Cambria" w:hAnsi="Cambria"/>
          <w:sz w:val="20"/>
          <w:szCs w:val="20"/>
        </w:rPr>
        <w:t xml:space="preserve"> de</w:t>
      </w:r>
      <w:r w:rsidR="00FE4D21" w:rsidRPr="00792C9E">
        <w:rPr>
          <w:rFonts w:ascii="Cambria" w:hAnsi="Cambria"/>
          <w:sz w:val="20"/>
          <w:szCs w:val="20"/>
        </w:rPr>
        <w:t xml:space="preserve"> la</w:t>
      </w:r>
      <w:r w:rsidR="00FE4D21" w:rsidRPr="00792C9E">
        <w:rPr>
          <w:rFonts w:ascii="Cambria" w:hAnsi="Cambria"/>
          <w:i/>
          <w:iCs/>
          <w:sz w:val="20"/>
          <w:szCs w:val="20"/>
        </w:rPr>
        <w:t xml:space="preserve"> </w:t>
      </w:r>
      <w:r w:rsidR="00923DB2" w:rsidRPr="00792C9E">
        <w:rPr>
          <w:rFonts w:ascii="Cambria" w:hAnsi="Cambria"/>
          <w:i/>
          <w:iCs/>
          <w:sz w:val="20"/>
          <w:szCs w:val="20"/>
        </w:rPr>
        <w:t>Recommandation de l’ICCAT remplaçant la Recommandation 22-01 sur un programme pluriannuel de conservation et de gestion pour les thonidés tropicaux</w:t>
      </w:r>
      <w:r w:rsidR="002F3CB9" w:rsidRPr="00792C9E">
        <w:rPr>
          <w:rFonts w:ascii="Cambria" w:hAnsi="Cambria"/>
          <w:sz w:val="20"/>
          <w:szCs w:val="20"/>
        </w:rPr>
        <w:t xml:space="preserve"> (</w:t>
      </w:r>
      <w:r w:rsidR="00FE4D21" w:rsidRPr="00792C9E">
        <w:rPr>
          <w:rFonts w:ascii="Cambria" w:hAnsi="Cambria"/>
          <w:color w:val="000000"/>
          <w:sz w:val="20"/>
          <w:szCs w:val="20"/>
        </w:rPr>
        <w:t xml:space="preserve">Rec. </w:t>
      </w:r>
      <w:r w:rsidR="00923DB2" w:rsidRPr="00792C9E">
        <w:rPr>
          <w:rFonts w:ascii="Cambria" w:hAnsi="Cambria"/>
          <w:color w:val="000000"/>
          <w:sz w:val="20"/>
          <w:szCs w:val="20"/>
        </w:rPr>
        <w:t>24</w:t>
      </w:r>
      <w:r w:rsidR="00FE4D21" w:rsidRPr="00792C9E">
        <w:rPr>
          <w:rFonts w:ascii="Cambria" w:hAnsi="Cambria"/>
          <w:color w:val="000000"/>
          <w:sz w:val="20"/>
          <w:szCs w:val="20"/>
        </w:rPr>
        <w:t>-01</w:t>
      </w:r>
      <w:r w:rsidR="002F3CB9" w:rsidRPr="00792C9E">
        <w:rPr>
          <w:rFonts w:ascii="Cambria" w:hAnsi="Cambria"/>
          <w:color w:val="000000"/>
          <w:sz w:val="20"/>
          <w:szCs w:val="20"/>
        </w:rPr>
        <w:t>)</w:t>
      </w:r>
      <w:r w:rsidR="00064DDE" w:rsidRPr="00792C9E">
        <w:rPr>
          <w:rFonts w:ascii="Cambria" w:hAnsi="Cambria"/>
          <w:color w:val="000000"/>
          <w:sz w:val="20"/>
          <w:szCs w:val="20"/>
        </w:rPr>
        <w:t>, d’</w:t>
      </w:r>
      <w:r w:rsidR="00FE4D21" w:rsidRPr="00792C9E">
        <w:rPr>
          <w:rFonts w:ascii="Cambria" w:hAnsi="Cambria"/>
          <w:color w:val="000000"/>
          <w:sz w:val="20"/>
          <w:szCs w:val="20"/>
        </w:rPr>
        <w:t xml:space="preserve">évaluer les impacts différentiels des opérations de pêche </w:t>
      </w:r>
      <w:r w:rsidR="0071071D" w:rsidRPr="00792C9E">
        <w:rPr>
          <w:rFonts w:ascii="Cambria" w:hAnsi="Cambria"/>
          <w:color w:val="000000"/>
          <w:sz w:val="20"/>
          <w:szCs w:val="20"/>
        </w:rPr>
        <w:t>(</w:t>
      </w:r>
      <w:r w:rsidR="00DE0CDD" w:rsidRPr="00792C9E">
        <w:rPr>
          <w:rFonts w:ascii="Cambria" w:hAnsi="Cambria"/>
          <w:color w:val="000000"/>
          <w:sz w:val="20"/>
          <w:szCs w:val="20"/>
        </w:rPr>
        <w:t xml:space="preserve">par exemple, la </w:t>
      </w:r>
      <w:r w:rsidR="0071071D" w:rsidRPr="00792C9E">
        <w:rPr>
          <w:rFonts w:ascii="Cambria" w:hAnsi="Cambria"/>
          <w:color w:val="000000"/>
          <w:sz w:val="20"/>
          <w:szCs w:val="20"/>
        </w:rPr>
        <w:t xml:space="preserve">senne, </w:t>
      </w:r>
      <w:r w:rsidR="00DE0CDD" w:rsidRPr="00792C9E">
        <w:rPr>
          <w:rFonts w:ascii="Cambria" w:hAnsi="Cambria"/>
          <w:color w:val="000000"/>
          <w:sz w:val="20"/>
          <w:szCs w:val="20"/>
        </w:rPr>
        <w:t xml:space="preserve">la </w:t>
      </w:r>
      <w:r w:rsidR="0071071D" w:rsidRPr="00792C9E">
        <w:rPr>
          <w:rFonts w:ascii="Cambria" w:hAnsi="Cambria"/>
          <w:color w:val="000000"/>
          <w:sz w:val="20"/>
          <w:szCs w:val="20"/>
        </w:rPr>
        <w:t xml:space="preserve">palangre et </w:t>
      </w:r>
      <w:r w:rsidR="00DE0CDD" w:rsidRPr="00792C9E">
        <w:rPr>
          <w:rFonts w:ascii="Cambria" w:hAnsi="Cambria"/>
          <w:color w:val="000000"/>
          <w:sz w:val="20"/>
          <w:szCs w:val="20"/>
        </w:rPr>
        <w:t xml:space="preserve">la </w:t>
      </w:r>
      <w:r w:rsidR="0071071D" w:rsidRPr="00792C9E">
        <w:rPr>
          <w:rFonts w:ascii="Cambria" w:hAnsi="Cambria"/>
          <w:color w:val="000000"/>
          <w:sz w:val="20"/>
          <w:szCs w:val="20"/>
        </w:rPr>
        <w:t xml:space="preserve">canne) </w:t>
      </w:r>
      <w:r w:rsidR="00E667AE" w:rsidRPr="00792C9E">
        <w:rPr>
          <w:rFonts w:ascii="Cambria" w:hAnsi="Cambria"/>
          <w:color w:val="000000"/>
          <w:sz w:val="20"/>
          <w:szCs w:val="20"/>
        </w:rPr>
        <w:t>sur l'ensemble d</w:t>
      </w:r>
      <w:r w:rsidR="00D42A44" w:rsidRPr="00792C9E">
        <w:rPr>
          <w:rFonts w:ascii="Cambria" w:hAnsi="Cambria"/>
          <w:color w:val="000000"/>
          <w:sz w:val="20"/>
          <w:szCs w:val="20"/>
        </w:rPr>
        <w:t>e la gamme du</w:t>
      </w:r>
      <w:r w:rsidR="00E667AE" w:rsidRPr="00792C9E">
        <w:rPr>
          <w:rFonts w:ascii="Cambria" w:hAnsi="Cambria"/>
          <w:color w:val="000000"/>
          <w:sz w:val="20"/>
          <w:szCs w:val="20"/>
        </w:rPr>
        <w:t xml:space="preserve"> stock, y compris sur la mortalité des juvéniles et la production au niveau de la PME, ainsi que d'autres impacts de ces pêcheries, y compris les impacts sur les prises accessoires, les impacts sur l'écosystème et les impacts socio-économiques.</w:t>
      </w:r>
    </w:p>
    <w:bookmarkEnd w:id="3"/>
    <w:p w14:paraId="0000002C" w14:textId="77777777" w:rsidR="009F6F25" w:rsidRPr="00792C9E" w:rsidRDefault="009F6F25">
      <w:pPr>
        <w:pBdr>
          <w:top w:val="nil"/>
          <w:left w:val="nil"/>
          <w:bottom w:val="nil"/>
          <w:right w:val="nil"/>
          <w:between w:val="nil"/>
        </w:pBdr>
        <w:ind w:left="720"/>
        <w:jc w:val="both"/>
        <w:rPr>
          <w:rFonts w:ascii="Cambria" w:eastAsia="Cambria" w:hAnsi="Cambria" w:cs="Cambria"/>
          <w:color w:val="000000"/>
          <w:sz w:val="20"/>
          <w:szCs w:val="20"/>
        </w:rPr>
      </w:pPr>
    </w:p>
    <w:p w14:paraId="0000002D" w14:textId="7C72E661" w:rsidR="009F6F25" w:rsidRPr="00792C9E" w:rsidRDefault="00151EF6" w:rsidP="00151EF6">
      <w:pPr>
        <w:pBdr>
          <w:top w:val="nil"/>
          <w:left w:val="nil"/>
          <w:bottom w:val="nil"/>
          <w:right w:val="nil"/>
          <w:between w:val="nil"/>
        </w:pBdr>
        <w:ind w:left="426" w:hanging="426"/>
        <w:jc w:val="both"/>
        <w:rPr>
          <w:rFonts w:ascii="Cambria" w:eastAsia="Cambria" w:hAnsi="Cambria" w:cs="Cambria"/>
          <w:color w:val="000000"/>
          <w:sz w:val="20"/>
          <w:szCs w:val="20"/>
        </w:rPr>
      </w:pPr>
      <w:r w:rsidRPr="00792C9E">
        <w:rPr>
          <w:rFonts w:ascii="Cambria" w:hAnsi="Cambria"/>
          <w:color w:val="000000"/>
          <w:sz w:val="20"/>
          <w:szCs w:val="20"/>
        </w:rPr>
        <w:t xml:space="preserve">5. </w:t>
      </w:r>
      <w:r w:rsidRPr="00792C9E">
        <w:rPr>
          <w:rFonts w:ascii="Cambria" w:hAnsi="Cambria"/>
          <w:color w:val="000000"/>
          <w:sz w:val="20"/>
          <w:szCs w:val="20"/>
        </w:rPr>
        <w:tab/>
      </w:r>
      <w:r w:rsidR="001526F7" w:rsidRPr="00792C9E">
        <w:rPr>
          <w:rFonts w:ascii="Cambria" w:hAnsi="Cambria"/>
          <w:color w:val="000000"/>
          <w:sz w:val="20"/>
          <w:szCs w:val="20"/>
        </w:rPr>
        <w:t>Ces objectifs de gestion opérationnels provisoires seront transmis au SCRS pour examen et évaluation dans le cadre du processus de la MSE.</w:t>
      </w:r>
    </w:p>
    <w:p w14:paraId="0000002E" w14:textId="77777777" w:rsidR="009F6F25" w:rsidRPr="00792C9E" w:rsidRDefault="009F6F25">
      <w:pPr>
        <w:jc w:val="both"/>
        <w:rPr>
          <w:rFonts w:ascii="Cambria" w:eastAsia="Cambria" w:hAnsi="Cambria" w:cs="Cambria"/>
          <w:sz w:val="20"/>
          <w:szCs w:val="20"/>
        </w:rPr>
      </w:pPr>
    </w:p>
    <w:p w14:paraId="33B44D92" w14:textId="6879D58B" w:rsidR="0071071D" w:rsidRPr="00792C9E" w:rsidRDefault="00151EF6" w:rsidP="00151EF6">
      <w:pPr>
        <w:pBdr>
          <w:top w:val="nil"/>
          <w:left w:val="nil"/>
          <w:bottom w:val="nil"/>
          <w:right w:val="nil"/>
          <w:between w:val="nil"/>
        </w:pBdr>
        <w:ind w:left="426" w:hanging="426"/>
        <w:jc w:val="both"/>
        <w:rPr>
          <w:rFonts w:ascii="Cambria" w:hAnsi="Cambria"/>
          <w:color w:val="000000"/>
          <w:sz w:val="20"/>
          <w:szCs w:val="20"/>
        </w:rPr>
      </w:pPr>
      <w:r w:rsidRPr="00792C9E">
        <w:rPr>
          <w:rFonts w:ascii="Cambria" w:hAnsi="Cambria"/>
          <w:color w:val="000000"/>
          <w:sz w:val="20"/>
          <w:szCs w:val="20"/>
        </w:rPr>
        <w:t xml:space="preserve">6. </w:t>
      </w:r>
      <w:r w:rsidRPr="00792C9E">
        <w:rPr>
          <w:rFonts w:ascii="Cambria" w:hAnsi="Cambria"/>
          <w:color w:val="000000"/>
          <w:sz w:val="20"/>
          <w:szCs w:val="20"/>
        </w:rPr>
        <w:tab/>
      </w:r>
      <w:r w:rsidR="00FE4D21" w:rsidRPr="00792C9E">
        <w:rPr>
          <w:rFonts w:ascii="Cambria" w:hAnsi="Cambria"/>
          <w:color w:val="000000"/>
          <w:sz w:val="20"/>
          <w:szCs w:val="20"/>
        </w:rPr>
        <w:t xml:space="preserve">La Sous-commission 1 formulera ses recommandations à la Commission pour examen afin de confirmer ou d’amender les objectifs de gestion pour le thon obèse, l’albacore et le stock oriental de listao de l'Atlantique, en tenant compte de la contribution du SCRS, dans le cadre de la sélection d'une procédure de gestion, à sa réunion annuelle de 2026, ou dès que possible par la suite. </w:t>
      </w:r>
      <w:r w:rsidR="0071071D" w:rsidRPr="00792C9E">
        <w:rPr>
          <w:rFonts w:ascii="Cambria" w:hAnsi="Cambria"/>
          <w:color w:val="000000"/>
          <w:sz w:val="20"/>
          <w:szCs w:val="20"/>
        </w:rPr>
        <w:t>La Sous-commission 1 devrait examiner s’il conviendrait que les objectifs de gestion soient les mêmes pour les trois stocks ou si une approche asymétrique pour chaque stock serait plus appropriée.</w:t>
      </w:r>
    </w:p>
    <w:p w14:paraId="00000030" w14:textId="77777777" w:rsidR="009F6F25" w:rsidRPr="00792C9E" w:rsidRDefault="009F6F25">
      <w:pPr>
        <w:pBdr>
          <w:top w:val="nil"/>
          <w:left w:val="nil"/>
          <w:bottom w:val="nil"/>
          <w:right w:val="nil"/>
          <w:between w:val="nil"/>
        </w:pBdr>
        <w:ind w:left="720"/>
        <w:jc w:val="both"/>
        <w:rPr>
          <w:rFonts w:ascii="Cambria" w:eastAsia="Cambria" w:hAnsi="Cambria" w:cs="Cambria"/>
          <w:color w:val="000000"/>
          <w:sz w:val="20"/>
          <w:szCs w:val="20"/>
        </w:rPr>
      </w:pPr>
    </w:p>
    <w:p w14:paraId="00000031" w14:textId="7EB12ACD" w:rsidR="009F6F25" w:rsidRPr="00792C9E" w:rsidRDefault="00151EF6" w:rsidP="00151EF6">
      <w:pPr>
        <w:pBdr>
          <w:top w:val="nil"/>
          <w:left w:val="nil"/>
          <w:bottom w:val="nil"/>
          <w:right w:val="nil"/>
          <w:between w:val="nil"/>
        </w:pBdr>
        <w:ind w:left="426" w:hanging="426"/>
        <w:jc w:val="both"/>
        <w:rPr>
          <w:rFonts w:ascii="Cambria" w:eastAsia="Cambria" w:hAnsi="Cambria" w:cs="Cambria"/>
          <w:color w:val="000000"/>
          <w:sz w:val="20"/>
          <w:szCs w:val="20"/>
        </w:rPr>
      </w:pPr>
      <w:r w:rsidRPr="00792C9E">
        <w:rPr>
          <w:rFonts w:ascii="Cambria" w:hAnsi="Cambria"/>
          <w:color w:val="000000"/>
          <w:sz w:val="20"/>
          <w:szCs w:val="20"/>
        </w:rPr>
        <w:t xml:space="preserve">7. </w:t>
      </w:r>
      <w:r w:rsidRPr="00792C9E">
        <w:rPr>
          <w:rFonts w:ascii="Cambria" w:hAnsi="Cambria"/>
          <w:color w:val="000000"/>
          <w:sz w:val="20"/>
          <w:szCs w:val="20"/>
        </w:rPr>
        <w:tab/>
      </w:r>
      <w:r w:rsidR="00471533" w:rsidRPr="00792C9E">
        <w:rPr>
          <w:rFonts w:ascii="Cambria" w:hAnsi="Cambria"/>
          <w:color w:val="000000"/>
          <w:sz w:val="20"/>
          <w:szCs w:val="20"/>
        </w:rPr>
        <w:t>La présente</w:t>
      </w:r>
      <w:r w:rsidR="00FE4D21" w:rsidRPr="00792C9E">
        <w:rPr>
          <w:rFonts w:ascii="Cambria" w:hAnsi="Cambria"/>
          <w:color w:val="000000"/>
          <w:sz w:val="20"/>
          <w:szCs w:val="20"/>
        </w:rPr>
        <w:t xml:space="preserve"> </w:t>
      </w:r>
      <w:r w:rsidR="00471533" w:rsidRPr="00792C9E">
        <w:rPr>
          <w:rFonts w:ascii="Cambria" w:hAnsi="Cambria"/>
          <w:color w:val="000000"/>
          <w:sz w:val="20"/>
          <w:szCs w:val="20"/>
        </w:rPr>
        <w:t>R</w:t>
      </w:r>
      <w:r w:rsidR="00FE4D21" w:rsidRPr="00792C9E">
        <w:rPr>
          <w:rFonts w:ascii="Cambria" w:hAnsi="Cambria"/>
          <w:color w:val="000000"/>
          <w:sz w:val="20"/>
          <w:szCs w:val="20"/>
        </w:rPr>
        <w:t>ésolution sera abrogée lors de l'adoption par la Commission des objectifs de gestion pour le thon obèse, l'albacore et le stock oriental de listao de l'Atlantique.</w:t>
      </w:r>
    </w:p>
    <w:p w14:paraId="00000032" w14:textId="77777777" w:rsidR="009F6F25" w:rsidRPr="00792C9E" w:rsidRDefault="009F6F25">
      <w:pPr>
        <w:pBdr>
          <w:top w:val="nil"/>
          <w:left w:val="nil"/>
          <w:bottom w:val="nil"/>
          <w:right w:val="nil"/>
          <w:between w:val="nil"/>
        </w:pBdr>
        <w:ind w:left="720"/>
        <w:jc w:val="both"/>
        <w:rPr>
          <w:rFonts w:ascii="Cambria" w:eastAsia="Cambria" w:hAnsi="Cambria" w:cs="Cambria"/>
          <w:color w:val="000000"/>
          <w:sz w:val="20"/>
          <w:szCs w:val="20"/>
        </w:rPr>
      </w:pPr>
    </w:p>
    <w:sectPr w:rsidR="009F6F25" w:rsidRPr="00792C9E">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0311" w14:textId="77777777" w:rsidR="000E2C77" w:rsidRDefault="000E2C77">
      <w:r>
        <w:separator/>
      </w:r>
    </w:p>
  </w:endnote>
  <w:endnote w:type="continuationSeparator" w:id="0">
    <w:p w14:paraId="585D3254" w14:textId="77777777" w:rsidR="000E2C77" w:rsidRDefault="000E2C77">
      <w:r>
        <w:continuationSeparator/>
      </w:r>
    </w:p>
  </w:endnote>
  <w:endnote w:type="continuationNotice" w:id="1">
    <w:p w14:paraId="3AD71B26" w14:textId="77777777" w:rsidR="000E2C77" w:rsidRDefault="000E2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149715"/>
      <w:docPartObj>
        <w:docPartGallery w:val="Page Numbers (Bottom of Page)"/>
        <w:docPartUnique/>
      </w:docPartObj>
    </w:sdtPr>
    <w:sdtEndPr>
      <w:rPr>
        <w:rFonts w:ascii="Cambria" w:hAnsi="Cambria"/>
        <w:noProof/>
        <w:sz w:val="20"/>
        <w:szCs w:val="20"/>
      </w:rPr>
    </w:sdtEndPr>
    <w:sdtContent>
      <w:p w14:paraId="2E2B278B" w14:textId="7D835D50" w:rsidR="004703A4" w:rsidRPr="0059732F" w:rsidRDefault="0059732F" w:rsidP="0059732F">
        <w:pPr>
          <w:pStyle w:val="Footer"/>
          <w:jc w:val="center"/>
          <w:rPr>
            <w:rFonts w:ascii="Cambria" w:hAnsi="Cambria"/>
            <w:sz w:val="20"/>
            <w:szCs w:val="20"/>
          </w:rPr>
        </w:pPr>
        <w:r w:rsidRPr="0059732F">
          <w:rPr>
            <w:rFonts w:ascii="Cambria" w:hAnsi="Cambria"/>
            <w:sz w:val="20"/>
            <w:szCs w:val="20"/>
          </w:rPr>
          <w:fldChar w:fldCharType="begin"/>
        </w:r>
        <w:r w:rsidRPr="0059732F">
          <w:rPr>
            <w:rFonts w:ascii="Cambria" w:hAnsi="Cambria"/>
            <w:sz w:val="20"/>
            <w:szCs w:val="20"/>
          </w:rPr>
          <w:instrText xml:space="preserve"> PAGE   \* MERGEFORMAT </w:instrText>
        </w:r>
        <w:r w:rsidRPr="0059732F">
          <w:rPr>
            <w:rFonts w:ascii="Cambria" w:hAnsi="Cambria"/>
            <w:sz w:val="20"/>
            <w:szCs w:val="20"/>
          </w:rPr>
          <w:fldChar w:fldCharType="separate"/>
        </w:r>
        <w:r w:rsidRPr="0059732F">
          <w:rPr>
            <w:rFonts w:ascii="Cambria" w:hAnsi="Cambria"/>
            <w:noProof/>
            <w:sz w:val="20"/>
            <w:szCs w:val="20"/>
          </w:rPr>
          <w:t>2</w:t>
        </w:r>
        <w:r w:rsidRPr="0059732F">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D33D" w14:textId="77777777" w:rsidR="000E2C77" w:rsidRDefault="000E2C77">
      <w:r>
        <w:separator/>
      </w:r>
    </w:p>
  </w:footnote>
  <w:footnote w:type="continuationSeparator" w:id="0">
    <w:p w14:paraId="6C0AAAB4" w14:textId="77777777" w:rsidR="000E2C77" w:rsidRDefault="000E2C77">
      <w:r>
        <w:continuationSeparator/>
      </w:r>
    </w:p>
  </w:footnote>
  <w:footnote w:type="continuationNotice" w:id="1">
    <w:p w14:paraId="707AF3A8" w14:textId="77777777" w:rsidR="000E2C77" w:rsidRDefault="000E2C77"/>
  </w:footnote>
  <w:footnote w:id="2">
    <w:p w14:paraId="311939D2" w14:textId="7F3BBFAC" w:rsidR="0071071D" w:rsidRPr="00B46B38" w:rsidRDefault="0071071D">
      <w:pPr>
        <w:pStyle w:val="FootnoteText"/>
        <w:rPr>
          <w:rFonts w:ascii="Cambria" w:hAnsi="Cambria"/>
          <w:sz w:val="16"/>
          <w:szCs w:val="16"/>
        </w:rPr>
      </w:pPr>
      <w:r w:rsidRPr="00B46B38">
        <w:rPr>
          <w:rStyle w:val="FootnoteReference"/>
          <w:rFonts w:ascii="Cambria" w:hAnsi="Cambria"/>
          <w:sz w:val="16"/>
          <w:szCs w:val="16"/>
        </w:rPr>
        <w:footnoteRef/>
      </w:r>
      <w:r w:rsidRPr="00B46B38">
        <w:rPr>
          <w:rFonts w:ascii="Cambria" w:hAnsi="Cambria"/>
          <w:sz w:val="16"/>
          <w:szCs w:val="16"/>
        </w:rPr>
        <w:t xml:space="preserve">  Le SCRS devra utilisera l</w:t>
      </w:r>
      <w:r w:rsidR="00194211" w:rsidRPr="00B46B38">
        <w:rPr>
          <w:rFonts w:ascii="Cambria" w:hAnsi="Cambria"/>
          <w:sz w:val="16"/>
          <w:szCs w:val="16"/>
        </w:rPr>
        <w:t>es</w:t>
      </w:r>
      <w:r w:rsidR="00E667AE" w:rsidRPr="00B46B38">
        <w:rPr>
          <w:rFonts w:ascii="Cambria" w:hAnsi="Cambria"/>
          <w:sz w:val="16"/>
          <w:szCs w:val="16"/>
        </w:rPr>
        <w:t xml:space="preserve"> production</w:t>
      </w:r>
      <w:r w:rsidR="00194211" w:rsidRPr="00B46B38">
        <w:rPr>
          <w:rFonts w:ascii="Cambria" w:hAnsi="Cambria"/>
          <w:sz w:val="16"/>
          <w:szCs w:val="16"/>
        </w:rPr>
        <w:t>s</w:t>
      </w:r>
      <w:r w:rsidR="00E667AE" w:rsidRPr="00B46B38">
        <w:rPr>
          <w:rFonts w:ascii="Cambria" w:hAnsi="Cambria"/>
          <w:sz w:val="16"/>
          <w:szCs w:val="16"/>
        </w:rPr>
        <w:t xml:space="preserve"> sur le</w:t>
      </w:r>
      <w:r w:rsidRPr="00B46B38">
        <w:rPr>
          <w:rFonts w:ascii="Cambria" w:hAnsi="Cambria"/>
          <w:sz w:val="16"/>
          <w:szCs w:val="16"/>
        </w:rPr>
        <w:t xml:space="preserve"> court terme (par exemple, 1-3 ans), </w:t>
      </w:r>
      <w:r w:rsidR="00DE0CDD" w:rsidRPr="00B46B38">
        <w:rPr>
          <w:rFonts w:ascii="Cambria" w:hAnsi="Cambria"/>
          <w:sz w:val="16"/>
          <w:szCs w:val="16"/>
        </w:rPr>
        <w:t xml:space="preserve">le </w:t>
      </w:r>
      <w:r w:rsidRPr="00B46B38">
        <w:rPr>
          <w:rFonts w:ascii="Cambria" w:hAnsi="Cambria"/>
          <w:sz w:val="16"/>
          <w:szCs w:val="16"/>
        </w:rPr>
        <w:t xml:space="preserve">moyen terme (par exemple, 4-10 ans) et </w:t>
      </w:r>
      <w:r w:rsidR="00DE0CDD" w:rsidRPr="00B46B38">
        <w:rPr>
          <w:rFonts w:ascii="Cambria" w:hAnsi="Cambria"/>
          <w:sz w:val="16"/>
          <w:szCs w:val="16"/>
        </w:rPr>
        <w:t xml:space="preserve">le </w:t>
      </w:r>
      <w:r w:rsidRPr="00B46B38">
        <w:rPr>
          <w:rFonts w:ascii="Cambria" w:hAnsi="Cambria"/>
          <w:sz w:val="16"/>
          <w:szCs w:val="16"/>
        </w:rPr>
        <w:t xml:space="preserve">long terme (par exemple, 11-20 ans) comme indicateurs de performance </w:t>
      </w:r>
      <w:r w:rsidR="00064DDE">
        <w:rPr>
          <w:rFonts w:ascii="Cambria" w:hAnsi="Cambria"/>
          <w:sz w:val="16"/>
          <w:szCs w:val="16"/>
        </w:rPr>
        <w:t>principaux</w:t>
      </w:r>
      <w:r w:rsidRPr="00B46B38">
        <w:rPr>
          <w:rFonts w:ascii="Cambria" w:hAnsi="Cambria"/>
          <w:sz w:val="16"/>
          <w:szCs w:val="16"/>
        </w:rPr>
        <w:t xml:space="preserve"> pour évaluer cet objectif de 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4DCD"/>
    <w:multiLevelType w:val="multilevel"/>
    <w:tmpl w:val="D5386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61936"/>
    <w:multiLevelType w:val="multilevel"/>
    <w:tmpl w:val="BEDA4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E2167"/>
    <w:multiLevelType w:val="hybridMultilevel"/>
    <w:tmpl w:val="A1A022C8"/>
    <w:lvl w:ilvl="0" w:tplc="D3502794">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41513453">
    <w:abstractNumId w:val="1"/>
  </w:num>
  <w:num w:numId="2" w16cid:durableId="675571053">
    <w:abstractNumId w:val="0"/>
  </w:num>
  <w:num w:numId="3" w16cid:durableId="3712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6F25"/>
    <w:rsid w:val="0000440C"/>
    <w:rsid w:val="00005E4E"/>
    <w:rsid w:val="0001501D"/>
    <w:rsid w:val="00046259"/>
    <w:rsid w:val="000501E1"/>
    <w:rsid w:val="000517CB"/>
    <w:rsid w:val="00064DDE"/>
    <w:rsid w:val="00081D36"/>
    <w:rsid w:val="00094490"/>
    <w:rsid w:val="000A16D2"/>
    <w:rsid w:val="000C1B8C"/>
    <w:rsid w:val="000E2C77"/>
    <w:rsid w:val="000F3F05"/>
    <w:rsid w:val="00122B92"/>
    <w:rsid w:val="0014531F"/>
    <w:rsid w:val="00151697"/>
    <w:rsid w:val="00151EF6"/>
    <w:rsid w:val="001526F7"/>
    <w:rsid w:val="00156E19"/>
    <w:rsid w:val="001738F5"/>
    <w:rsid w:val="00194211"/>
    <w:rsid w:val="001E3CDC"/>
    <w:rsid w:val="00211D15"/>
    <w:rsid w:val="0025459A"/>
    <w:rsid w:val="002571D2"/>
    <w:rsid w:val="002667B6"/>
    <w:rsid w:val="00292E9E"/>
    <w:rsid w:val="002A7095"/>
    <w:rsid w:val="002E2A6C"/>
    <w:rsid w:val="002F3CB9"/>
    <w:rsid w:val="002F6F31"/>
    <w:rsid w:val="00313A85"/>
    <w:rsid w:val="0033355F"/>
    <w:rsid w:val="003712FF"/>
    <w:rsid w:val="00380D63"/>
    <w:rsid w:val="0038251F"/>
    <w:rsid w:val="003A39B9"/>
    <w:rsid w:val="003C5C40"/>
    <w:rsid w:val="003D7270"/>
    <w:rsid w:val="004033BB"/>
    <w:rsid w:val="0042255D"/>
    <w:rsid w:val="00427992"/>
    <w:rsid w:val="0044474C"/>
    <w:rsid w:val="004703A4"/>
    <w:rsid w:val="00471533"/>
    <w:rsid w:val="00472545"/>
    <w:rsid w:val="004A0BBC"/>
    <w:rsid w:val="004C7420"/>
    <w:rsid w:val="004F04A1"/>
    <w:rsid w:val="004F4C9F"/>
    <w:rsid w:val="004F588F"/>
    <w:rsid w:val="00513C06"/>
    <w:rsid w:val="00515668"/>
    <w:rsid w:val="00525FF1"/>
    <w:rsid w:val="0053606B"/>
    <w:rsid w:val="00544D74"/>
    <w:rsid w:val="0059732F"/>
    <w:rsid w:val="005D094E"/>
    <w:rsid w:val="006002F9"/>
    <w:rsid w:val="0060709E"/>
    <w:rsid w:val="00630353"/>
    <w:rsid w:val="00654623"/>
    <w:rsid w:val="006570A3"/>
    <w:rsid w:val="00664C07"/>
    <w:rsid w:val="00671AF1"/>
    <w:rsid w:val="006B5C31"/>
    <w:rsid w:val="006D0819"/>
    <w:rsid w:val="0071071D"/>
    <w:rsid w:val="00713040"/>
    <w:rsid w:val="00723E58"/>
    <w:rsid w:val="00737B09"/>
    <w:rsid w:val="00763901"/>
    <w:rsid w:val="0078129F"/>
    <w:rsid w:val="007929D0"/>
    <w:rsid w:val="00792C9E"/>
    <w:rsid w:val="007A305E"/>
    <w:rsid w:val="007B03B8"/>
    <w:rsid w:val="007B0CAC"/>
    <w:rsid w:val="007B3886"/>
    <w:rsid w:val="007C1D94"/>
    <w:rsid w:val="007D461C"/>
    <w:rsid w:val="007E702A"/>
    <w:rsid w:val="007F2AF7"/>
    <w:rsid w:val="007F38DB"/>
    <w:rsid w:val="007F6D2B"/>
    <w:rsid w:val="00813CBD"/>
    <w:rsid w:val="008257EF"/>
    <w:rsid w:val="00851B96"/>
    <w:rsid w:val="008535CD"/>
    <w:rsid w:val="00856970"/>
    <w:rsid w:val="00866114"/>
    <w:rsid w:val="00872789"/>
    <w:rsid w:val="00874AC8"/>
    <w:rsid w:val="00892408"/>
    <w:rsid w:val="008A290D"/>
    <w:rsid w:val="008A7C4B"/>
    <w:rsid w:val="008B079A"/>
    <w:rsid w:val="008B4AA1"/>
    <w:rsid w:val="008B7275"/>
    <w:rsid w:val="008D1955"/>
    <w:rsid w:val="008E5ED3"/>
    <w:rsid w:val="008E7C9B"/>
    <w:rsid w:val="00923DB2"/>
    <w:rsid w:val="00927981"/>
    <w:rsid w:val="009411CA"/>
    <w:rsid w:val="009843C2"/>
    <w:rsid w:val="009A2327"/>
    <w:rsid w:val="009B1ACB"/>
    <w:rsid w:val="009F6F25"/>
    <w:rsid w:val="00A40721"/>
    <w:rsid w:val="00A53AF6"/>
    <w:rsid w:val="00A62B3D"/>
    <w:rsid w:val="00A82E35"/>
    <w:rsid w:val="00AA476F"/>
    <w:rsid w:val="00AA5159"/>
    <w:rsid w:val="00AB09F7"/>
    <w:rsid w:val="00AC5663"/>
    <w:rsid w:val="00AE6233"/>
    <w:rsid w:val="00B17FD9"/>
    <w:rsid w:val="00B43F15"/>
    <w:rsid w:val="00B46B38"/>
    <w:rsid w:val="00B55B8D"/>
    <w:rsid w:val="00B6430C"/>
    <w:rsid w:val="00B726D0"/>
    <w:rsid w:val="00B87BC9"/>
    <w:rsid w:val="00BF4DB9"/>
    <w:rsid w:val="00BF5ECD"/>
    <w:rsid w:val="00C51E08"/>
    <w:rsid w:val="00C849EC"/>
    <w:rsid w:val="00CA0813"/>
    <w:rsid w:val="00CA2ADE"/>
    <w:rsid w:val="00CC3DEB"/>
    <w:rsid w:val="00CD148D"/>
    <w:rsid w:val="00CD59BB"/>
    <w:rsid w:val="00CF41F7"/>
    <w:rsid w:val="00D01DD1"/>
    <w:rsid w:val="00D068D8"/>
    <w:rsid w:val="00D16C0B"/>
    <w:rsid w:val="00D22935"/>
    <w:rsid w:val="00D31240"/>
    <w:rsid w:val="00D37CC6"/>
    <w:rsid w:val="00D37FB7"/>
    <w:rsid w:val="00D42A44"/>
    <w:rsid w:val="00D45FC8"/>
    <w:rsid w:val="00D46764"/>
    <w:rsid w:val="00DB5477"/>
    <w:rsid w:val="00DD25A2"/>
    <w:rsid w:val="00DD4337"/>
    <w:rsid w:val="00DE0CDD"/>
    <w:rsid w:val="00DF54C5"/>
    <w:rsid w:val="00E012CA"/>
    <w:rsid w:val="00E049DC"/>
    <w:rsid w:val="00E16178"/>
    <w:rsid w:val="00E21808"/>
    <w:rsid w:val="00E27F26"/>
    <w:rsid w:val="00E34EDC"/>
    <w:rsid w:val="00E54CFF"/>
    <w:rsid w:val="00E568B8"/>
    <w:rsid w:val="00E667AE"/>
    <w:rsid w:val="00E76E37"/>
    <w:rsid w:val="00E94982"/>
    <w:rsid w:val="00EA120B"/>
    <w:rsid w:val="00EC4172"/>
    <w:rsid w:val="00ED65B7"/>
    <w:rsid w:val="00EE737B"/>
    <w:rsid w:val="00EF5DE2"/>
    <w:rsid w:val="00F24397"/>
    <w:rsid w:val="00F4068D"/>
    <w:rsid w:val="00F44C80"/>
    <w:rsid w:val="00F4679E"/>
    <w:rsid w:val="00F47700"/>
    <w:rsid w:val="00F66A67"/>
    <w:rsid w:val="00F71D7A"/>
    <w:rsid w:val="00F93294"/>
    <w:rsid w:val="00FA5797"/>
    <w:rsid w:val="00FB51A1"/>
    <w:rsid w:val="00FC62BD"/>
    <w:rsid w:val="00FD78A2"/>
    <w:rsid w:val="00FE4A37"/>
    <w:rsid w:val="00FE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488A3"/>
  <w15:docId w15:val="{A9529A34-B725-4A85-AC8D-DA335585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DD1C10"/>
    <w:pPr>
      <w:autoSpaceDE w:val="0"/>
      <w:autoSpaceDN w:val="0"/>
      <w:adjustRightInd w:val="0"/>
    </w:pPr>
    <w:rPr>
      <w:rFonts w:ascii="Cambria" w:hAnsi="Cambria" w:cs="Cambria"/>
      <w:color w:val="000000"/>
    </w:rPr>
  </w:style>
  <w:style w:type="paragraph" w:styleId="ListParagraph">
    <w:name w:val="List Paragraph"/>
    <w:basedOn w:val="Normal"/>
    <w:uiPriority w:val="1"/>
    <w:qFormat/>
    <w:rsid w:val="00DD1C1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175E"/>
    <w:pPr>
      <w:tabs>
        <w:tab w:val="center" w:pos="4680"/>
        <w:tab w:val="right" w:pos="9360"/>
      </w:tabs>
    </w:pPr>
  </w:style>
  <w:style w:type="character" w:customStyle="1" w:styleId="HeaderChar">
    <w:name w:val="Header Char"/>
    <w:basedOn w:val="DefaultParagraphFont"/>
    <w:link w:val="Header"/>
    <w:uiPriority w:val="99"/>
    <w:rsid w:val="0049175E"/>
  </w:style>
  <w:style w:type="paragraph" w:styleId="Footer">
    <w:name w:val="footer"/>
    <w:basedOn w:val="Normal"/>
    <w:link w:val="FooterChar"/>
    <w:uiPriority w:val="99"/>
    <w:unhideWhenUsed/>
    <w:rsid w:val="0049175E"/>
    <w:pPr>
      <w:tabs>
        <w:tab w:val="center" w:pos="4680"/>
        <w:tab w:val="right" w:pos="9360"/>
      </w:tabs>
    </w:pPr>
  </w:style>
  <w:style w:type="character" w:customStyle="1" w:styleId="FooterChar">
    <w:name w:val="Footer Char"/>
    <w:basedOn w:val="DefaultParagraphFont"/>
    <w:link w:val="Footer"/>
    <w:uiPriority w:val="99"/>
    <w:rsid w:val="0049175E"/>
  </w:style>
  <w:style w:type="paragraph" w:styleId="FootnoteText">
    <w:name w:val="footnote text"/>
    <w:basedOn w:val="Normal"/>
    <w:link w:val="FootnoteTextChar"/>
    <w:uiPriority w:val="99"/>
    <w:semiHidden/>
    <w:unhideWhenUsed/>
    <w:rsid w:val="00FD5474"/>
    <w:rPr>
      <w:sz w:val="20"/>
      <w:szCs w:val="20"/>
    </w:rPr>
  </w:style>
  <w:style w:type="character" w:customStyle="1" w:styleId="FootnoteTextChar">
    <w:name w:val="Footnote Text Char"/>
    <w:basedOn w:val="DefaultParagraphFont"/>
    <w:link w:val="FootnoteText"/>
    <w:uiPriority w:val="99"/>
    <w:semiHidden/>
    <w:rsid w:val="00FD5474"/>
    <w:rPr>
      <w:sz w:val="20"/>
      <w:szCs w:val="20"/>
    </w:rPr>
  </w:style>
  <w:style w:type="character" w:styleId="FootnoteReference">
    <w:name w:val="footnote reference"/>
    <w:basedOn w:val="DefaultParagraphFont"/>
    <w:uiPriority w:val="99"/>
    <w:semiHidden/>
    <w:unhideWhenUsed/>
    <w:rsid w:val="00FD5474"/>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72"/>
    <w:rPr>
      <w:rFonts w:ascii="Segoe UI" w:hAnsi="Segoe UI" w:cs="Segoe UI"/>
      <w:sz w:val="18"/>
      <w:szCs w:val="18"/>
    </w:rPr>
  </w:style>
  <w:style w:type="paragraph" w:styleId="Revision">
    <w:name w:val="Revision"/>
    <w:hidden/>
    <w:uiPriority w:val="99"/>
    <w:semiHidden/>
    <w:rsid w:val="00E012CA"/>
  </w:style>
  <w:style w:type="paragraph" w:styleId="CommentSubject">
    <w:name w:val="annotation subject"/>
    <w:basedOn w:val="CommentText"/>
    <w:next w:val="CommentText"/>
    <w:link w:val="CommentSubjectChar"/>
    <w:uiPriority w:val="99"/>
    <w:semiHidden/>
    <w:unhideWhenUsed/>
    <w:rsid w:val="00E012CA"/>
    <w:rPr>
      <w:b/>
      <w:bCs/>
    </w:rPr>
  </w:style>
  <w:style w:type="character" w:customStyle="1" w:styleId="CommentSubjectChar">
    <w:name w:val="Comment Subject Char"/>
    <w:basedOn w:val="CommentTextChar"/>
    <w:link w:val="CommentSubject"/>
    <w:uiPriority w:val="99"/>
    <w:semiHidden/>
    <w:rsid w:val="00E012CA"/>
    <w:rPr>
      <w:b/>
      <w:bCs/>
      <w:sz w:val="20"/>
      <w:szCs w:val="20"/>
    </w:rPr>
  </w:style>
  <w:style w:type="paragraph" w:styleId="BodyText">
    <w:name w:val="Body Text"/>
    <w:basedOn w:val="Normal"/>
    <w:link w:val="BodyTextChar"/>
    <w:uiPriority w:val="1"/>
    <w:qFormat/>
    <w:rsid w:val="009843C2"/>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9843C2"/>
    <w:rPr>
      <w:rFonts w:ascii="Cambria" w:eastAsia="Cambria" w:hAnsi="Cambria" w:cs="Cambria"/>
      <w:sz w:val="20"/>
      <w:szCs w:val="20"/>
    </w:rPr>
  </w:style>
  <w:style w:type="paragraph" w:styleId="NormalWeb">
    <w:name w:val="Normal (Web)"/>
    <w:basedOn w:val="Normal"/>
    <w:uiPriority w:val="99"/>
    <w:semiHidden/>
    <w:unhideWhenUsed/>
    <w:rsid w:val="00E54C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477">
      <w:bodyDiv w:val="1"/>
      <w:marLeft w:val="0"/>
      <w:marRight w:val="0"/>
      <w:marTop w:val="0"/>
      <w:marBottom w:val="0"/>
      <w:divBdr>
        <w:top w:val="none" w:sz="0" w:space="0" w:color="auto"/>
        <w:left w:val="none" w:sz="0" w:space="0" w:color="auto"/>
        <w:bottom w:val="none" w:sz="0" w:space="0" w:color="auto"/>
        <w:right w:val="none" w:sz="0" w:space="0" w:color="auto"/>
      </w:divBdr>
    </w:div>
    <w:div w:id="203566141">
      <w:bodyDiv w:val="1"/>
      <w:marLeft w:val="0"/>
      <w:marRight w:val="0"/>
      <w:marTop w:val="0"/>
      <w:marBottom w:val="0"/>
      <w:divBdr>
        <w:top w:val="none" w:sz="0" w:space="0" w:color="auto"/>
        <w:left w:val="none" w:sz="0" w:space="0" w:color="auto"/>
        <w:bottom w:val="none" w:sz="0" w:space="0" w:color="auto"/>
        <w:right w:val="none" w:sz="0" w:space="0" w:color="auto"/>
      </w:divBdr>
    </w:div>
    <w:div w:id="573665616">
      <w:bodyDiv w:val="1"/>
      <w:marLeft w:val="0"/>
      <w:marRight w:val="0"/>
      <w:marTop w:val="0"/>
      <w:marBottom w:val="0"/>
      <w:divBdr>
        <w:top w:val="none" w:sz="0" w:space="0" w:color="auto"/>
        <w:left w:val="none" w:sz="0" w:space="0" w:color="auto"/>
        <w:bottom w:val="none" w:sz="0" w:space="0" w:color="auto"/>
        <w:right w:val="none" w:sz="0" w:space="0" w:color="auto"/>
      </w:divBdr>
    </w:div>
    <w:div w:id="890386911">
      <w:bodyDiv w:val="1"/>
      <w:marLeft w:val="0"/>
      <w:marRight w:val="0"/>
      <w:marTop w:val="0"/>
      <w:marBottom w:val="0"/>
      <w:divBdr>
        <w:top w:val="none" w:sz="0" w:space="0" w:color="auto"/>
        <w:left w:val="none" w:sz="0" w:space="0" w:color="auto"/>
        <w:bottom w:val="none" w:sz="0" w:space="0" w:color="auto"/>
        <w:right w:val="none" w:sz="0" w:space="0" w:color="auto"/>
      </w:divBdr>
    </w:div>
    <w:div w:id="1152254474">
      <w:bodyDiv w:val="1"/>
      <w:marLeft w:val="0"/>
      <w:marRight w:val="0"/>
      <w:marTop w:val="0"/>
      <w:marBottom w:val="0"/>
      <w:divBdr>
        <w:top w:val="none" w:sz="0" w:space="0" w:color="auto"/>
        <w:left w:val="none" w:sz="0" w:space="0" w:color="auto"/>
        <w:bottom w:val="none" w:sz="0" w:space="0" w:color="auto"/>
        <w:right w:val="none" w:sz="0" w:space="0" w:color="auto"/>
      </w:divBdr>
    </w:div>
    <w:div w:id="1286110239">
      <w:bodyDiv w:val="1"/>
      <w:marLeft w:val="0"/>
      <w:marRight w:val="0"/>
      <w:marTop w:val="0"/>
      <w:marBottom w:val="0"/>
      <w:divBdr>
        <w:top w:val="none" w:sz="0" w:space="0" w:color="auto"/>
        <w:left w:val="none" w:sz="0" w:space="0" w:color="auto"/>
        <w:bottom w:val="none" w:sz="0" w:space="0" w:color="auto"/>
        <w:right w:val="none" w:sz="0" w:space="0" w:color="auto"/>
      </w:divBdr>
    </w:div>
    <w:div w:id="1387752822">
      <w:bodyDiv w:val="1"/>
      <w:marLeft w:val="0"/>
      <w:marRight w:val="0"/>
      <w:marTop w:val="0"/>
      <w:marBottom w:val="0"/>
      <w:divBdr>
        <w:top w:val="none" w:sz="0" w:space="0" w:color="auto"/>
        <w:left w:val="none" w:sz="0" w:space="0" w:color="auto"/>
        <w:bottom w:val="none" w:sz="0" w:space="0" w:color="auto"/>
        <w:right w:val="none" w:sz="0" w:space="0" w:color="auto"/>
      </w:divBdr>
    </w:div>
    <w:div w:id="190965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865F-A670-421D-B0DF-51FC9E186075}">
  <ds:schemaRefs>
    <ds:schemaRef ds:uri="http://schemas.openxmlformats.org/officeDocument/2006/bibliography"/>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auteur</cp:lastModifiedBy>
  <cp:revision>21</cp:revision>
  <dcterms:created xsi:type="dcterms:W3CDTF">2024-11-18T06:33:00Z</dcterms:created>
  <dcterms:modified xsi:type="dcterms:W3CDTF">2024-12-12T10:52:00Z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2024-09-25T14:33:23Z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e64b830f-8521-4387-99e2-fc3980e04fe5</vt:lpwstr>
  </property>
  <property fmtid="{D5CDD505-2E9C-101B-9397-08002B2CF9AE}" pid="8" name="MSIP_Label_6bd9ddd1-4d20-43f6-abfa-fc3c07406f94_ContentBits">
    <vt:lpwstr>0</vt:lpwstr>
  </property>
</Properties>
</file>