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1D823" w14:textId="77777777" w:rsidR="00EB468D" w:rsidRPr="00AA68F7" w:rsidRDefault="00EB468D" w:rsidP="00EB468D">
      <w:pPr>
        <w:spacing w:after="0" w:line="240" w:lineRule="auto"/>
        <w:jc w:val="right"/>
        <w:rPr>
          <w:rFonts w:ascii="Cambria" w:hAnsi="Cambria"/>
          <w:b/>
          <w:bCs/>
          <w:sz w:val="20"/>
          <w:szCs w:val="20"/>
        </w:rPr>
      </w:pPr>
      <w:bookmarkStart w:id="0" w:name="_Hlk151212180"/>
    </w:p>
    <w:p w14:paraId="255AD6AD" w14:textId="2DCF3D64" w:rsidR="00E95C96" w:rsidRPr="00AA68F7" w:rsidRDefault="00E95C96" w:rsidP="00AA68F7">
      <w:pPr>
        <w:pBdr>
          <w:top w:val="double" w:sz="4" w:space="1" w:color="auto"/>
          <w:left w:val="double" w:sz="4" w:space="4" w:color="auto"/>
          <w:bottom w:val="double" w:sz="4" w:space="1" w:color="auto"/>
          <w:right w:val="double" w:sz="4" w:space="4" w:color="auto"/>
        </w:pBdr>
        <w:spacing w:after="0" w:line="240" w:lineRule="auto"/>
        <w:ind w:left="8222" w:hanging="8222"/>
        <w:jc w:val="both"/>
        <w:rPr>
          <w:rFonts w:ascii="Cambria" w:hAnsi="Cambria"/>
          <w:b/>
          <w:bCs/>
          <w:sz w:val="20"/>
          <w:szCs w:val="20"/>
        </w:rPr>
      </w:pPr>
      <w:r w:rsidRPr="00AA68F7">
        <w:rPr>
          <w:rFonts w:ascii="Cambria" w:hAnsi="Cambria"/>
          <w:b/>
          <w:bCs/>
          <w:sz w:val="20"/>
          <w:szCs w:val="20"/>
        </w:rPr>
        <w:t>23-</w:t>
      </w:r>
      <w:r w:rsidR="008B4145" w:rsidRPr="00AA68F7">
        <w:rPr>
          <w:rFonts w:ascii="Cambria" w:hAnsi="Cambria"/>
          <w:b/>
          <w:bCs/>
          <w:sz w:val="20"/>
          <w:szCs w:val="20"/>
        </w:rPr>
        <w:t>23</w:t>
      </w:r>
      <w:r w:rsidRPr="00AA68F7">
        <w:rPr>
          <w:rFonts w:ascii="Cambria" w:hAnsi="Cambria"/>
          <w:b/>
          <w:bCs/>
          <w:sz w:val="20"/>
          <w:szCs w:val="20"/>
        </w:rPr>
        <w:tab/>
      </w:r>
      <w:r w:rsidR="008B4145" w:rsidRPr="00AA68F7">
        <w:rPr>
          <w:rFonts w:ascii="Cambria" w:hAnsi="Cambria"/>
          <w:b/>
          <w:bCs/>
          <w:sz w:val="20"/>
          <w:szCs w:val="20"/>
        </w:rPr>
        <w:t>MISC</w:t>
      </w:r>
    </w:p>
    <w:p w14:paraId="1F251C11" w14:textId="77777777" w:rsidR="0013189C" w:rsidRPr="00AA68F7" w:rsidRDefault="0013189C" w:rsidP="00E95C96">
      <w:pPr>
        <w:pBdr>
          <w:top w:val="double" w:sz="4" w:space="1" w:color="auto"/>
          <w:left w:val="double" w:sz="4" w:space="4" w:color="auto"/>
          <w:bottom w:val="double" w:sz="4" w:space="1" w:color="auto"/>
          <w:right w:val="double" w:sz="4" w:space="4" w:color="auto"/>
        </w:pBdr>
        <w:spacing w:after="0" w:line="240" w:lineRule="auto"/>
        <w:jc w:val="both"/>
        <w:rPr>
          <w:rFonts w:ascii="Cambria" w:hAnsi="Cambria"/>
          <w:b/>
          <w:bCs/>
          <w:sz w:val="20"/>
          <w:szCs w:val="20"/>
        </w:rPr>
      </w:pPr>
    </w:p>
    <w:p w14:paraId="751BF00C" w14:textId="54983622" w:rsidR="00E95C96" w:rsidRPr="00AA68F7" w:rsidRDefault="00E95C96" w:rsidP="00E95C96">
      <w:pPr>
        <w:pBdr>
          <w:top w:val="double" w:sz="4" w:space="1" w:color="auto"/>
          <w:left w:val="double" w:sz="4" w:space="4" w:color="auto"/>
          <w:bottom w:val="double" w:sz="4" w:space="1" w:color="auto"/>
          <w:right w:val="double" w:sz="4" w:space="4" w:color="auto"/>
        </w:pBdr>
        <w:spacing w:after="0" w:line="240" w:lineRule="auto"/>
        <w:jc w:val="center"/>
        <w:rPr>
          <w:rFonts w:ascii="Cambria" w:hAnsi="Cambria"/>
          <w:b/>
          <w:bCs/>
          <w:sz w:val="20"/>
          <w:szCs w:val="20"/>
        </w:rPr>
      </w:pPr>
      <w:r w:rsidRPr="00AA68F7">
        <w:rPr>
          <w:rFonts w:ascii="Cambria" w:hAnsi="Cambria"/>
          <w:b/>
          <w:bCs/>
          <w:sz w:val="20"/>
          <w:szCs w:val="20"/>
        </w:rPr>
        <w:t>R</w:t>
      </w:r>
      <w:r w:rsidR="0013189C" w:rsidRPr="00AA68F7">
        <w:rPr>
          <w:rFonts w:ascii="Cambria" w:hAnsi="Cambria"/>
          <w:b/>
          <w:bCs/>
          <w:sz w:val="20"/>
          <w:szCs w:val="20"/>
        </w:rPr>
        <w:t>É</w:t>
      </w:r>
      <w:r w:rsidRPr="00AA68F7">
        <w:rPr>
          <w:rFonts w:ascii="Cambria" w:hAnsi="Cambria"/>
          <w:b/>
          <w:bCs/>
          <w:sz w:val="20"/>
          <w:szCs w:val="20"/>
        </w:rPr>
        <w:t>SOLUTION DE L’ICCAT CONCERNANT LA MISE EN ŒUVRE D’INSTRUMENTS</w:t>
      </w:r>
    </w:p>
    <w:p w14:paraId="5F8F3593" w14:textId="732E9C70" w:rsidR="00893C8D" w:rsidRPr="00AA68F7" w:rsidRDefault="00E95C96" w:rsidP="00E95C96">
      <w:pPr>
        <w:pBdr>
          <w:top w:val="double" w:sz="4" w:space="1" w:color="auto"/>
          <w:left w:val="double" w:sz="4" w:space="4" w:color="auto"/>
          <w:bottom w:val="double" w:sz="4" w:space="1" w:color="auto"/>
          <w:right w:val="double" w:sz="4" w:space="4" w:color="auto"/>
        </w:pBdr>
        <w:spacing w:after="0" w:line="240" w:lineRule="auto"/>
        <w:jc w:val="center"/>
        <w:rPr>
          <w:rFonts w:ascii="Cambria" w:hAnsi="Cambria"/>
          <w:b/>
          <w:bCs/>
          <w:sz w:val="20"/>
          <w:szCs w:val="20"/>
        </w:rPr>
      </w:pPr>
      <w:r w:rsidRPr="00AA68F7">
        <w:rPr>
          <w:rFonts w:ascii="Cambria" w:hAnsi="Cambria"/>
          <w:b/>
          <w:bCs/>
          <w:sz w:val="20"/>
          <w:szCs w:val="20"/>
        </w:rPr>
        <w:t>DE CONSERVATION DE LA BIODIVERSIT</w:t>
      </w:r>
      <w:r w:rsidR="0013189C" w:rsidRPr="00AA68F7">
        <w:rPr>
          <w:rFonts w:ascii="Cambria" w:hAnsi="Cambria"/>
          <w:b/>
          <w:bCs/>
          <w:sz w:val="20"/>
          <w:szCs w:val="20"/>
        </w:rPr>
        <w:t>É</w:t>
      </w:r>
    </w:p>
    <w:p w14:paraId="0F0665E6" w14:textId="77777777" w:rsidR="00E12855" w:rsidRPr="00AA68F7" w:rsidRDefault="00E12855" w:rsidP="00E95C96">
      <w:pPr>
        <w:pBdr>
          <w:top w:val="double" w:sz="4" w:space="1" w:color="auto"/>
          <w:left w:val="double" w:sz="4" w:space="4" w:color="auto"/>
          <w:bottom w:val="double" w:sz="4" w:space="1" w:color="auto"/>
          <w:right w:val="double" w:sz="4" w:space="4" w:color="auto"/>
        </w:pBdr>
        <w:spacing w:after="0" w:line="240" w:lineRule="auto"/>
        <w:jc w:val="center"/>
        <w:rPr>
          <w:rFonts w:ascii="Cambria" w:hAnsi="Cambria"/>
          <w:b/>
          <w:bCs/>
          <w:sz w:val="20"/>
          <w:szCs w:val="20"/>
        </w:rPr>
      </w:pPr>
    </w:p>
    <w:bookmarkEnd w:id="0"/>
    <w:p w14:paraId="75085579" w14:textId="77777777" w:rsidR="00893C8D" w:rsidRPr="00AA68F7" w:rsidRDefault="00893C8D" w:rsidP="00893C8D">
      <w:pPr>
        <w:spacing w:after="0" w:line="240" w:lineRule="auto"/>
        <w:jc w:val="center"/>
        <w:rPr>
          <w:rFonts w:ascii="Cambria" w:hAnsi="Cambria"/>
          <w:b/>
          <w:bCs/>
          <w:sz w:val="20"/>
          <w:szCs w:val="20"/>
        </w:rPr>
      </w:pPr>
    </w:p>
    <w:p w14:paraId="7ED2137D" w14:textId="77777777" w:rsidR="00893C8D" w:rsidRPr="00AA68F7" w:rsidRDefault="00893C8D" w:rsidP="0099680A">
      <w:pPr>
        <w:spacing w:after="0" w:line="240" w:lineRule="auto"/>
        <w:jc w:val="center"/>
        <w:rPr>
          <w:rFonts w:ascii="Cambria" w:hAnsi="Cambria"/>
          <w:sz w:val="20"/>
          <w:szCs w:val="20"/>
        </w:rPr>
      </w:pPr>
    </w:p>
    <w:p w14:paraId="163D18BD" w14:textId="1DD7131B" w:rsidR="00A8570A" w:rsidRPr="00AA68F7" w:rsidRDefault="00A8570A" w:rsidP="0066793A">
      <w:pPr>
        <w:spacing w:after="0" w:line="240" w:lineRule="auto"/>
        <w:ind w:firstLine="426"/>
        <w:jc w:val="both"/>
        <w:rPr>
          <w:rFonts w:ascii="Cambria" w:eastAsia="Calibri" w:hAnsi="Cambria" w:cs="Calibri"/>
          <w:color w:val="222222"/>
          <w:sz w:val="20"/>
          <w:szCs w:val="20"/>
        </w:rPr>
      </w:pPr>
      <w:r w:rsidRPr="00AA68F7">
        <w:rPr>
          <w:rFonts w:ascii="Cambria" w:hAnsi="Cambria"/>
          <w:i/>
          <w:iCs/>
          <w:color w:val="222222"/>
          <w:sz w:val="20"/>
          <w:szCs w:val="20"/>
        </w:rPr>
        <w:t>NOTANT</w:t>
      </w:r>
      <w:r w:rsidRPr="00AA68F7">
        <w:rPr>
          <w:rFonts w:ascii="Cambria" w:hAnsi="Cambria"/>
          <w:color w:val="222222"/>
          <w:sz w:val="20"/>
          <w:szCs w:val="20"/>
        </w:rPr>
        <w:t xml:space="preserve"> la conclusion récente de deux nouveaux instruments internationaux relatifs à la </w:t>
      </w:r>
      <w:r w:rsidR="000307C4" w:rsidRPr="00AA68F7">
        <w:rPr>
          <w:rFonts w:ascii="Cambria" w:hAnsi="Cambria"/>
          <w:color w:val="222222"/>
          <w:sz w:val="20"/>
          <w:szCs w:val="20"/>
        </w:rPr>
        <w:t>conservation et à l’utilisation durable</w:t>
      </w:r>
      <w:r w:rsidRPr="00AA68F7">
        <w:rPr>
          <w:rFonts w:ascii="Cambria" w:hAnsi="Cambria"/>
          <w:color w:val="222222"/>
          <w:sz w:val="20"/>
          <w:szCs w:val="20"/>
        </w:rPr>
        <w:t xml:space="preserve"> de la biodiversité, notamment l’Accord se rapportant à la Convention des Nations Unies sur le droit de la mer et portant sur la conservation et l’utilisation durable de la diversité biologique marine des zones ne relevant pas de la juridiction nationale et le Cadre mondial de la biodiversité de Kunming-Montréal au titre de la Convention sur la diversité biologique ;</w:t>
      </w:r>
    </w:p>
    <w:p w14:paraId="40EAB957" w14:textId="77777777" w:rsidR="00A8570A" w:rsidRPr="00AA68F7" w:rsidRDefault="00A8570A" w:rsidP="0066793A">
      <w:pPr>
        <w:shd w:val="clear" w:color="auto" w:fill="FFFFFF"/>
        <w:spacing w:after="0" w:line="240" w:lineRule="auto"/>
        <w:ind w:firstLine="426"/>
        <w:jc w:val="both"/>
        <w:rPr>
          <w:rFonts w:ascii="Cambria" w:eastAsia="Calibri" w:hAnsi="Cambria" w:cs="Calibri"/>
          <w:color w:val="222222"/>
          <w:sz w:val="20"/>
          <w:szCs w:val="20"/>
        </w:rPr>
      </w:pPr>
    </w:p>
    <w:p w14:paraId="07D51EAB" w14:textId="41D2C5EB" w:rsidR="00A8570A" w:rsidRPr="00AA68F7" w:rsidRDefault="00A8570A" w:rsidP="0066793A">
      <w:pPr>
        <w:spacing w:after="0" w:line="240" w:lineRule="auto"/>
        <w:ind w:firstLine="426"/>
        <w:jc w:val="both"/>
        <w:rPr>
          <w:rFonts w:ascii="Cambria" w:eastAsia="Calibri" w:hAnsi="Cambria" w:cs="Calibri"/>
          <w:color w:val="222222"/>
          <w:sz w:val="20"/>
          <w:szCs w:val="20"/>
        </w:rPr>
      </w:pPr>
      <w:r w:rsidRPr="00AA68F7">
        <w:rPr>
          <w:rFonts w:ascii="Cambria" w:hAnsi="Cambria"/>
          <w:i/>
          <w:iCs/>
          <w:color w:val="222222"/>
          <w:sz w:val="20"/>
          <w:szCs w:val="20"/>
        </w:rPr>
        <w:t>CONSIDÉRANT</w:t>
      </w:r>
      <w:r w:rsidRPr="00AA68F7">
        <w:rPr>
          <w:rFonts w:ascii="Cambria" w:hAnsi="Cambria"/>
          <w:color w:val="222222"/>
          <w:sz w:val="20"/>
          <w:szCs w:val="20"/>
        </w:rPr>
        <w:t xml:space="preserve"> que le mandat de la Commission en matière de gestion durable des thonidés et des espèces apparentées dans la zone de la Convention présente un intérêt significatif pour les processus, les objectifs et les cibles prévus dans le cadre de ces instruments</w:t>
      </w:r>
      <w:r w:rsidR="00F8177A" w:rsidRPr="00AA68F7">
        <w:rPr>
          <w:rFonts w:ascii="Cambria" w:hAnsi="Cambria"/>
          <w:color w:val="222222"/>
          <w:sz w:val="20"/>
          <w:szCs w:val="20"/>
        </w:rPr>
        <w:t xml:space="preserve"> et vice versa ;</w:t>
      </w:r>
    </w:p>
    <w:p w14:paraId="248B510A" w14:textId="2DC4DC64" w:rsidR="00893C8D" w:rsidRPr="00AA68F7" w:rsidRDefault="00893C8D" w:rsidP="0066793A">
      <w:pPr>
        <w:spacing w:after="0" w:line="240" w:lineRule="auto"/>
        <w:ind w:firstLine="426"/>
        <w:jc w:val="both"/>
        <w:rPr>
          <w:rFonts w:ascii="Cambria" w:hAnsi="Cambria"/>
          <w:sz w:val="20"/>
          <w:szCs w:val="20"/>
        </w:rPr>
      </w:pPr>
    </w:p>
    <w:p w14:paraId="40BE13FC" w14:textId="7854D063" w:rsidR="00CB05B4" w:rsidRPr="00AA68F7" w:rsidRDefault="00893C8D" w:rsidP="0066793A">
      <w:pPr>
        <w:spacing w:after="0" w:line="240" w:lineRule="auto"/>
        <w:ind w:firstLine="426"/>
        <w:jc w:val="both"/>
        <w:rPr>
          <w:rFonts w:ascii="Cambria" w:hAnsi="Cambria"/>
          <w:sz w:val="20"/>
          <w:szCs w:val="20"/>
        </w:rPr>
      </w:pPr>
      <w:r w:rsidRPr="00AA68F7">
        <w:rPr>
          <w:rFonts w:ascii="Cambria" w:hAnsi="Cambria"/>
          <w:i/>
          <w:iCs/>
          <w:sz w:val="20"/>
          <w:szCs w:val="20"/>
        </w:rPr>
        <w:t>CONSIDÉRANT EN OUTRE</w:t>
      </w:r>
      <w:r w:rsidRPr="00AA68F7">
        <w:rPr>
          <w:rFonts w:ascii="Cambria" w:hAnsi="Cambria"/>
          <w:sz w:val="20"/>
          <w:szCs w:val="20"/>
        </w:rPr>
        <w:t xml:space="preserve"> que la Commission a accumulé, </w:t>
      </w:r>
      <w:r w:rsidR="00AA68F7">
        <w:rPr>
          <w:rFonts w:ascii="Cambria" w:hAnsi="Cambria"/>
          <w:sz w:val="20"/>
          <w:szCs w:val="20"/>
        </w:rPr>
        <w:t>depuis</w:t>
      </w:r>
      <w:r w:rsidRPr="00AA68F7">
        <w:rPr>
          <w:rFonts w:ascii="Cambria" w:hAnsi="Cambria"/>
          <w:sz w:val="20"/>
          <w:szCs w:val="20"/>
        </w:rPr>
        <w:t xml:space="preserve"> de nombreuses années, un niveau extraordinaire d'expertise dans le domaine de la pêche et des sciences marines, d'expérience en matière de gestion de la pêche et de gouvernance des océans ; et consciente que l'expertise et l'expérience devraient être de la plus haute importance pour assurer une mise en œuvre efficace et fondée sur des preuves des nouveaux instruments mondiaux dans l'écosystème pélagique</w:t>
      </w:r>
      <w:r w:rsidR="00AA68F7">
        <w:rPr>
          <w:rFonts w:ascii="Cambria" w:hAnsi="Cambria"/>
          <w:sz w:val="20"/>
          <w:szCs w:val="20"/>
        </w:rPr>
        <w:t> ;</w:t>
      </w:r>
    </w:p>
    <w:p w14:paraId="57DC86F2" w14:textId="77777777" w:rsidR="00CB05B4" w:rsidRPr="00AA68F7" w:rsidRDefault="00CB05B4" w:rsidP="00BB4AC6">
      <w:pPr>
        <w:spacing w:after="0" w:line="240" w:lineRule="auto"/>
        <w:ind w:firstLine="360"/>
        <w:jc w:val="both"/>
        <w:rPr>
          <w:rFonts w:ascii="Cambria" w:hAnsi="Cambria"/>
          <w:sz w:val="20"/>
          <w:szCs w:val="20"/>
        </w:rPr>
      </w:pPr>
    </w:p>
    <w:p w14:paraId="303D2640" w14:textId="77777777" w:rsidR="00CB05B4" w:rsidRPr="00AA68F7" w:rsidRDefault="00CB05B4" w:rsidP="00BB4AC6">
      <w:pPr>
        <w:spacing w:after="0" w:line="240" w:lineRule="auto"/>
        <w:jc w:val="both"/>
        <w:rPr>
          <w:rFonts w:ascii="Cambria" w:hAnsi="Cambria"/>
          <w:sz w:val="20"/>
          <w:szCs w:val="20"/>
        </w:rPr>
      </w:pPr>
    </w:p>
    <w:p w14:paraId="5E89D2FA" w14:textId="77777777" w:rsidR="000708E0" w:rsidRPr="00AA68F7" w:rsidRDefault="000708E0" w:rsidP="000708E0">
      <w:pPr>
        <w:spacing w:after="0" w:line="240" w:lineRule="auto"/>
        <w:jc w:val="center"/>
        <w:rPr>
          <w:rFonts w:ascii="Cambria" w:eastAsia="Calibri" w:hAnsi="Cambria" w:cs="Calibri"/>
          <w:kern w:val="0"/>
          <w:sz w:val="20"/>
          <w:szCs w:val="20"/>
          <w14:ligatures w14:val="none"/>
        </w:rPr>
      </w:pPr>
      <w:r w:rsidRPr="00AA68F7">
        <w:rPr>
          <w:rFonts w:ascii="Cambria" w:hAnsi="Cambria"/>
          <w:sz w:val="20"/>
          <w:szCs w:val="20"/>
        </w:rPr>
        <w:t>LA COMMISSION INTERNATIONALE POUR LA CONSERVATION</w:t>
      </w:r>
    </w:p>
    <w:p w14:paraId="686FBC73" w14:textId="77777777" w:rsidR="000708E0" w:rsidRPr="00AA68F7" w:rsidRDefault="000708E0" w:rsidP="000708E0">
      <w:pPr>
        <w:spacing w:after="0" w:line="240" w:lineRule="auto"/>
        <w:jc w:val="center"/>
        <w:rPr>
          <w:rFonts w:ascii="Cambria" w:eastAsia="Calibri" w:hAnsi="Cambria" w:cs="Calibri"/>
          <w:kern w:val="0"/>
          <w:sz w:val="20"/>
          <w:szCs w:val="20"/>
          <w14:ligatures w14:val="none"/>
        </w:rPr>
      </w:pPr>
      <w:r w:rsidRPr="00AA68F7">
        <w:rPr>
          <w:rFonts w:ascii="Cambria" w:hAnsi="Cambria"/>
          <w:sz w:val="20"/>
          <w:szCs w:val="20"/>
        </w:rPr>
        <w:t>DES THONIDÉS DE L’ATLANTIQUE (ICCAT) DÉCIDE CE QUI SUIT :</w:t>
      </w:r>
    </w:p>
    <w:p w14:paraId="4095BB8A" w14:textId="77777777" w:rsidR="00874299" w:rsidRPr="00AA68F7" w:rsidRDefault="00874299" w:rsidP="00BB4AC6">
      <w:pPr>
        <w:spacing w:after="0" w:line="240" w:lineRule="auto"/>
        <w:jc w:val="both"/>
        <w:rPr>
          <w:rFonts w:ascii="Cambria" w:hAnsi="Cambria"/>
          <w:sz w:val="20"/>
          <w:szCs w:val="20"/>
        </w:rPr>
      </w:pPr>
    </w:p>
    <w:p w14:paraId="538EC8D5" w14:textId="006CC269" w:rsidR="004223BB" w:rsidRPr="00AA68F7" w:rsidRDefault="003003B3" w:rsidP="00DD38BD">
      <w:pPr>
        <w:pStyle w:val="ListParagraph"/>
        <w:numPr>
          <w:ilvl w:val="0"/>
          <w:numId w:val="2"/>
        </w:numPr>
        <w:spacing w:after="0" w:line="240" w:lineRule="auto"/>
        <w:ind w:left="851" w:hanging="425"/>
        <w:jc w:val="both"/>
        <w:rPr>
          <w:rFonts w:ascii="Cambria" w:hAnsi="Cambria"/>
          <w:sz w:val="20"/>
          <w:szCs w:val="20"/>
        </w:rPr>
      </w:pPr>
      <w:r w:rsidRPr="00AA68F7">
        <w:rPr>
          <w:rFonts w:ascii="Cambria" w:hAnsi="Cambria"/>
          <w:sz w:val="20"/>
          <w:szCs w:val="20"/>
        </w:rPr>
        <w:t xml:space="preserve">Ses membres devraient continuer à assurer la coordination nécessaire afin de prendre dûment en </w:t>
      </w:r>
      <w:proofErr w:type="gramStart"/>
      <w:r w:rsidRPr="00AA68F7">
        <w:rPr>
          <w:rFonts w:ascii="Cambria" w:hAnsi="Cambria"/>
          <w:sz w:val="20"/>
          <w:szCs w:val="20"/>
        </w:rPr>
        <w:t>compte</w:t>
      </w:r>
      <w:proofErr w:type="gramEnd"/>
      <w:r w:rsidRPr="00AA68F7">
        <w:rPr>
          <w:rFonts w:ascii="Cambria" w:hAnsi="Cambria"/>
          <w:sz w:val="20"/>
          <w:szCs w:val="20"/>
        </w:rPr>
        <w:t xml:space="preserve"> les pêcheries gérées par l'ICCAT lors de la mise en œuvre des nouveaux instruments, et à explorer tous les moyens possibles permettant à la Commission de jouer un rôle actif dans les discussions menant à la mise en œuvre de ces instruments</w:t>
      </w:r>
      <w:r w:rsidR="0066793A" w:rsidRPr="00AA68F7">
        <w:rPr>
          <w:rFonts w:ascii="Cambria" w:hAnsi="Cambria"/>
          <w:sz w:val="20"/>
          <w:szCs w:val="20"/>
        </w:rPr>
        <w:t> ;</w:t>
      </w:r>
    </w:p>
    <w:p w14:paraId="5FC3A7B3" w14:textId="77777777" w:rsidR="004223BB" w:rsidRPr="00AA68F7" w:rsidRDefault="004223BB" w:rsidP="00BB4AC6">
      <w:pPr>
        <w:pStyle w:val="ListParagraph"/>
        <w:spacing w:after="0" w:line="240" w:lineRule="auto"/>
        <w:jc w:val="both"/>
        <w:rPr>
          <w:rFonts w:ascii="Cambria" w:hAnsi="Cambria"/>
          <w:sz w:val="20"/>
          <w:szCs w:val="20"/>
        </w:rPr>
      </w:pPr>
    </w:p>
    <w:p w14:paraId="562B8EE9" w14:textId="17F012C0" w:rsidR="00305D13" w:rsidRPr="00560D37" w:rsidRDefault="00AD204C" w:rsidP="00DD38BD">
      <w:pPr>
        <w:pStyle w:val="ListParagraph"/>
        <w:numPr>
          <w:ilvl w:val="0"/>
          <w:numId w:val="2"/>
        </w:numPr>
        <w:spacing w:after="0" w:line="240" w:lineRule="auto"/>
        <w:ind w:left="851" w:hanging="425"/>
        <w:jc w:val="both"/>
        <w:rPr>
          <w:rFonts w:ascii="Cambria" w:hAnsi="Cambria"/>
          <w:sz w:val="20"/>
          <w:szCs w:val="20"/>
        </w:rPr>
      </w:pPr>
      <w:r w:rsidRPr="00AA68F7">
        <w:rPr>
          <w:rFonts w:ascii="Cambria" w:hAnsi="Cambria"/>
          <w:sz w:val="20"/>
          <w:szCs w:val="20"/>
        </w:rPr>
        <w:t>Ses membres devraient promouvoir davantage la collaboration avec d'autres organisations régionales de gestion des pêches (ORGP), et en particulier l</w:t>
      </w:r>
      <w:r w:rsidRPr="00560D37">
        <w:rPr>
          <w:rFonts w:ascii="Cambria" w:hAnsi="Cambria"/>
          <w:sz w:val="20"/>
          <w:szCs w:val="20"/>
        </w:rPr>
        <w:t xml:space="preserve">es </w:t>
      </w:r>
      <w:r w:rsidR="00125D06" w:rsidRPr="00560D37">
        <w:rPr>
          <w:rFonts w:ascii="Cambria" w:hAnsi="Cambria"/>
          <w:sz w:val="20"/>
          <w:szCs w:val="20"/>
        </w:rPr>
        <w:t>ORGP</w:t>
      </w:r>
      <w:r w:rsidRPr="00560D37">
        <w:rPr>
          <w:rFonts w:ascii="Cambria" w:hAnsi="Cambria"/>
          <w:sz w:val="20"/>
          <w:szCs w:val="20"/>
        </w:rPr>
        <w:t xml:space="preserve"> thonières, en vue d'une éventuelle approche concertée par les ORGP en ce qui concerne la mise en œuvre des nouveaux instruments</w:t>
      </w:r>
      <w:r w:rsidR="0066793A" w:rsidRPr="00560D37">
        <w:rPr>
          <w:rFonts w:ascii="Cambria" w:hAnsi="Cambria"/>
          <w:sz w:val="20"/>
          <w:szCs w:val="20"/>
        </w:rPr>
        <w:t> ;</w:t>
      </w:r>
    </w:p>
    <w:p w14:paraId="02CD80B4" w14:textId="77777777" w:rsidR="00EB468D" w:rsidRPr="00560D37" w:rsidRDefault="00EB468D" w:rsidP="00BB4AC6">
      <w:pPr>
        <w:pStyle w:val="ListParagraph"/>
        <w:spacing w:after="0" w:line="240" w:lineRule="auto"/>
        <w:jc w:val="both"/>
        <w:rPr>
          <w:rFonts w:ascii="Cambria" w:hAnsi="Cambria"/>
          <w:sz w:val="20"/>
          <w:szCs w:val="20"/>
        </w:rPr>
      </w:pPr>
    </w:p>
    <w:p w14:paraId="653A6A39" w14:textId="40BA1AA4" w:rsidR="00EB468D" w:rsidRPr="00560D37" w:rsidRDefault="007F086B" w:rsidP="00DD38BD">
      <w:pPr>
        <w:pStyle w:val="ListParagraph"/>
        <w:numPr>
          <w:ilvl w:val="0"/>
          <w:numId w:val="2"/>
        </w:numPr>
        <w:spacing w:after="0" w:line="240" w:lineRule="auto"/>
        <w:ind w:left="851" w:hanging="425"/>
        <w:jc w:val="both"/>
        <w:rPr>
          <w:rFonts w:ascii="Cambria" w:hAnsi="Cambria"/>
          <w:sz w:val="20"/>
          <w:szCs w:val="20"/>
        </w:rPr>
      </w:pPr>
      <w:r w:rsidRPr="00560D37">
        <w:rPr>
          <w:rFonts w:ascii="Cambria" w:hAnsi="Cambria"/>
          <w:sz w:val="20"/>
          <w:szCs w:val="20"/>
        </w:rPr>
        <w:t xml:space="preserve">Le Secrétariat devrait collaborer avec le SCRS </w:t>
      </w:r>
      <w:r w:rsidR="0066793A" w:rsidRPr="00560D37">
        <w:rPr>
          <w:rFonts w:ascii="Cambria" w:hAnsi="Cambria"/>
          <w:sz w:val="20"/>
          <w:szCs w:val="20"/>
        </w:rPr>
        <w:t>afin d’</w:t>
      </w:r>
      <w:r w:rsidRPr="00560D37">
        <w:rPr>
          <w:rFonts w:ascii="Cambria" w:hAnsi="Cambria"/>
          <w:sz w:val="20"/>
          <w:szCs w:val="20"/>
        </w:rPr>
        <w:t xml:space="preserve">évaluer la possibilité que le </w:t>
      </w:r>
      <w:r w:rsidR="00125D06" w:rsidRPr="00560D37">
        <w:rPr>
          <w:rFonts w:ascii="Cambria" w:hAnsi="Cambria"/>
          <w:sz w:val="20"/>
          <w:szCs w:val="20"/>
        </w:rPr>
        <w:t>SCRS</w:t>
      </w:r>
      <w:r w:rsidRPr="00560D37">
        <w:rPr>
          <w:rFonts w:ascii="Cambria" w:hAnsi="Cambria"/>
          <w:sz w:val="20"/>
          <w:szCs w:val="20"/>
        </w:rPr>
        <w:t xml:space="preserve"> fournisse une expertise et un avis concernant la mise en œuvre des instruments, et </w:t>
      </w:r>
      <w:r w:rsidR="0066793A" w:rsidRPr="00560D37">
        <w:rPr>
          <w:rFonts w:ascii="Cambria" w:hAnsi="Cambria"/>
          <w:sz w:val="20"/>
          <w:szCs w:val="20"/>
        </w:rPr>
        <w:t>d’</w:t>
      </w:r>
      <w:r w:rsidRPr="00560D37">
        <w:rPr>
          <w:rFonts w:ascii="Cambria" w:hAnsi="Cambria"/>
          <w:sz w:val="20"/>
          <w:szCs w:val="20"/>
        </w:rPr>
        <w:t xml:space="preserve">explorer les moyens par lesquels la charge de travail du </w:t>
      </w:r>
      <w:r w:rsidR="00125D06" w:rsidRPr="00560D37">
        <w:rPr>
          <w:rFonts w:ascii="Cambria" w:hAnsi="Cambria"/>
          <w:sz w:val="20"/>
          <w:szCs w:val="20"/>
        </w:rPr>
        <w:t xml:space="preserve">SCRS </w:t>
      </w:r>
      <w:r w:rsidRPr="00560D37">
        <w:rPr>
          <w:rFonts w:ascii="Cambria" w:hAnsi="Cambria"/>
          <w:sz w:val="20"/>
          <w:szCs w:val="20"/>
        </w:rPr>
        <w:t>pourrait intégrer cette nouvelle tâche</w:t>
      </w:r>
      <w:r w:rsidR="0066793A" w:rsidRPr="00560D37">
        <w:rPr>
          <w:rFonts w:ascii="Cambria" w:hAnsi="Cambria"/>
          <w:sz w:val="20"/>
          <w:szCs w:val="20"/>
        </w:rPr>
        <w:t> ;</w:t>
      </w:r>
    </w:p>
    <w:p w14:paraId="7BB52D8E" w14:textId="77777777" w:rsidR="00EB468D" w:rsidRPr="00AA68F7" w:rsidRDefault="00EB468D" w:rsidP="00BB4AC6">
      <w:pPr>
        <w:pStyle w:val="ListParagraph"/>
        <w:spacing w:after="0" w:line="240" w:lineRule="auto"/>
        <w:jc w:val="both"/>
        <w:rPr>
          <w:rFonts w:ascii="Cambria" w:hAnsi="Cambria"/>
          <w:sz w:val="20"/>
          <w:szCs w:val="20"/>
        </w:rPr>
      </w:pPr>
    </w:p>
    <w:p w14:paraId="69DCB6FC" w14:textId="0A2FE7C4" w:rsidR="00305D13" w:rsidRPr="00AA68F7" w:rsidRDefault="00A00E2F" w:rsidP="00DD38BD">
      <w:pPr>
        <w:pStyle w:val="ListParagraph"/>
        <w:numPr>
          <w:ilvl w:val="0"/>
          <w:numId w:val="2"/>
        </w:numPr>
        <w:spacing w:after="0" w:line="240" w:lineRule="auto"/>
        <w:ind w:left="851" w:hanging="425"/>
        <w:jc w:val="both"/>
        <w:rPr>
          <w:rFonts w:ascii="Cambria" w:hAnsi="Cambria"/>
          <w:sz w:val="20"/>
          <w:szCs w:val="20"/>
        </w:rPr>
      </w:pPr>
      <w:r w:rsidRPr="00AA68F7">
        <w:rPr>
          <w:rFonts w:ascii="Cambria" w:hAnsi="Cambria"/>
          <w:sz w:val="20"/>
          <w:szCs w:val="20"/>
        </w:rPr>
        <w:t xml:space="preserve">Le SCRS devrait étudier des exemples pratiques de la façon dont la biodiversité marine peut être </w:t>
      </w:r>
      <w:r w:rsidR="00F8177A" w:rsidRPr="00AA68F7">
        <w:rPr>
          <w:rFonts w:ascii="Cambria" w:hAnsi="Cambria"/>
          <w:sz w:val="20"/>
          <w:szCs w:val="20"/>
        </w:rPr>
        <w:t>conservée</w:t>
      </w:r>
      <w:r w:rsidRPr="00AA68F7">
        <w:rPr>
          <w:rFonts w:ascii="Cambria" w:hAnsi="Cambria"/>
          <w:sz w:val="20"/>
          <w:szCs w:val="20"/>
        </w:rPr>
        <w:t xml:space="preserve"> d'une manière compatible avec la conduite d'une pêche responsable et durable, </w:t>
      </w:r>
      <w:r w:rsidR="00AA68F7">
        <w:rPr>
          <w:rFonts w:ascii="Cambria" w:hAnsi="Cambria"/>
          <w:sz w:val="20"/>
          <w:szCs w:val="20"/>
        </w:rPr>
        <w:t>y compris</w:t>
      </w:r>
      <w:r w:rsidRPr="00AA68F7">
        <w:rPr>
          <w:rFonts w:ascii="Cambria" w:hAnsi="Cambria"/>
          <w:sz w:val="20"/>
          <w:szCs w:val="20"/>
        </w:rPr>
        <w:t xml:space="preserve"> d'autres mesures </w:t>
      </w:r>
      <w:r w:rsidR="00AE3537" w:rsidRPr="00AA68F7">
        <w:rPr>
          <w:rFonts w:ascii="Cambria" w:hAnsi="Cambria"/>
          <w:sz w:val="20"/>
          <w:szCs w:val="20"/>
        </w:rPr>
        <w:t xml:space="preserve">de conservation </w:t>
      </w:r>
      <w:r w:rsidR="00F8177A" w:rsidRPr="00AA68F7">
        <w:rPr>
          <w:rFonts w:ascii="Cambria" w:hAnsi="Cambria"/>
          <w:sz w:val="20"/>
          <w:szCs w:val="20"/>
        </w:rPr>
        <w:t xml:space="preserve">efficaces </w:t>
      </w:r>
      <w:r w:rsidR="00AE3537" w:rsidRPr="00AA68F7">
        <w:rPr>
          <w:rFonts w:ascii="Cambria" w:hAnsi="Cambria"/>
          <w:sz w:val="20"/>
          <w:szCs w:val="20"/>
        </w:rPr>
        <w:t>par</w:t>
      </w:r>
      <w:r w:rsidR="00F8177A" w:rsidRPr="00AA68F7">
        <w:rPr>
          <w:rFonts w:ascii="Cambria" w:hAnsi="Cambria"/>
          <w:sz w:val="20"/>
          <w:szCs w:val="20"/>
        </w:rPr>
        <w:t xml:space="preserve"> zone </w:t>
      </w:r>
      <w:r w:rsidRPr="00AA68F7">
        <w:rPr>
          <w:rFonts w:ascii="Cambria" w:hAnsi="Cambria"/>
          <w:sz w:val="20"/>
          <w:szCs w:val="20"/>
        </w:rPr>
        <w:t>(</w:t>
      </w:r>
      <w:r w:rsidR="0066793A" w:rsidRPr="00AA68F7">
        <w:rPr>
          <w:rFonts w:ascii="Cambria" w:hAnsi="Cambria"/>
          <w:sz w:val="20"/>
          <w:szCs w:val="20"/>
        </w:rPr>
        <w:t>« </w:t>
      </w:r>
      <w:r w:rsidRPr="00AA68F7">
        <w:rPr>
          <w:rFonts w:ascii="Cambria" w:hAnsi="Cambria"/>
          <w:sz w:val="20"/>
          <w:szCs w:val="20"/>
        </w:rPr>
        <w:t>OECM</w:t>
      </w:r>
      <w:r w:rsidR="0066793A" w:rsidRPr="00AA68F7">
        <w:rPr>
          <w:rFonts w:ascii="Cambria" w:hAnsi="Cambria"/>
          <w:sz w:val="20"/>
          <w:szCs w:val="20"/>
        </w:rPr>
        <w:t> »</w:t>
      </w:r>
      <w:r w:rsidRPr="00AA68F7">
        <w:rPr>
          <w:rFonts w:ascii="Cambria" w:hAnsi="Cambria"/>
          <w:sz w:val="20"/>
          <w:szCs w:val="20"/>
        </w:rPr>
        <w:t xml:space="preserve">, selon les sigles anglais), en tant que mesures complémentaires ou alternatives aux </w:t>
      </w:r>
      <w:r w:rsidR="00F8177A" w:rsidRPr="00AA68F7">
        <w:rPr>
          <w:rFonts w:ascii="Cambria" w:hAnsi="Cambria"/>
          <w:sz w:val="20"/>
          <w:szCs w:val="20"/>
        </w:rPr>
        <w:t xml:space="preserve">autres </w:t>
      </w:r>
      <w:r w:rsidRPr="00AA68F7">
        <w:rPr>
          <w:rFonts w:ascii="Cambria" w:hAnsi="Cambria"/>
          <w:sz w:val="20"/>
          <w:szCs w:val="20"/>
        </w:rPr>
        <w:t xml:space="preserve">approches </w:t>
      </w:r>
      <w:r w:rsidR="0066793A" w:rsidRPr="00AA68F7">
        <w:rPr>
          <w:rFonts w:ascii="Cambria" w:hAnsi="Cambria"/>
          <w:sz w:val="20"/>
          <w:szCs w:val="20"/>
        </w:rPr>
        <w:t xml:space="preserve">par </w:t>
      </w:r>
      <w:r w:rsidRPr="00AA68F7">
        <w:rPr>
          <w:rFonts w:ascii="Cambria" w:hAnsi="Cambria"/>
          <w:sz w:val="20"/>
          <w:szCs w:val="20"/>
        </w:rPr>
        <w:t>zone</w:t>
      </w:r>
      <w:r w:rsidR="0066793A" w:rsidRPr="00AA68F7">
        <w:rPr>
          <w:rFonts w:ascii="Cambria" w:hAnsi="Cambria"/>
          <w:sz w:val="20"/>
          <w:szCs w:val="20"/>
        </w:rPr>
        <w:t> ;</w:t>
      </w:r>
    </w:p>
    <w:p w14:paraId="0D930921" w14:textId="77777777" w:rsidR="00EB468D" w:rsidRPr="00AA68F7" w:rsidRDefault="00EB468D" w:rsidP="00BB4AC6">
      <w:pPr>
        <w:pStyle w:val="ListParagraph"/>
        <w:spacing w:after="0" w:line="240" w:lineRule="auto"/>
        <w:jc w:val="both"/>
        <w:rPr>
          <w:rFonts w:ascii="Cambria" w:hAnsi="Cambria"/>
          <w:sz w:val="20"/>
          <w:szCs w:val="20"/>
        </w:rPr>
      </w:pPr>
    </w:p>
    <w:p w14:paraId="7B571E6D" w14:textId="3C66A2CE" w:rsidR="00A00E2F" w:rsidRPr="00AA68F7" w:rsidRDefault="00043C18" w:rsidP="00DD38BD">
      <w:pPr>
        <w:pStyle w:val="ListParagraph"/>
        <w:numPr>
          <w:ilvl w:val="0"/>
          <w:numId w:val="2"/>
        </w:numPr>
        <w:spacing w:after="0" w:line="240" w:lineRule="auto"/>
        <w:ind w:left="851" w:hanging="425"/>
        <w:jc w:val="both"/>
        <w:rPr>
          <w:rFonts w:ascii="Cambria" w:hAnsi="Cambria"/>
          <w:sz w:val="20"/>
          <w:szCs w:val="20"/>
        </w:rPr>
      </w:pPr>
      <w:r w:rsidRPr="00AA68F7">
        <w:rPr>
          <w:rFonts w:ascii="Cambria" w:hAnsi="Cambria"/>
          <w:sz w:val="20"/>
          <w:szCs w:val="20"/>
        </w:rPr>
        <w:t>Les CPC, le SCRS et le Secrétariat devraient faire régulièrement rapport à la Commission sur les progrès réalisés à cet égard</w:t>
      </w:r>
      <w:r w:rsidR="0066793A" w:rsidRPr="00AA68F7">
        <w:rPr>
          <w:rFonts w:ascii="Cambria" w:hAnsi="Cambria"/>
          <w:sz w:val="20"/>
          <w:szCs w:val="20"/>
        </w:rPr>
        <w:t>.</w:t>
      </w:r>
    </w:p>
    <w:p w14:paraId="36F5FF47" w14:textId="77777777" w:rsidR="00A00E2F" w:rsidRPr="00AA68F7" w:rsidRDefault="00A00E2F" w:rsidP="0099680A">
      <w:pPr>
        <w:pStyle w:val="ListParagraph"/>
        <w:spacing w:after="0" w:line="240" w:lineRule="auto"/>
        <w:jc w:val="both"/>
        <w:rPr>
          <w:rFonts w:ascii="Cambria" w:hAnsi="Cambria"/>
          <w:sz w:val="20"/>
          <w:szCs w:val="20"/>
        </w:rPr>
      </w:pPr>
    </w:p>
    <w:p w14:paraId="6B268178" w14:textId="1F75A603" w:rsidR="00662E5C" w:rsidRPr="00AA68F7" w:rsidRDefault="00426404" w:rsidP="0066793A">
      <w:pPr>
        <w:shd w:val="clear" w:color="auto" w:fill="FFFFFF"/>
        <w:spacing w:after="0" w:line="240" w:lineRule="auto"/>
        <w:jc w:val="both"/>
        <w:rPr>
          <w:rFonts w:ascii="Cambria" w:eastAsia="Calibri" w:hAnsi="Cambria" w:cs="Calibri"/>
          <w:color w:val="222222"/>
          <w:sz w:val="20"/>
          <w:szCs w:val="20"/>
        </w:rPr>
      </w:pPr>
      <w:r w:rsidRPr="00AA68F7">
        <w:rPr>
          <w:rFonts w:ascii="Cambria" w:hAnsi="Cambria"/>
          <w:color w:val="222222"/>
          <w:sz w:val="20"/>
          <w:szCs w:val="20"/>
        </w:rPr>
        <w:t>Lors de sa réunion annuelle de 2024, la Commission devrait discuter de la meilleure façon de s'assurer que l'ICCAT joue un rôle actif dans les discussions menant à la mise en œuvre de ces instruments, y compris en ajoutant un point permanent sur cette question à l'ordre du jour des réunions annuelles de la Commission et du SCRS.</w:t>
      </w:r>
    </w:p>
    <w:sectPr w:rsidR="00662E5C" w:rsidRPr="00AA68F7" w:rsidSect="00C27F2F">
      <w:footerReference w:type="default" r:id="rId7"/>
      <w:pgSz w:w="11909" w:h="16834" w:code="9"/>
      <w:pgMar w:top="1418" w:right="1418" w:bottom="1418" w:left="1418" w:header="851" w:footer="11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F0DD7" w14:textId="77777777" w:rsidR="00920314" w:rsidRDefault="00920314" w:rsidP="00EB468D">
      <w:pPr>
        <w:spacing w:after="0" w:line="240" w:lineRule="auto"/>
      </w:pPr>
      <w:r>
        <w:separator/>
      </w:r>
    </w:p>
  </w:endnote>
  <w:endnote w:type="continuationSeparator" w:id="0">
    <w:p w14:paraId="7BFFE666" w14:textId="77777777" w:rsidR="00920314" w:rsidRDefault="00920314" w:rsidP="00EB4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457AD" w14:textId="143F0FB6" w:rsidR="004223BB" w:rsidRPr="00E95C96" w:rsidRDefault="00000000" w:rsidP="004223BB">
    <w:pPr>
      <w:tabs>
        <w:tab w:val="center" w:pos="4535"/>
        <w:tab w:val="center" w:pos="4680"/>
        <w:tab w:val="left" w:pos="6150"/>
        <w:tab w:val="right" w:pos="9360"/>
      </w:tabs>
      <w:spacing w:after="0" w:line="240" w:lineRule="auto"/>
      <w:jc w:val="center"/>
      <w:rPr>
        <w:rFonts w:ascii="Cambria" w:eastAsia="Calibri" w:hAnsi="Cambria" w:cs="Calibri"/>
        <w:sz w:val="20"/>
        <w:szCs w:val="20"/>
      </w:rPr>
    </w:pPr>
    <w:sdt>
      <w:sdtPr>
        <w:rPr>
          <w:rFonts w:ascii="Calibri" w:eastAsia="Calibri" w:hAnsi="Calibri" w:cs="Calibri"/>
          <w:szCs w:val="20"/>
        </w:rPr>
        <w:id w:val="810910487"/>
        <w:docPartObj>
          <w:docPartGallery w:val="Page Numbers (Top of Page)"/>
          <w:docPartUnique/>
        </w:docPartObj>
      </w:sdtPr>
      <w:sdtEndPr>
        <w:rPr>
          <w:sz w:val="20"/>
        </w:rPr>
      </w:sdtEndPr>
      <w:sdtContent>
        <w:r w:rsidR="004223BB" w:rsidRPr="00E95C96">
          <w:rPr>
            <w:rFonts w:ascii="Cambria" w:eastAsia="Calibri" w:hAnsi="Cambria" w:cs="Calibri"/>
            <w:sz w:val="20"/>
            <w:szCs w:val="20"/>
          </w:rPr>
          <w:fldChar w:fldCharType="begin"/>
        </w:r>
        <w:r w:rsidR="004223BB" w:rsidRPr="00E95C96">
          <w:rPr>
            <w:rFonts w:ascii="Cambria" w:eastAsia="Calibri" w:hAnsi="Cambria" w:cs="Calibri"/>
            <w:sz w:val="20"/>
            <w:szCs w:val="20"/>
          </w:rPr>
          <w:instrText xml:space="preserve"> PAGE </w:instrText>
        </w:r>
        <w:r w:rsidR="004223BB" w:rsidRPr="00E95C96">
          <w:rPr>
            <w:rFonts w:ascii="Cambria" w:eastAsia="Calibri" w:hAnsi="Cambria" w:cs="Calibri"/>
            <w:sz w:val="20"/>
            <w:szCs w:val="20"/>
          </w:rPr>
          <w:fldChar w:fldCharType="separate"/>
        </w:r>
        <w:r w:rsidR="004223BB" w:rsidRPr="00E95C96">
          <w:rPr>
            <w:rFonts w:ascii="Cambria" w:eastAsia="Calibri" w:hAnsi="Cambria" w:cs="Calibri"/>
            <w:sz w:val="20"/>
            <w:szCs w:val="20"/>
          </w:rPr>
          <w:t>1</w:t>
        </w:r>
        <w:r w:rsidR="004223BB" w:rsidRPr="00E95C96">
          <w:rPr>
            <w:rFonts w:ascii="Cambria" w:eastAsia="Calibri" w:hAnsi="Cambria" w:cs="Calibri"/>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F65BC" w14:textId="77777777" w:rsidR="00920314" w:rsidRDefault="00920314" w:rsidP="00EB468D">
      <w:pPr>
        <w:spacing w:after="0" w:line="240" w:lineRule="auto"/>
      </w:pPr>
      <w:r>
        <w:separator/>
      </w:r>
    </w:p>
  </w:footnote>
  <w:footnote w:type="continuationSeparator" w:id="0">
    <w:p w14:paraId="1AB14625" w14:textId="77777777" w:rsidR="00920314" w:rsidRDefault="00920314" w:rsidP="00EB46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241EC"/>
    <w:multiLevelType w:val="multilevel"/>
    <w:tmpl w:val="8EA4BB7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15:restartNumberingAfterBreak="0">
    <w:nsid w:val="37562A97"/>
    <w:multiLevelType w:val="hybridMultilevel"/>
    <w:tmpl w:val="DA8CB3FC"/>
    <w:lvl w:ilvl="0" w:tplc="3DECE2F4">
      <w:start w:val="1"/>
      <w:numFmt w:val="bullet"/>
      <w:lvlText w:val="-"/>
      <w:lvlJc w:val="left"/>
      <w:pPr>
        <w:ind w:left="720" w:hanging="360"/>
      </w:pPr>
      <w:rPr>
        <w:rFonts w:ascii="Cambria" w:hAnsi="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793C20"/>
    <w:multiLevelType w:val="hybridMultilevel"/>
    <w:tmpl w:val="EB105C1E"/>
    <w:lvl w:ilvl="0" w:tplc="692EA100">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230827">
    <w:abstractNumId w:val="2"/>
  </w:num>
  <w:num w:numId="2" w16cid:durableId="1969430320">
    <w:abstractNumId w:val="1"/>
  </w:num>
  <w:num w:numId="3" w16cid:durableId="1334068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D01"/>
    <w:rsid w:val="0002606B"/>
    <w:rsid w:val="000307C4"/>
    <w:rsid w:val="00043C18"/>
    <w:rsid w:val="00054A6A"/>
    <w:rsid w:val="000708E0"/>
    <w:rsid w:val="000946FA"/>
    <w:rsid w:val="000C7BCE"/>
    <w:rsid w:val="000D6D01"/>
    <w:rsid w:val="001014A8"/>
    <w:rsid w:val="00107358"/>
    <w:rsid w:val="001104C2"/>
    <w:rsid w:val="00116F15"/>
    <w:rsid w:val="001252FD"/>
    <w:rsid w:val="00125D06"/>
    <w:rsid w:val="0013189C"/>
    <w:rsid w:val="00142510"/>
    <w:rsid w:val="001A4FB1"/>
    <w:rsid w:val="001C20DD"/>
    <w:rsid w:val="001C3728"/>
    <w:rsid w:val="002205BE"/>
    <w:rsid w:val="00241FE1"/>
    <w:rsid w:val="002604A7"/>
    <w:rsid w:val="00260AA9"/>
    <w:rsid w:val="00295DD4"/>
    <w:rsid w:val="002B07EC"/>
    <w:rsid w:val="002B0918"/>
    <w:rsid w:val="003003B3"/>
    <w:rsid w:val="00302443"/>
    <w:rsid w:val="00305D13"/>
    <w:rsid w:val="00317B38"/>
    <w:rsid w:val="00335643"/>
    <w:rsid w:val="00350715"/>
    <w:rsid w:val="00360536"/>
    <w:rsid w:val="003C00B3"/>
    <w:rsid w:val="003E1422"/>
    <w:rsid w:val="003F2328"/>
    <w:rsid w:val="003F5681"/>
    <w:rsid w:val="0040382B"/>
    <w:rsid w:val="004223BB"/>
    <w:rsid w:val="00426404"/>
    <w:rsid w:val="00492A6D"/>
    <w:rsid w:val="00505693"/>
    <w:rsid w:val="00522215"/>
    <w:rsid w:val="005337F0"/>
    <w:rsid w:val="00544F39"/>
    <w:rsid w:val="00560D37"/>
    <w:rsid w:val="005675E8"/>
    <w:rsid w:val="005A3465"/>
    <w:rsid w:val="005B46AA"/>
    <w:rsid w:val="006013A9"/>
    <w:rsid w:val="00614A64"/>
    <w:rsid w:val="006162B5"/>
    <w:rsid w:val="00637744"/>
    <w:rsid w:val="00662E5C"/>
    <w:rsid w:val="0066793A"/>
    <w:rsid w:val="006B1F99"/>
    <w:rsid w:val="006F21BB"/>
    <w:rsid w:val="00717ED3"/>
    <w:rsid w:val="00757F3E"/>
    <w:rsid w:val="007B4F47"/>
    <w:rsid w:val="007B53A6"/>
    <w:rsid w:val="007B6920"/>
    <w:rsid w:val="007C4128"/>
    <w:rsid w:val="007E79DC"/>
    <w:rsid w:val="007F086B"/>
    <w:rsid w:val="00812447"/>
    <w:rsid w:val="0081785B"/>
    <w:rsid w:val="008543B5"/>
    <w:rsid w:val="00857C37"/>
    <w:rsid w:val="00874299"/>
    <w:rsid w:val="00877495"/>
    <w:rsid w:val="00893C8D"/>
    <w:rsid w:val="008B3743"/>
    <w:rsid w:val="008B4145"/>
    <w:rsid w:val="008D6770"/>
    <w:rsid w:val="008F6F3F"/>
    <w:rsid w:val="00912FC9"/>
    <w:rsid w:val="00920314"/>
    <w:rsid w:val="00920EBF"/>
    <w:rsid w:val="00971318"/>
    <w:rsid w:val="009721A4"/>
    <w:rsid w:val="00985AB6"/>
    <w:rsid w:val="0099680A"/>
    <w:rsid w:val="009B486D"/>
    <w:rsid w:val="009D0CAF"/>
    <w:rsid w:val="00A00E2F"/>
    <w:rsid w:val="00A05F54"/>
    <w:rsid w:val="00A36063"/>
    <w:rsid w:val="00A41108"/>
    <w:rsid w:val="00A4137F"/>
    <w:rsid w:val="00A809F1"/>
    <w:rsid w:val="00A8570A"/>
    <w:rsid w:val="00AA68F7"/>
    <w:rsid w:val="00AB6F86"/>
    <w:rsid w:val="00AC66D5"/>
    <w:rsid w:val="00AD204C"/>
    <w:rsid w:val="00AD3944"/>
    <w:rsid w:val="00AE3537"/>
    <w:rsid w:val="00AE3EC2"/>
    <w:rsid w:val="00AF76B5"/>
    <w:rsid w:val="00B2398E"/>
    <w:rsid w:val="00B30EAE"/>
    <w:rsid w:val="00B61645"/>
    <w:rsid w:val="00BA3AA6"/>
    <w:rsid w:val="00BB284C"/>
    <w:rsid w:val="00BB4AC6"/>
    <w:rsid w:val="00BC44C5"/>
    <w:rsid w:val="00C27F2F"/>
    <w:rsid w:val="00C47932"/>
    <w:rsid w:val="00C54626"/>
    <w:rsid w:val="00C80A49"/>
    <w:rsid w:val="00CB05B4"/>
    <w:rsid w:val="00D0112C"/>
    <w:rsid w:val="00D34F0C"/>
    <w:rsid w:val="00DA6E63"/>
    <w:rsid w:val="00DD38BD"/>
    <w:rsid w:val="00DE3C6F"/>
    <w:rsid w:val="00E00706"/>
    <w:rsid w:val="00E06B0B"/>
    <w:rsid w:val="00E07AC7"/>
    <w:rsid w:val="00E12855"/>
    <w:rsid w:val="00E31FAC"/>
    <w:rsid w:val="00E601F8"/>
    <w:rsid w:val="00E74355"/>
    <w:rsid w:val="00E91A55"/>
    <w:rsid w:val="00E95C96"/>
    <w:rsid w:val="00EA0425"/>
    <w:rsid w:val="00EA3092"/>
    <w:rsid w:val="00EB468D"/>
    <w:rsid w:val="00EB4FC0"/>
    <w:rsid w:val="00EE3DAD"/>
    <w:rsid w:val="00EF6723"/>
    <w:rsid w:val="00F05FE8"/>
    <w:rsid w:val="00F80FA8"/>
    <w:rsid w:val="00F8177A"/>
    <w:rsid w:val="00FD6E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0A9A"/>
  <w15:docId w15:val="{81694568-DC27-4229-98E4-7D5A7793E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C8D"/>
    <w:pPr>
      <w:ind w:left="720"/>
      <w:contextualSpacing/>
    </w:pPr>
  </w:style>
  <w:style w:type="paragraph" w:styleId="Header">
    <w:name w:val="header"/>
    <w:basedOn w:val="Normal"/>
    <w:link w:val="HeaderChar"/>
    <w:uiPriority w:val="99"/>
    <w:unhideWhenUsed/>
    <w:rsid w:val="00EB46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68D"/>
    <w:rPr>
      <w:lang w:val="fr-FR"/>
    </w:rPr>
  </w:style>
  <w:style w:type="paragraph" w:styleId="Footer">
    <w:name w:val="footer"/>
    <w:basedOn w:val="Normal"/>
    <w:link w:val="FooterChar"/>
    <w:uiPriority w:val="99"/>
    <w:unhideWhenUsed/>
    <w:rsid w:val="00EB46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68D"/>
    <w:rPr>
      <w:lang w:val="fr-FR"/>
    </w:rPr>
  </w:style>
  <w:style w:type="paragraph" w:styleId="Revision">
    <w:name w:val="Revision"/>
    <w:hidden/>
    <w:uiPriority w:val="99"/>
    <w:semiHidden/>
    <w:rsid w:val="001104C2"/>
    <w:pPr>
      <w:spacing w:after="0" w:line="240" w:lineRule="auto"/>
    </w:pPr>
  </w:style>
  <w:style w:type="character" w:styleId="CommentReference">
    <w:name w:val="annotation reference"/>
    <w:basedOn w:val="DefaultParagraphFont"/>
    <w:uiPriority w:val="99"/>
    <w:semiHidden/>
    <w:unhideWhenUsed/>
    <w:rsid w:val="001104C2"/>
    <w:rPr>
      <w:sz w:val="16"/>
      <w:szCs w:val="16"/>
    </w:rPr>
  </w:style>
  <w:style w:type="paragraph" w:styleId="CommentText">
    <w:name w:val="annotation text"/>
    <w:basedOn w:val="Normal"/>
    <w:link w:val="CommentTextChar"/>
    <w:uiPriority w:val="99"/>
    <w:unhideWhenUsed/>
    <w:rsid w:val="001104C2"/>
    <w:pPr>
      <w:spacing w:line="240" w:lineRule="auto"/>
    </w:pPr>
    <w:rPr>
      <w:sz w:val="20"/>
      <w:szCs w:val="20"/>
    </w:rPr>
  </w:style>
  <w:style w:type="character" w:customStyle="1" w:styleId="CommentTextChar">
    <w:name w:val="Comment Text Char"/>
    <w:basedOn w:val="DefaultParagraphFont"/>
    <w:link w:val="CommentText"/>
    <w:uiPriority w:val="99"/>
    <w:rsid w:val="001104C2"/>
    <w:rPr>
      <w:sz w:val="20"/>
      <w:szCs w:val="20"/>
      <w:lang w:val="fr-FR"/>
    </w:rPr>
  </w:style>
  <w:style w:type="paragraph" w:styleId="CommentSubject">
    <w:name w:val="annotation subject"/>
    <w:basedOn w:val="CommentText"/>
    <w:next w:val="CommentText"/>
    <w:link w:val="CommentSubjectChar"/>
    <w:uiPriority w:val="99"/>
    <w:semiHidden/>
    <w:unhideWhenUsed/>
    <w:rsid w:val="001104C2"/>
    <w:rPr>
      <w:b/>
      <w:bCs/>
    </w:rPr>
  </w:style>
  <w:style w:type="character" w:customStyle="1" w:styleId="CommentSubjectChar">
    <w:name w:val="Comment Subject Char"/>
    <w:basedOn w:val="CommentTextChar"/>
    <w:link w:val="CommentSubject"/>
    <w:uiPriority w:val="99"/>
    <w:semiHidden/>
    <w:rsid w:val="001104C2"/>
    <w:rPr>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274139">
      <w:bodyDiv w:val="1"/>
      <w:marLeft w:val="0"/>
      <w:marRight w:val="0"/>
      <w:marTop w:val="0"/>
      <w:marBottom w:val="0"/>
      <w:divBdr>
        <w:top w:val="none" w:sz="0" w:space="0" w:color="auto"/>
        <w:left w:val="none" w:sz="0" w:space="0" w:color="auto"/>
        <w:bottom w:val="none" w:sz="0" w:space="0" w:color="auto"/>
        <w:right w:val="none" w:sz="0" w:space="0" w:color="auto"/>
      </w:divBdr>
    </w:div>
    <w:div w:id="993214727">
      <w:bodyDiv w:val="1"/>
      <w:marLeft w:val="0"/>
      <w:marRight w:val="0"/>
      <w:marTop w:val="0"/>
      <w:marBottom w:val="0"/>
      <w:divBdr>
        <w:top w:val="none" w:sz="0" w:space="0" w:color="auto"/>
        <w:left w:val="none" w:sz="0" w:space="0" w:color="auto"/>
        <w:bottom w:val="none" w:sz="0" w:space="0" w:color="auto"/>
        <w:right w:val="none" w:sz="0" w:space="0" w:color="auto"/>
      </w:divBdr>
    </w:div>
    <w:div w:id="1323387217">
      <w:bodyDiv w:val="1"/>
      <w:marLeft w:val="0"/>
      <w:marRight w:val="0"/>
      <w:marTop w:val="0"/>
      <w:marBottom w:val="0"/>
      <w:divBdr>
        <w:top w:val="none" w:sz="0" w:space="0" w:color="auto"/>
        <w:left w:val="none" w:sz="0" w:space="0" w:color="auto"/>
        <w:bottom w:val="none" w:sz="0" w:space="0" w:color="auto"/>
        <w:right w:val="none" w:sz="0" w:space="0" w:color="auto"/>
      </w:divBdr>
    </w:div>
    <w:div w:id="1566717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Campoy</dc:creator>
  <cp:keywords/>
  <dc:description/>
  <cp:lastModifiedBy>auteur</cp:lastModifiedBy>
  <cp:revision>11</cp:revision>
  <dcterms:created xsi:type="dcterms:W3CDTF">2023-11-20T10:03:00Z</dcterms:created>
  <dcterms:modified xsi:type="dcterms:W3CDTF">2023-12-15T08:48:00Z</dcterms:modified>
</cp:coreProperties>
</file>