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BA3668" w:rsidRDefault="00707E29" w:rsidP="008F016B">
      <w:pPr>
        <w:widowControl w:val="0"/>
        <w:pBdr>
          <w:top w:val="double" w:sz="4" w:space="1" w:color="000000"/>
          <w:left w:val="double" w:sz="4" w:space="4" w:color="000000"/>
          <w:bottom w:val="double" w:sz="4" w:space="1" w:color="000000"/>
          <w:right w:val="double" w:sz="4" w:space="4" w:color="000000"/>
        </w:pBdr>
        <w:spacing w:after="0"/>
        <w:ind w:left="8222" w:hanging="8222"/>
        <w:jc w:val="center"/>
        <w:rPr>
          <w:rFonts w:ascii="Cambria" w:eastAsia="Cambria" w:hAnsi="Cambria" w:cs="Cambria"/>
          <w:b/>
          <w:sz w:val="20"/>
          <w:szCs w:val="20"/>
        </w:rPr>
      </w:pPr>
      <w:bookmarkStart w:id="0" w:name="_heading=h.gjdgxs" w:colFirst="0" w:colLast="0"/>
      <w:bookmarkEnd w:id="0"/>
      <w:r>
        <w:rPr>
          <w:rFonts w:ascii="Cambria" w:eastAsia="Cambria" w:hAnsi="Cambria" w:cs="Cambria"/>
          <w:b/>
          <w:sz w:val="20"/>
          <w:szCs w:val="20"/>
        </w:rPr>
        <w:t>23-23</w:t>
      </w:r>
      <w:r>
        <w:rPr>
          <w:rFonts w:ascii="Cambria" w:eastAsia="Cambria" w:hAnsi="Cambria" w:cs="Cambria"/>
          <w:b/>
          <w:sz w:val="20"/>
          <w:szCs w:val="20"/>
        </w:rPr>
        <w:tab/>
        <w:t xml:space="preserve">        MISC</w:t>
      </w:r>
    </w:p>
    <w:p w14:paraId="1234DD0B" w14:textId="77777777" w:rsidR="000833E0" w:rsidRDefault="00707E29" w:rsidP="008F016B">
      <w:pPr>
        <w:pBdr>
          <w:top w:val="double" w:sz="4" w:space="1" w:color="000000"/>
          <w:left w:val="double" w:sz="4" w:space="4" w:color="000000"/>
          <w:bottom w:val="double" w:sz="4" w:space="1" w:color="000000"/>
          <w:right w:val="double" w:sz="4" w:space="4" w:color="000000"/>
        </w:pBdr>
        <w:spacing w:after="0"/>
        <w:jc w:val="center"/>
        <w:rPr>
          <w:rFonts w:ascii="Cambria" w:eastAsia="Cambria" w:hAnsi="Cambria" w:cs="Cambria"/>
          <w:b/>
          <w:sz w:val="20"/>
          <w:szCs w:val="20"/>
        </w:rPr>
      </w:pPr>
      <w:r>
        <w:rPr>
          <w:rFonts w:ascii="Cambria" w:eastAsia="Cambria" w:hAnsi="Cambria" w:cs="Cambria"/>
          <w:b/>
          <w:sz w:val="20"/>
          <w:szCs w:val="20"/>
        </w:rPr>
        <w:t xml:space="preserve">RESOLUTION BY ICCAT ON THE </w:t>
      </w:r>
    </w:p>
    <w:p w14:paraId="00000003" w14:textId="1110BB80" w:rsidR="00BA3668" w:rsidRDefault="00707E29" w:rsidP="008F016B">
      <w:pPr>
        <w:pBdr>
          <w:top w:val="double" w:sz="4" w:space="1" w:color="000000"/>
          <w:left w:val="double" w:sz="4" w:space="4" w:color="000000"/>
          <w:bottom w:val="double" w:sz="4" w:space="1" w:color="000000"/>
          <w:right w:val="double" w:sz="4" w:space="4" w:color="000000"/>
        </w:pBdr>
        <w:spacing w:after="0"/>
        <w:jc w:val="center"/>
        <w:rPr>
          <w:rFonts w:ascii="Cambria" w:eastAsia="Cambria" w:hAnsi="Cambria" w:cs="Cambria"/>
          <w:b/>
          <w:sz w:val="20"/>
          <w:szCs w:val="20"/>
        </w:rPr>
      </w:pPr>
      <w:r>
        <w:rPr>
          <w:rFonts w:ascii="Cambria" w:eastAsia="Cambria" w:hAnsi="Cambria" w:cs="Cambria"/>
          <w:b/>
          <w:sz w:val="20"/>
          <w:szCs w:val="20"/>
        </w:rPr>
        <w:t>IMPLEMENTATION OF BIODIVERSITY CONSERVATION INSTRUMENTS</w:t>
      </w:r>
    </w:p>
    <w:p w14:paraId="00000004" w14:textId="77777777" w:rsidR="00BA3668" w:rsidRDefault="00BA3668">
      <w:pPr>
        <w:spacing w:after="0" w:line="240" w:lineRule="auto"/>
        <w:jc w:val="center"/>
        <w:rPr>
          <w:rFonts w:ascii="Cambria" w:eastAsia="Cambria" w:hAnsi="Cambria" w:cs="Cambria"/>
          <w:sz w:val="20"/>
          <w:szCs w:val="20"/>
        </w:rPr>
      </w:pPr>
    </w:p>
    <w:p w14:paraId="00000005" w14:textId="77777777" w:rsidR="00BA3668" w:rsidRDefault="00BA3668">
      <w:pPr>
        <w:spacing w:after="0" w:line="240" w:lineRule="auto"/>
        <w:jc w:val="center"/>
        <w:rPr>
          <w:rFonts w:ascii="Cambria" w:eastAsia="Cambria" w:hAnsi="Cambria" w:cs="Cambria"/>
          <w:sz w:val="20"/>
          <w:szCs w:val="20"/>
        </w:rPr>
      </w:pPr>
    </w:p>
    <w:p w14:paraId="00000006" w14:textId="77777777" w:rsidR="00BA3668" w:rsidRDefault="00707E29">
      <w:pPr>
        <w:spacing w:after="0" w:line="240" w:lineRule="auto"/>
        <w:ind w:firstLine="426"/>
        <w:jc w:val="both"/>
        <w:rPr>
          <w:rFonts w:ascii="Cambria" w:eastAsia="Cambria" w:hAnsi="Cambria" w:cs="Cambria"/>
          <w:color w:val="222222"/>
          <w:sz w:val="20"/>
          <w:szCs w:val="20"/>
        </w:rPr>
      </w:pPr>
      <w:bookmarkStart w:id="1" w:name="_heading=h.30j0zll" w:colFirst="0" w:colLast="0"/>
      <w:bookmarkEnd w:id="1"/>
      <w:r>
        <w:rPr>
          <w:rFonts w:ascii="Cambria" w:eastAsia="Cambria" w:hAnsi="Cambria" w:cs="Cambria"/>
          <w:i/>
          <w:color w:val="222222"/>
          <w:sz w:val="20"/>
          <w:szCs w:val="20"/>
        </w:rPr>
        <w:t>NOTING</w:t>
      </w:r>
      <w:r>
        <w:rPr>
          <w:rFonts w:ascii="Cambria" w:eastAsia="Cambria" w:hAnsi="Cambria" w:cs="Cambria"/>
          <w:color w:val="222222"/>
          <w:sz w:val="20"/>
          <w:szCs w:val="20"/>
        </w:rPr>
        <w:t xml:space="preserve"> the recent conclusion of</w:t>
      </w:r>
      <w:r>
        <w:rPr>
          <w:rFonts w:ascii="Cambria" w:eastAsia="Cambria" w:hAnsi="Cambria" w:cs="Cambria"/>
          <w:b/>
          <w:color w:val="222222"/>
          <w:sz w:val="20"/>
          <w:szCs w:val="20"/>
        </w:rPr>
        <w:t xml:space="preserve"> </w:t>
      </w:r>
      <w:r>
        <w:rPr>
          <w:rFonts w:ascii="Cambria" w:eastAsia="Cambria" w:hAnsi="Cambria" w:cs="Cambria"/>
          <w:color w:val="222222"/>
          <w:sz w:val="20"/>
          <w:szCs w:val="20"/>
        </w:rPr>
        <w:t xml:space="preserve">two new international instruments related to conservation and sustainable use of biodiversity, notably the Agreement under the United Nations Convention on the Law of the Sea on the Conservation and Sustainable Use of Marine Biological Diversity of Areas Beyond National Jurisdiction, and the Kunming-Montreal Global Biodiversity Framework under the Convention on Biological </w:t>
      </w:r>
      <w:proofErr w:type="gramStart"/>
      <w:r>
        <w:rPr>
          <w:rFonts w:ascii="Cambria" w:eastAsia="Cambria" w:hAnsi="Cambria" w:cs="Cambria"/>
          <w:color w:val="222222"/>
          <w:sz w:val="20"/>
          <w:szCs w:val="20"/>
        </w:rPr>
        <w:t>Diversity;</w:t>
      </w:r>
      <w:proofErr w:type="gramEnd"/>
    </w:p>
    <w:p w14:paraId="00000007" w14:textId="77777777" w:rsidR="00BA3668" w:rsidRDefault="00BA3668">
      <w:pPr>
        <w:shd w:val="clear" w:color="auto" w:fill="FFFFFF"/>
        <w:spacing w:after="0" w:line="240" w:lineRule="auto"/>
        <w:jc w:val="both"/>
        <w:rPr>
          <w:rFonts w:ascii="Cambria" w:eastAsia="Cambria" w:hAnsi="Cambria" w:cs="Cambria"/>
          <w:color w:val="222222"/>
          <w:sz w:val="20"/>
          <w:szCs w:val="20"/>
        </w:rPr>
      </w:pPr>
    </w:p>
    <w:p w14:paraId="00000008" w14:textId="77777777" w:rsidR="00BA3668" w:rsidRDefault="00707E29">
      <w:pPr>
        <w:spacing w:after="0" w:line="240" w:lineRule="auto"/>
        <w:ind w:firstLine="426"/>
        <w:jc w:val="both"/>
        <w:rPr>
          <w:rFonts w:ascii="Cambria" w:eastAsia="Cambria" w:hAnsi="Cambria" w:cs="Cambria"/>
          <w:color w:val="222222"/>
          <w:sz w:val="20"/>
          <w:szCs w:val="20"/>
        </w:rPr>
      </w:pPr>
      <w:r>
        <w:rPr>
          <w:rFonts w:ascii="Cambria" w:eastAsia="Cambria" w:hAnsi="Cambria" w:cs="Cambria"/>
          <w:i/>
          <w:color w:val="222222"/>
          <w:sz w:val="20"/>
          <w:szCs w:val="20"/>
        </w:rPr>
        <w:t>CONSIDERING</w:t>
      </w:r>
      <w:r>
        <w:rPr>
          <w:rFonts w:ascii="Cambria" w:eastAsia="Cambria" w:hAnsi="Cambria" w:cs="Cambria"/>
          <w:color w:val="222222"/>
          <w:sz w:val="20"/>
          <w:szCs w:val="20"/>
        </w:rPr>
        <w:t xml:space="preserve"> that the Commission’s mandate to sustainably manage tuna and tuna-like species within the Convention area has significant relevance to the processes, objectives, and targets under these instruments, and </w:t>
      </w:r>
      <w:proofErr w:type="gramStart"/>
      <w:r>
        <w:rPr>
          <w:rFonts w:ascii="Cambria" w:eastAsia="Cambria" w:hAnsi="Cambria" w:cs="Cambria"/>
          <w:color w:val="222222"/>
          <w:sz w:val="20"/>
          <w:szCs w:val="20"/>
        </w:rPr>
        <w:t>vice versa;</w:t>
      </w:r>
      <w:proofErr w:type="gramEnd"/>
    </w:p>
    <w:p w14:paraId="00000009" w14:textId="77777777" w:rsidR="00BA3668" w:rsidRDefault="00BA3668">
      <w:pPr>
        <w:spacing w:after="0" w:line="240" w:lineRule="auto"/>
        <w:jc w:val="both"/>
        <w:rPr>
          <w:rFonts w:ascii="Cambria" w:eastAsia="Cambria" w:hAnsi="Cambria" w:cs="Cambria"/>
          <w:sz w:val="20"/>
          <w:szCs w:val="20"/>
        </w:rPr>
      </w:pPr>
    </w:p>
    <w:p w14:paraId="0000000A" w14:textId="77777777" w:rsidR="00BA3668" w:rsidRDefault="00707E29">
      <w:pPr>
        <w:spacing w:after="0" w:line="240" w:lineRule="auto"/>
        <w:ind w:firstLine="426"/>
        <w:jc w:val="both"/>
        <w:rPr>
          <w:rFonts w:ascii="Cambria" w:eastAsia="Cambria" w:hAnsi="Cambria" w:cs="Cambria"/>
          <w:sz w:val="20"/>
          <w:szCs w:val="20"/>
        </w:rPr>
      </w:pPr>
      <w:r>
        <w:rPr>
          <w:rFonts w:ascii="Cambria" w:eastAsia="Cambria" w:hAnsi="Cambria" w:cs="Cambria"/>
          <w:i/>
          <w:sz w:val="20"/>
          <w:szCs w:val="20"/>
        </w:rPr>
        <w:t>FURTHER CONSIDERING</w:t>
      </w:r>
      <w:r>
        <w:rPr>
          <w:rFonts w:ascii="Cambria" w:eastAsia="Cambria" w:hAnsi="Cambria" w:cs="Cambria"/>
          <w:sz w:val="20"/>
          <w:szCs w:val="20"/>
        </w:rPr>
        <w:t xml:space="preserve"> that the Commission has accumulated, over many years, an extraordinary level of expertise in fisheries and marine science, of experience in fisheries management and ocean governance; and aware that the expertise and experience should be of utmost importance to ensure an effective, evidence-based implementation of the new global instruments in the pelagic </w:t>
      </w:r>
      <w:proofErr w:type="gramStart"/>
      <w:r>
        <w:rPr>
          <w:rFonts w:ascii="Cambria" w:eastAsia="Cambria" w:hAnsi="Cambria" w:cs="Cambria"/>
          <w:sz w:val="20"/>
          <w:szCs w:val="20"/>
        </w:rPr>
        <w:t>ecosystem;</w:t>
      </w:r>
      <w:proofErr w:type="gramEnd"/>
    </w:p>
    <w:p w14:paraId="0000000B" w14:textId="77777777" w:rsidR="00BA3668" w:rsidRDefault="00BA3668">
      <w:pPr>
        <w:spacing w:after="0" w:line="240" w:lineRule="auto"/>
        <w:ind w:firstLine="360"/>
        <w:jc w:val="both"/>
        <w:rPr>
          <w:rFonts w:ascii="Cambria" w:eastAsia="Cambria" w:hAnsi="Cambria" w:cs="Cambria"/>
          <w:sz w:val="20"/>
          <w:szCs w:val="20"/>
        </w:rPr>
      </w:pPr>
    </w:p>
    <w:p w14:paraId="0000000C" w14:textId="77777777" w:rsidR="00BA3668" w:rsidRDefault="00BA3668">
      <w:pPr>
        <w:spacing w:after="0" w:line="240" w:lineRule="auto"/>
        <w:jc w:val="both"/>
        <w:rPr>
          <w:rFonts w:ascii="Cambria" w:eastAsia="Cambria" w:hAnsi="Cambria" w:cs="Cambria"/>
          <w:sz w:val="20"/>
          <w:szCs w:val="20"/>
        </w:rPr>
      </w:pPr>
    </w:p>
    <w:p w14:paraId="0000000D" w14:textId="77777777" w:rsidR="00BA3668" w:rsidRDefault="00707E29">
      <w:pPr>
        <w:spacing w:after="0" w:line="240" w:lineRule="auto"/>
        <w:jc w:val="center"/>
        <w:rPr>
          <w:rFonts w:ascii="Cambria" w:eastAsia="Cambria" w:hAnsi="Cambria" w:cs="Cambria"/>
          <w:sz w:val="20"/>
          <w:szCs w:val="20"/>
        </w:rPr>
      </w:pPr>
      <w:r>
        <w:rPr>
          <w:rFonts w:ascii="Cambria" w:eastAsia="Cambria" w:hAnsi="Cambria" w:cs="Cambria"/>
          <w:sz w:val="20"/>
          <w:szCs w:val="20"/>
        </w:rPr>
        <w:t>THE INTERNATIONAL COMMISSION FOR THE CONSERVATION</w:t>
      </w:r>
    </w:p>
    <w:p w14:paraId="0000000E" w14:textId="77777777" w:rsidR="00BA3668" w:rsidRDefault="00707E29">
      <w:pPr>
        <w:spacing w:after="0" w:line="240" w:lineRule="auto"/>
        <w:jc w:val="center"/>
        <w:rPr>
          <w:rFonts w:ascii="Cambria" w:eastAsia="Cambria" w:hAnsi="Cambria" w:cs="Cambria"/>
          <w:sz w:val="20"/>
          <w:szCs w:val="20"/>
        </w:rPr>
      </w:pPr>
      <w:r>
        <w:rPr>
          <w:rFonts w:ascii="Cambria" w:eastAsia="Cambria" w:hAnsi="Cambria" w:cs="Cambria"/>
          <w:sz w:val="20"/>
          <w:szCs w:val="20"/>
        </w:rPr>
        <w:t>OF ATLANTIC TUNAS (ICCAT) RESOLVES THAT:</w:t>
      </w:r>
    </w:p>
    <w:p w14:paraId="0000000F" w14:textId="77777777" w:rsidR="00BA3668" w:rsidRDefault="00BA3668">
      <w:pPr>
        <w:spacing w:after="0" w:line="240" w:lineRule="auto"/>
        <w:jc w:val="both"/>
        <w:rPr>
          <w:rFonts w:ascii="Cambria" w:eastAsia="Cambria" w:hAnsi="Cambria" w:cs="Cambria"/>
          <w:sz w:val="20"/>
          <w:szCs w:val="20"/>
        </w:rPr>
      </w:pPr>
    </w:p>
    <w:p w14:paraId="00000010" w14:textId="77777777" w:rsidR="00BA3668" w:rsidRDefault="00707E29">
      <w:pPr>
        <w:numPr>
          <w:ilvl w:val="0"/>
          <w:numId w:val="1"/>
        </w:numPr>
        <w:pBdr>
          <w:top w:val="nil"/>
          <w:left w:val="nil"/>
          <w:bottom w:val="nil"/>
          <w:right w:val="nil"/>
          <w:between w:val="nil"/>
        </w:pBdr>
        <w:spacing w:after="0" w:line="240" w:lineRule="auto"/>
        <w:ind w:left="851" w:hanging="425"/>
        <w:jc w:val="both"/>
        <w:rPr>
          <w:rFonts w:ascii="Cambria" w:eastAsia="Cambria" w:hAnsi="Cambria" w:cs="Cambria"/>
          <w:color w:val="000000"/>
          <w:sz w:val="20"/>
          <w:szCs w:val="20"/>
        </w:rPr>
      </w:pPr>
      <w:r>
        <w:rPr>
          <w:rFonts w:ascii="Cambria" w:eastAsia="Cambria" w:hAnsi="Cambria" w:cs="Cambria"/>
          <w:color w:val="000000"/>
          <w:sz w:val="20"/>
          <w:szCs w:val="20"/>
        </w:rPr>
        <w:t xml:space="preserve">Its members should further ensure the necessary coordination with a view to duly take into account the fisheries managed by ICCAT when implementing the new instruments, and should explore all possible ways in which the Commission could take an active role in the discussions leading up to the implementation of these </w:t>
      </w:r>
      <w:proofErr w:type="gramStart"/>
      <w:r>
        <w:rPr>
          <w:rFonts w:ascii="Cambria" w:eastAsia="Cambria" w:hAnsi="Cambria" w:cs="Cambria"/>
          <w:color w:val="000000"/>
          <w:sz w:val="20"/>
          <w:szCs w:val="20"/>
        </w:rPr>
        <w:t>instruments;</w:t>
      </w:r>
      <w:proofErr w:type="gramEnd"/>
    </w:p>
    <w:p w14:paraId="00000011" w14:textId="77777777" w:rsidR="00BA3668" w:rsidRDefault="00BA3668">
      <w:pPr>
        <w:pBdr>
          <w:top w:val="nil"/>
          <w:left w:val="nil"/>
          <w:bottom w:val="nil"/>
          <w:right w:val="nil"/>
          <w:between w:val="nil"/>
        </w:pBdr>
        <w:spacing w:after="0" w:line="240" w:lineRule="auto"/>
        <w:ind w:left="720"/>
        <w:jc w:val="both"/>
        <w:rPr>
          <w:rFonts w:ascii="Cambria" w:eastAsia="Cambria" w:hAnsi="Cambria" w:cs="Cambria"/>
          <w:color w:val="000000"/>
          <w:sz w:val="20"/>
          <w:szCs w:val="20"/>
        </w:rPr>
      </w:pPr>
    </w:p>
    <w:p w14:paraId="00000012" w14:textId="0BC3B6AF" w:rsidR="00BA3668" w:rsidRPr="003F57DA" w:rsidRDefault="00707E29">
      <w:pPr>
        <w:numPr>
          <w:ilvl w:val="0"/>
          <w:numId w:val="1"/>
        </w:numPr>
        <w:pBdr>
          <w:top w:val="nil"/>
          <w:left w:val="nil"/>
          <w:bottom w:val="nil"/>
          <w:right w:val="nil"/>
          <w:between w:val="nil"/>
        </w:pBdr>
        <w:spacing w:after="0" w:line="240" w:lineRule="auto"/>
        <w:ind w:left="851" w:hanging="425"/>
        <w:jc w:val="both"/>
        <w:rPr>
          <w:rFonts w:ascii="Cambria" w:eastAsia="Cambria" w:hAnsi="Cambria" w:cs="Cambria"/>
          <w:color w:val="000000"/>
          <w:sz w:val="20"/>
          <w:szCs w:val="20"/>
        </w:rPr>
      </w:pPr>
      <w:r>
        <w:rPr>
          <w:rFonts w:ascii="Cambria" w:eastAsia="Cambria" w:hAnsi="Cambria" w:cs="Cambria"/>
          <w:color w:val="000000"/>
          <w:sz w:val="20"/>
          <w:szCs w:val="20"/>
        </w:rPr>
        <w:t xml:space="preserve">Its members should further promote collaboration with other Regional Fisheries Management </w:t>
      </w:r>
      <w:r w:rsidRPr="003F57DA">
        <w:rPr>
          <w:rFonts w:ascii="Cambria" w:eastAsia="Cambria" w:hAnsi="Cambria" w:cs="Cambria"/>
          <w:color w:val="000000"/>
          <w:sz w:val="20"/>
          <w:szCs w:val="20"/>
        </w:rPr>
        <w:t xml:space="preserve">Organizations (RFMOs), and, in particular, tuna RFMOs, with a view to a possible concerted approach by RFMOs towards the implementation of the new </w:t>
      </w:r>
      <w:proofErr w:type="gramStart"/>
      <w:r w:rsidRPr="003F57DA">
        <w:rPr>
          <w:rFonts w:ascii="Cambria" w:eastAsia="Cambria" w:hAnsi="Cambria" w:cs="Cambria"/>
          <w:color w:val="000000"/>
          <w:sz w:val="20"/>
          <w:szCs w:val="20"/>
        </w:rPr>
        <w:t>instruments;</w:t>
      </w:r>
      <w:proofErr w:type="gramEnd"/>
    </w:p>
    <w:p w14:paraId="00000013" w14:textId="77777777" w:rsidR="00BA3668" w:rsidRPr="003F57DA" w:rsidRDefault="00BA3668">
      <w:pPr>
        <w:pBdr>
          <w:top w:val="nil"/>
          <w:left w:val="nil"/>
          <w:bottom w:val="nil"/>
          <w:right w:val="nil"/>
          <w:between w:val="nil"/>
        </w:pBdr>
        <w:spacing w:after="0" w:line="240" w:lineRule="auto"/>
        <w:ind w:left="720"/>
        <w:jc w:val="both"/>
        <w:rPr>
          <w:rFonts w:ascii="Cambria" w:eastAsia="Cambria" w:hAnsi="Cambria" w:cs="Cambria"/>
          <w:color w:val="000000"/>
          <w:sz w:val="20"/>
          <w:szCs w:val="20"/>
        </w:rPr>
      </w:pPr>
    </w:p>
    <w:p w14:paraId="00000014" w14:textId="445758A9" w:rsidR="00BA3668" w:rsidRPr="003F57DA" w:rsidRDefault="00707E29">
      <w:pPr>
        <w:numPr>
          <w:ilvl w:val="0"/>
          <w:numId w:val="1"/>
        </w:numPr>
        <w:pBdr>
          <w:top w:val="nil"/>
          <w:left w:val="nil"/>
          <w:bottom w:val="nil"/>
          <w:right w:val="nil"/>
          <w:between w:val="nil"/>
        </w:pBdr>
        <w:spacing w:after="0" w:line="240" w:lineRule="auto"/>
        <w:ind w:left="851" w:hanging="425"/>
        <w:jc w:val="both"/>
        <w:rPr>
          <w:rFonts w:ascii="Cambria" w:eastAsia="Cambria" w:hAnsi="Cambria" w:cs="Cambria"/>
          <w:color w:val="000000"/>
          <w:sz w:val="20"/>
          <w:szCs w:val="20"/>
        </w:rPr>
      </w:pPr>
      <w:r w:rsidRPr="003F57DA">
        <w:rPr>
          <w:rFonts w:ascii="Cambria" w:eastAsia="Cambria" w:hAnsi="Cambria" w:cs="Cambria"/>
          <w:color w:val="000000"/>
          <w:sz w:val="20"/>
          <w:szCs w:val="20"/>
        </w:rPr>
        <w:t>The Secretariat should collaborate with the SCRS to evaluate the possibility for the SCRS</w:t>
      </w:r>
      <w:r w:rsidR="00666122" w:rsidRPr="003F57DA">
        <w:rPr>
          <w:rFonts w:ascii="Cambria" w:eastAsia="Cambria" w:hAnsi="Cambria" w:cs="Cambria"/>
          <w:color w:val="000000"/>
          <w:sz w:val="20"/>
          <w:szCs w:val="20"/>
        </w:rPr>
        <w:t xml:space="preserve"> </w:t>
      </w:r>
      <w:r w:rsidRPr="003F57DA">
        <w:rPr>
          <w:rFonts w:ascii="Cambria" w:eastAsia="Cambria" w:hAnsi="Cambria" w:cs="Cambria"/>
          <w:color w:val="000000"/>
          <w:sz w:val="20"/>
          <w:szCs w:val="20"/>
        </w:rPr>
        <w:t xml:space="preserve">to provide expertise and advice for the implementation of the instruments, and explore ways in which the workload of the SCRS could accommodate this new </w:t>
      </w:r>
      <w:proofErr w:type="gramStart"/>
      <w:r w:rsidRPr="003F57DA">
        <w:rPr>
          <w:rFonts w:ascii="Cambria" w:eastAsia="Cambria" w:hAnsi="Cambria" w:cs="Cambria"/>
          <w:color w:val="000000"/>
          <w:sz w:val="20"/>
          <w:szCs w:val="20"/>
        </w:rPr>
        <w:t>task;</w:t>
      </w:r>
      <w:proofErr w:type="gramEnd"/>
    </w:p>
    <w:p w14:paraId="00000015" w14:textId="77777777" w:rsidR="00BA3668" w:rsidRDefault="00BA3668">
      <w:pPr>
        <w:pBdr>
          <w:top w:val="nil"/>
          <w:left w:val="nil"/>
          <w:bottom w:val="nil"/>
          <w:right w:val="nil"/>
          <w:between w:val="nil"/>
        </w:pBdr>
        <w:spacing w:after="0"/>
        <w:ind w:left="720"/>
        <w:rPr>
          <w:rFonts w:ascii="Cambria" w:eastAsia="Cambria" w:hAnsi="Cambria" w:cs="Cambria"/>
          <w:color w:val="000000"/>
          <w:sz w:val="20"/>
          <w:szCs w:val="20"/>
        </w:rPr>
      </w:pPr>
    </w:p>
    <w:p w14:paraId="00000016" w14:textId="77777777" w:rsidR="00BA3668" w:rsidRDefault="00707E29">
      <w:pPr>
        <w:numPr>
          <w:ilvl w:val="0"/>
          <w:numId w:val="1"/>
        </w:numPr>
        <w:pBdr>
          <w:top w:val="nil"/>
          <w:left w:val="nil"/>
          <w:bottom w:val="nil"/>
          <w:right w:val="nil"/>
          <w:between w:val="nil"/>
        </w:pBdr>
        <w:spacing w:after="0" w:line="240" w:lineRule="auto"/>
        <w:ind w:left="851" w:hanging="425"/>
        <w:jc w:val="both"/>
        <w:rPr>
          <w:rFonts w:ascii="Cambria" w:eastAsia="Cambria" w:hAnsi="Cambria" w:cs="Cambria"/>
          <w:color w:val="000000"/>
          <w:sz w:val="20"/>
          <w:szCs w:val="20"/>
        </w:rPr>
      </w:pPr>
      <w:bookmarkStart w:id="2" w:name="_heading=h.1fob9te" w:colFirst="0" w:colLast="0"/>
      <w:bookmarkEnd w:id="2"/>
      <w:r>
        <w:rPr>
          <w:rFonts w:ascii="Cambria" w:eastAsia="Cambria" w:hAnsi="Cambria" w:cs="Cambria"/>
          <w:color w:val="000000"/>
          <w:sz w:val="20"/>
          <w:szCs w:val="20"/>
        </w:rPr>
        <w:t xml:space="preserve">The SCRS should investigate workable examples of how marine biodiversity can be conserved in a way that is compatible with the conduct of responsible and sustainable fisheries, including other effective area-based conservation measures (OECMs), either as complementary or alternative measures to other area-based </w:t>
      </w:r>
      <w:proofErr w:type="gramStart"/>
      <w:r>
        <w:rPr>
          <w:rFonts w:ascii="Cambria" w:eastAsia="Cambria" w:hAnsi="Cambria" w:cs="Cambria"/>
          <w:color w:val="000000"/>
          <w:sz w:val="20"/>
          <w:szCs w:val="20"/>
        </w:rPr>
        <w:t>approaches;</w:t>
      </w:r>
      <w:proofErr w:type="gramEnd"/>
      <w:r>
        <w:rPr>
          <w:rFonts w:ascii="Cambria" w:eastAsia="Cambria" w:hAnsi="Cambria" w:cs="Cambria"/>
          <w:color w:val="000000"/>
          <w:sz w:val="20"/>
          <w:szCs w:val="20"/>
        </w:rPr>
        <w:t xml:space="preserve"> </w:t>
      </w:r>
    </w:p>
    <w:p w14:paraId="00000017" w14:textId="77777777" w:rsidR="00BA3668" w:rsidRDefault="00BA3668">
      <w:pPr>
        <w:pBdr>
          <w:top w:val="nil"/>
          <w:left w:val="nil"/>
          <w:bottom w:val="nil"/>
          <w:right w:val="nil"/>
          <w:between w:val="nil"/>
        </w:pBdr>
        <w:spacing w:after="0" w:line="240" w:lineRule="auto"/>
        <w:ind w:left="720"/>
        <w:jc w:val="both"/>
        <w:rPr>
          <w:rFonts w:ascii="Cambria" w:eastAsia="Cambria" w:hAnsi="Cambria" w:cs="Cambria"/>
          <w:color w:val="000000"/>
          <w:sz w:val="20"/>
          <w:szCs w:val="20"/>
        </w:rPr>
      </w:pPr>
    </w:p>
    <w:p w14:paraId="00000018" w14:textId="355B1AE0" w:rsidR="00BA3668" w:rsidRDefault="00707E29">
      <w:pPr>
        <w:numPr>
          <w:ilvl w:val="0"/>
          <w:numId w:val="1"/>
        </w:numPr>
        <w:pBdr>
          <w:top w:val="nil"/>
          <w:left w:val="nil"/>
          <w:bottom w:val="nil"/>
          <w:right w:val="nil"/>
          <w:between w:val="nil"/>
        </w:pBdr>
        <w:spacing w:after="0" w:line="240" w:lineRule="auto"/>
        <w:ind w:left="851" w:hanging="425"/>
        <w:jc w:val="both"/>
        <w:rPr>
          <w:rFonts w:ascii="Cambria" w:eastAsia="Cambria" w:hAnsi="Cambria" w:cs="Cambria"/>
          <w:color w:val="000000"/>
          <w:sz w:val="20"/>
          <w:szCs w:val="20"/>
        </w:rPr>
      </w:pPr>
      <w:r>
        <w:rPr>
          <w:rFonts w:ascii="Cambria" w:eastAsia="Cambria" w:hAnsi="Cambria" w:cs="Cambria"/>
          <w:color w:val="000000"/>
          <w:sz w:val="20"/>
          <w:szCs w:val="20"/>
        </w:rPr>
        <w:t>CPCs, the SCRS, and the Secretariat should report regularly to the Commission on progress on the above.</w:t>
      </w:r>
    </w:p>
    <w:p w14:paraId="00000019" w14:textId="77777777" w:rsidR="00BA3668" w:rsidRDefault="00BA3668">
      <w:pPr>
        <w:pBdr>
          <w:top w:val="nil"/>
          <w:left w:val="nil"/>
          <w:bottom w:val="nil"/>
          <w:right w:val="nil"/>
          <w:between w:val="nil"/>
        </w:pBdr>
        <w:spacing w:after="0" w:line="240" w:lineRule="auto"/>
        <w:ind w:left="720"/>
        <w:jc w:val="both"/>
        <w:rPr>
          <w:rFonts w:ascii="Cambria" w:eastAsia="Cambria" w:hAnsi="Cambria" w:cs="Cambria"/>
          <w:color w:val="000000"/>
          <w:sz w:val="20"/>
          <w:szCs w:val="20"/>
        </w:rPr>
      </w:pPr>
    </w:p>
    <w:p w14:paraId="0000001A" w14:textId="4F140415" w:rsidR="00BA3668" w:rsidRDefault="00707E29">
      <w:pPr>
        <w:shd w:val="clear" w:color="auto" w:fill="FFFFFF"/>
        <w:spacing w:after="0" w:line="240" w:lineRule="auto"/>
        <w:jc w:val="both"/>
        <w:rPr>
          <w:rFonts w:ascii="Cambria" w:eastAsia="Cambria" w:hAnsi="Cambria" w:cs="Cambria"/>
          <w:color w:val="222222"/>
          <w:sz w:val="20"/>
          <w:szCs w:val="20"/>
        </w:rPr>
      </w:pPr>
      <w:r>
        <w:rPr>
          <w:rFonts w:ascii="Cambria" w:eastAsia="Cambria" w:hAnsi="Cambria" w:cs="Cambria"/>
          <w:color w:val="222222"/>
          <w:sz w:val="20"/>
          <w:szCs w:val="20"/>
        </w:rPr>
        <w:t xml:space="preserve">At its 2024 </w:t>
      </w:r>
      <w:r w:rsidR="00EA3860">
        <w:rPr>
          <w:rFonts w:ascii="Cambria" w:eastAsia="Cambria" w:hAnsi="Cambria" w:cs="Cambria"/>
          <w:color w:val="222222"/>
          <w:sz w:val="20"/>
          <w:szCs w:val="20"/>
        </w:rPr>
        <w:t xml:space="preserve">Annual </w:t>
      </w:r>
      <w:r>
        <w:rPr>
          <w:rFonts w:ascii="Cambria" w:eastAsia="Cambria" w:hAnsi="Cambria" w:cs="Cambria"/>
          <w:color w:val="222222"/>
          <w:sz w:val="20"/>
          <w:szCs w:val="20"/>
        </w:rPr>
        <w:t xml:space="preserve">meeting, the Commission should discuss how best to ensure that ICCAT has an active role in the discussions leading up to the implementation of these instruments, including by adding a standing agenda item on this issue to the annual meetings of the Commission and SCRS. </w:t>
      </w:r>
    </w:p>
    <w:p w14:paraId="0000001B" w14:textId="77777777" w:rsidR="00BA3668" w:rsidRDefault="00BA3668">
      <w:pPr>
        <w:shd w:val="clear" w:color="auto" w:fill="FFFFFF"/>
        <w:spacing w:after="0" w:line="240" w:lineRule="auto"/>
        <w:ind w:left="720"/>
        <w:rPr>
          <w:rFonts w:ascii="Cambria" w:eastAsia="Cambria" w:hAnsi="Cambria" w:cs="Cambria"/>
          <w:color w:val="222222"/>
          <w:sz w:val="20"/>
          <w:szCs w:val="20"/>
        </w:rPr>
      </w:pPr>
    </w:p>
    <w:p w14:paraId="0000001C" w14:textId="77777777" w:rsidR="00BA3668" w:rsidRDefault="00BA3668">
      <w:pPr>
        <w:spacing w:after="0" w:line="240" w:lineRule="auto"/>
        <w:jc w:val="both"/>
        <w:rPr>
          <w:rFonts w:ascii="Cambria" w:eastAsia="Cambria" w:hAnsi="Cambria" w:cs="Cambria"/>
          <w:sz w:val="20"/>
          <w:szCs w:val="20"/>
        </w:rPr>
      </w:pPr>
    </w:p>
    <w:sectPr w:rsidR="00BA3668">
      <w:footerReference w:type="default" r:id="rId7"/>
      <w:pgSz w:w="11909" w:h="16834"/>
      <w:pgMar w:top="1418" w:right="1418" w:bottom="1418" w:left="1418" w:header="851" w:footer="113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6DECD9" w14:textId="77777777" w:rsidR="008E2515" w:rsidRDefault="008E2515">
      <w:pPr>
        <w:spacing w:after="0" w:line="240" w:lineRule="auto"/>
      </w:pPr>
      <w:r>
        <w:separator/>
      </w:r>
    </w:p>
  </w:endnote>
  <w:endnote w:type="continuationSeparator" w:id="0">
    <w:p w14:paraId="2B86D776" w14:textId="77777777" w:rsidR="008E2515" w:rsidRDefault="008E25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D" w14:textId="5CE4BA1B" w:rsidR="00BA3668" w:rsidRDefault="00707E29">
    <w:pPr>
      <w:tabs>
        <w:tab w:val="center" w:pos="4535"/>
        <w:tab w:val="center" w:pos="4680"/>
        <w:tab w:val="left" w:pos="6150"/>
        <w:tab w:val="right" w:pos="9360"/>
      </w:tabs>
      <w:spacing w:after="0" w:line="240" w:lineRule="auto"/>
      <w:jc w:val="center"/>
      <w:rPr>
        <w:rFonts w:ascii="Cambria" w:eastAsia="Cambria" w:hAnsi="Cambria" w:cs="Cambria"/>
      </w:rPr>
    </w:pPr>
    <w:r>
      <w:rPr>
        <w:rFonts w:ascii="Cambria" w:eastAsia="Cambria" w:hAnsi="Cambria" w:cs="Cambria"/>
      </w:rPr>
      <w:fldChar w:fldCharType="begin"/>
    </w:r>
    <w:r>
      <w:rPr>
        <w:rFonts w:ascii="Cambria" w:eastAsia="Cambria" w:hAnsi="Cambria" w:cs="Cambria"/>
      </w:rPr>
      <w:instrText>PAGE</w:instrText>
    </w:r>
    <w:r>
      <w:rPr>
        <w:rFonts w:ascii="Cambria" w:eastAsia="Cambria" w:hAnsi="Cambria" w:cs="Cambria"/>
      </w:rPr>
      <w:fldChar w:fldCharType="separate"/>
    </w:r>
    <w:r w:rsidR="00802FCC">
      <w:rPr>
        <w:rFonts w:ascii="Cambria" w:eastAsia="Cambria" w:hAnsi="Cambria" w:cs="Cambria"/>
        <w:noProof/>
      </w:rPr>
      <w:t>1</w:t>
    </w:r>
    <w:r>
      <w:rPr>
        <w:rFonts w:ascii="Cambria" w:eastAsia="Cambria" w:hAnsi="Cambria" w:cs="Cambri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87069D" w14:textId="77777777" w:rsidR="008E2515" w:rsidRDefault="008E2515">
      <w:pPr>
        <w:spacing w:after="0" w:line="240" w:lineRule="auto"/>
      </w:pPr>
      <w:r>
        <w:separator/>
      </w:r>
    </w:p>
  </w:footnote>
  <w:footnote w:type="continuationSeparator" w:id="0">
    <w:p w14:paraId="08959EDF" w14:textId="77777777" w:rsidR="008E2515" w:rsidRDefault="008E251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9613E34"/>
    <w:multiLevelType w:val="multilevel"/>
    <w:tmpl w:val="480418EC"/>
    <w:lvl w:ilvl="0">
      <w:start w:val="1"/>
      <w:numFmt w:val="bullet"/>
      <w:lvlText w:val="-"/>
      <w:lvlJc w:val="left"/>
      <w:pPr>
        <w:ind w:left="720" w:hanging="360"/>
      </w:pPr>
      <w:rPr>
        <w:rFonts w:ascii="Cambria" w:eastAsia="Cambria" w:hAnsi="Cambria" w:cs="Cambria"/>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0092132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668"/>
    <w:rsid w:val="000833E0"/>
    <w:rsid w:val="003F57DA"/>
    <w:rsid w:val="004B07BE"/>
    <w:rsid w:val="0059766A"/>
    <w:rsid w:val="00666122"/>
    <w:rsid w:val="00707E29"/>
    <w:rsid w:val="007C40D2"/>
    <w:rsid w:val="00802FCC"/>
    <w:rsid w:val="00816DA6"/>
    <w:rsid w:val="008E2515"/>
    <w:rsid w:val="008F016B"/>
    <w:rsid w:val="009820A0"/>
    <w:rsid w:val="00A422F2"/>
    <w:rsid w:val="00BA3668"/>
    <w:rsid w:val="00EA38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DF5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6661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6122"/>
    <w:rPr>
      <w:rFonts w:ascii="Segoe UI" w:hAnsi="Segoe UI" w:cs="Segoe UI"/>
      <w:sz w:val="18"/>
      <w:szCs w:val="18"/>
    </w:rPr>
  </w:style>
  <w:style w:type="paragraph" w:styleId="Header">
    <w:name w:val="header"/>
    <w:basedOn w:val="Normal"/>
    <w:link w:val="HeaderChar"/>
    <w:uiPriority w:val="99"/>
    <w:unhideWhenUsed/>
    <w:rsid w:val="00816D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6DA6"/>
  </w:style>
  <w:style w:type="paragraph" w:styleId="Footer">
    <w:name w:val="footer"/>
    <w:basedOn w:val="Normal"/>
    <w:link w:val="FooterChar"/>
    <w:uiPriority w:val="99"/>
    <w:unhideWhenUsed/>
    <w:rsid w:val="00816D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6D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416</Words>
  <Characters>2374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2023-12-13T21:00:00Z</dcterms:created>
  <dcterms:modified xsi:type="dcterms:W3CDTF">2023-12-15T09:21:00Z</dcterms:modified>
</cp:coreProperties>
</file>