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51544" w14:textId="65D94E82" w:rsidR="008F62A1" w:rsidRPr="00C70B3B" w:rsidRDefault="00AE495B" w:rsidP="00AE495B">
      <w:pPr>
        <w:pStyle w:val="Heading5"/>
        <w:keepLines w:val="0"/>
        <w:pBdr>
          <w:top w:val="double" w:sz="4" w:space="9"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
          <w:bCs/>
          <w:color w:val="auto"/>
          <w:sz w:val="20"/>
          <w:szCs w:val="20"/>
        </w:rPr>
      </w:pPr>
      <w:r w:rsidRPr="00C70B3B">
        <w:rPr>
          <w:rFonts w:ascii="Cambria" w:eastAsia="Times New Roman" w:hAnsi="Cambria" w:cs="Times New Roman"/>
          <w:b/>
          <w:bCs/>
          <w:color w:val="auto"/>
          <w:sz w:val="20"/>
          <w:szCs w:val="20"/>
        </w:rPr>
        <w:t>23-</w:t>
      </w:r>
      <w:r w:rsidR="009612A8" w:rsidRPr="00C70B3B">
        <w:rPr>
          <w:rFonts w:ascii="Cambria" w:eastAsia="Times New Roman" w:hAnsi="Cambria" w:cs="Times New Roman"/>
          <w:b/>
          <w:bCs/>
          <w:color w:val="auto"/>
          <w:sz w:val="20"/>
          <w:szCs w:val="20"/>
        </w:rPr>
        <w:t>22</w:t>
      </w:r>
      <w:r w:rsidRPr="00C70B3B">
        <w:rPr>
          <w:rFonts w:ascii="Cambria" w:eastAsia="Times New Roman" w:hAnsi="Cambria" w:cs="Times New Roman"/>
          <w:b/>
          <w:bCs/>
          <w:color w:val="auto"/>
          <w:sz w:val="20"/>
          <w:szCs w:val="20"/>
        </w:rPr>
        <w:tab/>
      </w:r>
      <w:r w:rsidRPr="00C70B3B">
        <w:rPr>
          <w:rFonts w:ascii="Cambria" w:eastAsia="Times New Roman" w:hAnsi="Cambria" w:cs="Times New Roman"/>
          <w:b/>
          <w:bCs/>
          <w:color w:val="auto"/>
          <w:sz w:val="20"/>
          <w:szCs w:val="20"/>
        </w:rPr>
        <w:tab/>
      </w:r>
      <w:r w:rsidRPr="00C70B3B">
        <w:rPr>
          <w:rFonts w:ascii="Cambria" w:eastAsia="Times New Roman" w:hAnsi="Cambria" w:cs="Times New Roman"/>
          <w:b/>
          <w:bCs/>
          <w:color w:val="auto"/>
          <w:sz w:val="20"/>
          <w:szCs w:val="20"/>
        </w:rPr>
        <w:tab/>
      </w:r>
      <w:r w:rsidRPr="00C70B3B">
        <w:rPr>
          <w:rFonts w:ascii="Cambria" w:eastAsia="Times New Roman" w:hAnsi="Cambria" w:cs="Times New Roman"/>
          <w:b/>
          <w:bCs/>
          <w:color w:val="auto"/>
          <w:sz w:val="20"/>
          <w:szCs w:val="20"/>
        </w:rPr>
        <w:tab/>
      </w:r>
      <w:r w:rsidRPr="00C70B3B">
        <w:rPr>
          <w:rFonts w:ascii="Cambria" w:eastAsia="Times New Roman" w:hAnsi="Cambria" w:cs="Times New Roman"/>
          <w:b/>
          <w:bCs/>
          <w:color w:val="auto"/>
          <w:sz w:val="20"/>
          <w:szCs w:val="20"/>
        </w:rPr>
        <w:tab/>
      </w:r>
      <w:r w:rsidRPr="00C70B3B">
        <w:rPr>
          <w:rFonts w:ascii="Cambria" w:eastAsia="Times New Roman" w:hAnsi="Cambria" w:cs="Times New Roman"/>
          <w:b/>
          <w:bCs/>
          <w:color w:val="auto"/>
          <w:sz w:val="20"/>
          <w:szCs w:val="20"/>
        </w:rPr>
        <w:tab/>
      </w:r>
      <w:r w:rsidRPr="00C70B3B">
        <w:rPr>
          <w:rFonts w:ascii="Cambria" w:eastAsia="Times New Roman" w:hAnsi="Cambria" w:cs="Times New Roman"/>
          <w:b/>
          <w:bCs/>
          <w:color w:val="auto"/>
          <w:sz w:val="20"/>
          <w:szCs w:val="20"/>
        </w:rPr>
        <w:tab/>
      </w:r>
      <w:r w:rsidRPr="00C70B3B">
        <w:rPr>
          <w:rFonts w:ascii="Cambria" w:eastAsia="Times New Roman" w:hAnsi="Cambria" w:cs="Times New Roman"/>
          <w:b/>
          <w:bCs/>
          <w:color w:val="auto"/>
          <w:sz w:val="20"/>
          <w:szCs w:val="20"/>
        </w:rPr>
        <w:tab/>
      </w:r>
      <w:r w:rsidRPr="00C70B3B">
        <w:rPr>
          <w:rFonts w:ascii="Cambria" w:eastAsia="Times New Roman" w:hAnsi="Cambria" w:cs="Times New Roman"/>
          <w:b/>
          <w:bCs/>
          <w:color w:val="auto"/>
          <w:sz w:val="20"/>
          <w:szCs w:val="20"/>
        </w:rPr>
        <w:tab/>
      </w:r>
      <w:r w:rsidRPr="00C70B3B">
        <w:rPr>
          <w:rFonts w:ascii="Cambria" w:eastAsia="Times New Roman" w:hAnsi="Cambria" w:cs="Times New Roman"/>
          <w:b/>
          <w:bCs/>
          <w:color w:val="auto"/>
          <w:sz w:val="20"/>
          <w:szCs w:val="20"/>
        </w:rPr>
        <w:tab/>
      </w:r>
      <w:r w:rsidRPr="00C70B3B">
        <w:rPr>
          <w:rFonts w:ascii="Cambria" w:eastAsia="Times New Roman" w:hAnsi="Cambria" w:cs="Times New Roman"/>
          <w:b/>
          <w:bCs/>
          <w:color w:val="auto"/>
          <w:sz w:val="20"/>
          <w:szCs w:val="20"/>
        </w:rPr>
        <w:tab/>
      </w:r>
      <w:r w:rsidRPr="00C70B3B">
        <w:rPr>
          <w:rFonts w:ascii="Cambria" w:eastAsia="Times New Roman" w:hAnsi="Cambria" w:cs="Times New Roman"/>
          <w:b/>
          <w:bCs/>
          <w:color w:val="auto"/>
          <w:sz w:val="20"/>
          <w:szCs w:val="20"/>
        </w:rPr>
        <w:tab/>
      </w:r>
      <w:r w:rsidR="009612A8" w:rsidRPr="00C70B3B">
        <w:rPr>
          <w:rFonts w:ascii="Cambria" w:eastAsia="Times New Roman" w:hAnsi="Cambria" w:cs="Times New Roman"/>
          <w:b/>
          <w:bCs/>
          <w:color w:val="auto"/>
          <w:sz w:val="20"/>
          <w:szCs w:val="20"/>
        </w:rPr>
        <w:t>TOR</w:t>
      </w:r>
    </w:p>
    <w:p w14:paraId="0E05F6EF" w14:textId="77777777" w:rsidR="006F4CE3" w:rsidRPr="00C70B3B" w:rsidRDefault="008F62A1" w:rsidP="006F4CE3">
      <w:pPr>
        <w:pStyle w:val="Heading5"/>
        <w:keepLines w:val="0"/>
        <w:pBdr>
          <w:top w:val="double" w:sz="4" w:space="9"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
          <w:bCs/>
          <w:color w:val="auto"/>
          <w:sz w:val="20"/>
          <w:szCs w:val="20"/>
        </w:rPr>
      </w:pPr>
      <w:r w:rsidRPr="00C70B3B">
        <w:rPr>
          <w:rFonts w:ascii="Cambria" w:eastAsia="Times New Roman" w:hAnsi="Cambria" w:cs="Times New Roman"/>
          <w:b/>
          <w:bCs/>
          <w:color w:val="auto"/>
          <w:sz w:val="20"/>
          <w:szCs w:val="20"/>
        </w:rPr>
        <w:t xml:space="preserve">RECOMENDACIÓN DE ICCAT </w:t>
      </w:r>
      <w:r w:rsidR="006F4CE3" w:rsidRPr="00C70B3B">
        <w:rPr>
          <w:rFonts w:ascii="Cambria" w:eastAsia="Times New Roman" w:hAnsi="Cambria" w:cs="Times New Roman"/>
          <w:b/>
          <w:bCs/>
          <w:color w:val="auto"/>
          <w:sz w:val="20"/>
          <w:szCs w:val="20"/>
        </w:rPr>
        <w:t xml:space="preserve">QUE ESTABLECE </w:t>
      </w:r>
      <w:r w:rsidRPr="00C70B3B">
        <w:rPr>
          <w:rFonts w:ascii="Cambria" w:eastAsia="Times New Roman" w:hAnsi="Cambria" w:cs="Times New Roman"/>
          <w:b/>
          <w:bCs/>
          <w:color w:val="auto"/>
          <w:sz w:val="20"/>
          <w:szCs w:val="20"/>
        </w:rPr>
        <w:t xml:space="preserve">UN GRUPO DE TRABAJO PERMANENTE </w:t>
      </w:r>
    </w:p>
    <w:p w14:paraId="00000005" w14:textId="172543E5" w:rsidR="00AC1EBE" w:rsidRPr="00C70B3B" w:rsidRDefault="008F62A1" w:rsidP="006F4CE3">
      <w:pPr>
        <w:pStyle w:val="Heading5"/>
        <w:keepLines w:val="0"/>
        <w:pBdr>
          <w:top w:val="double" w:sz="4" w:space="9"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
          <w:bCs/>
          <w:color w:val="auto"/>
          <w:sz w:val="20"/>
          <w:szCs w:val="20"/>
        </w:rPr>
      </w:pPr>
      <w:r w:rsidRPr="00C70B3B">
        <w:rPr>
          <w:rFonts w:ascii="Cambria" w:eastAsia="Times New Roman" w:hAnsi="Cambria" w:cs="Times New Roman"/>
          <w:b/>
          <w:bCs/>
          <w:color w:val="auto"/>
          <w:sz w:val="20"/>
          <w:szCs w:val="20"/>
        </w:rPr>
        <w:t xml:space="preserve">SOBRE SISTEMAS DE </w:t>
      </w:r>
      <w:r w:rsidR="00C70B3B" w:rsidRPr="00C70B3B">
        <w:rPr>
          <w:rFonts w:ascii="Cambria" w:eastAsia="Times New Roman" w:hAnsi="Cambria" w:cs="Times New Roman"/>
          <w:b/>
          <w:bCs/>
          <w:color w:val="auto"/>
          <w:sz w:val="20"/>
          <w:szCs w:val="20"/>
        </w:rPr>
        <w:t>DOCUMENTACIÓN DE</w:t>
      </w:r>
      <w:r w:rsidRPr="00C70B3B">
        <w:rPr>
          <w:rFonts w:ascii="Cambria" w:eastAsia="Times New Roman" w:hAnsi="Cambria" w:cs="Times New Roman"/>
          <w:b/>
          <w:bCs/>
          <w:color w:val="auto"/>
          <w:sz w:val="20"/>
          <w:szCs w:val="20"/>
        </w:rPr>
        <w:t xml:space="preserve"> CAPTURAS (CDS WG)</w:t>
      </w:r>
    </w:p>
    <w:p w14:paraId="38EA913D" w14:textId="77777777" w:rsidR="00121BD8" w:rsidRPr="00C70B3B" w:rsidRDefault="00121BD8" w:rsidP="00C75242">
      <w:pPr>
        <w:spacing w:line="240" w:lineRule="auto"/>
        <w:rPr>
          <w:rFonts w:asciiTheme="minorHAnsi" w:hAnsiTheme="minorHAnsi"/>
          <w:sz w:val="20"/>
        </w:rPr>
      </w:pPr>
    </w:p>
    <w:p w14:paraId="5D85F081" w14:textId="77777777" w:rsidR="008F62A1" w:rsidRPr="00C70B3B" w:rsidRDefault="008F62A1" w:rsidP="00C75242">
      <w:pPr>
        <w:spacing w:line="240" w:lineRule="auto"/>
        <w:rPr>
          <w:rFonts w:asciiTheme="minorHAnsi" w:hAnsiTheme="minorHAnsi"/>
          <w:sz w:val="20"/>
        </w:rPr>
      </w:pPr>
    </w:p>
    <w:p w14:paraId="79C19FA8" w14:textId="2D697CEE" w:rsidR="005B7564" w:rsidRPr="00C70B3B" w:rsidRDefault="00BF01E2" w:rsidP="007A1F10">
      <w:pPr>
        <w:spacing w:line="240" w:lineRule="auto"/>
        <w:ind w:firstLineChars="200" w:firstLine="400"/>
        <w:jc w:val="both"/>
        <w:rPr>
          <w:rFonts w:asciiTheme="minorHAnsi" w:hAnsiTheme="minorHAnsi"/>
        </w:rPr>
      </w:pPr>
      <w:r w:rsidRPr="00C70B3B">
        <w:rPr>
          <w:rFonts w:asciiTheme="minorHAnsi" w:hAnsiTheme="minorHAnsi"/>
          <w:i/>
          <w:iCs/>
          <w:sz w:val="20"/>
        </w:rPr>
        <w:t>RECORDANDO</w:t>
      </w:r>
      <w:r w:rsidRPr="00C70B3B">
        <w:rPr>
          <w:rFonts w:asciiTheme="minorHAnsi" w:hAnsiTheme="minorHAnsi"/>
          <w:sz w:val="20"/>
        </w:rPr>
        <w:t xml:space="preserve"> que ICCAT acordó en la reunión anual de la Comisión de 2019 que el debate detallado debería continuar sin prejuicio para el curso futuro del desarrollo del sistema de documentación de capturas (CDS); </w:t>
      </w:r>
    </w:p>
    <w:p w14:paraId="2B9FEF21" w14:textId="77777777" w:rsidR="00C75242" w:rsidRPr="00C70B3B" w:rsidRDefault="00C75242" w:rsidP="007A1F10">
      <w:pPr>
        <w:spacing w:line="240" w:lineRule="auto"/>
        <w:ind w:firstLineChars="200" w:firstLine="440"/>
        <w:jc w:val="both"/>
        <w:rPr>
          <w:rFonts w:asciiTheme="minorHAnsi" w:hAnsiTheme="minorHAnsi"/>
          <w:i/>
        </w:rPr>
      </w:pPr>
    </w:p>
    <w:p w14:paraId="60D3D334" w14:textId="42EA8C67" w:rsidR="00BC692E" w:rsidRPr="00C70B3B" w:rsidRDefault="001D420A" w:rsidP="00C75242">
      <w:pPr>
        <w:spacing w:line="240" w:lineRule="auto"/>
        <w:ind w:firstLineChars="200" w:firstLine="400"/>
        <w:jc w:val="both"/>
        <w:rPr>
          <w:rFonts w:asciiTheme="minorHAnsi" w:hAnsiTheme="minorHAnsi"/>
          <w:sz w:val="20"/>
          <w:szCs w:val="20"/>
        </w:rPr>
      </w:pPr>
      <w:r w:rsidRPr="00C70B3B">
        <w:rPr>
          <w:rFonts w:asciiTheme="minorHAnsi" w:hAnsiTheme="minorHAnsi"/>
          <w:i/>
          <w:iCs/>
          <w:sz w:val="20"/>
        </w:rPr>
        <w:t>RECORDANDO ADEMÁS</w:t>
      </w:r>
      <w:r w:rsidRPr="00C70B3B">
        <w:rPr>
          <w:rFonts w:asciiTheme="minorHAnsi" w:hAnsiTheme="minorHAnsi"/>
          <w:sz w:val="20"/>
        </w:rPr>
        <w:t xml:space="preserve"> que el Grupo de trabajo </w:t>
      </w:r>
      <w:r w:rsidRPr="00C70B3B">
        <w:rPr>
          <w:rFonts w:asciiTheme="minorHAnsi" w:hAnsiTheme="minorHAnsi"/>
          <w:i/>
          <w:iCs/>
          <w:sz w:val="20"/>
        </w:rPr>
        <w:t>ad hoc</w:t>
      </w:r>
      <w:r w:rsidRPr="00C70B3B">
        <w:rPr>
          <w:rFonts w:asciiTheme="minorHAnsi" w:hAnsiTheme="minorHAnsi"/>
          <w:sz w:val="20"/>
        </w:rPr>
        <w:t xml:space="preserve"> sobre CDS, establecido por la </w:t>
      </w:r>
      <w:r w:rsidRPr="00C70B3B">
        <w:rPr>
          <w:rFonts w:asciiTheme="minorHAnsi" w:hAnsiTheme="minorHAnsi"/>
          <w:i/>
          <w:iCs/>
          <w:sz w:val="20"/>
        </w:rPr>
        <w:t xml:space="preserve">Resolución de ICCAT para el establecimiento de un Grupo de trabajo ICCAT sobre un sistema de documentación de capturas </w:t>
      </w:r>
      <w:r w:rsidRPr="00C70B3B">
        <w:rPr>
          <w:rFonts w:asciiTheme="minorHAnsi" w:hAnsiTheme="minorHAnsi"/>
          <w:sz w:val="20"/>
        </w:rPr>
        <w:t>(Res. 21-21), intercambió opiniones entre las CPC sobre la ampliación del CDS a otras especies de ICCAT;</w:t>
      </w:r>
    </w:p>
    <w:p w14:paraId="3524F23B" w14:textId="77777777" w:rsidR="00C75242" w:rsidRPr="00C70B3B" w:rsidRDefault="00C75242" w:rsidP="00C75242">
      <w:pPr>
        <w:spacing w:line="240" w:lineRule="auto"/>
        <w:ind w:firstLineChars="200" w:firstLine="400"/>
        <w:jc w:val="both"/>
        <w:rPr>
          <w:rFonts w:asciiTheme="minorHAnsi" w:hAnsiTheme="minorHAnsi"/>
          <w:i/>
          <w:iCs/>
          <w:sz w:val="20"/>
          <w:szCs w:val="20"/>
        </w:rPr>
      </w:pPr>
    </w:p>
    <w:p w14:paraId="2090D255" w14:textId="31A57FCF" w:rsidR="005B7564" w:rsidRPr="00C70B3B" w:rsidRDefault="00BF01E2" w:rsidP="007A1F10">
      <w:pPr>
        <w:spacing w:line="240" w:lineRule="auto"/>
        <w:ind w:firstLineChars="200" w:firstLine="400"/>
        <w:jc w:val="both"/>
        <w:rPr>
          <w:rFonts w:asciiTheme="minorHAnsi" w:hAnsiTheme="minorHAnsi"/>
        </w:rPr>
      </w:pPr>
      <w:r w:rsidRPr="00C70B3B">
        <w:rPr>
          <w:rFonts w:asciiTheme="minorHAnsi" w:hAnsiTheme="minorHAnsi"/>
          <w:i/>
          <w:iCs/>
          <w:sz w:val="20"/>
        </w:rPr>
        <w:t>RECONOCIENDO</w:t>
      </w:r>
      <w:r w:rsidRPr="00C70B3B">
        <w:rPr>
          <w:rFonts w:asciiTheme="minorHAnsi" w:hAnsiTheme="minorHAnsi"/>
          <w:sz w:val="20"/>
        </w:rPr>
        <w:t xml:space="preserve"> la creciente demanda del mercado de productos pesqueros cuya legalidad esté certificada; </w:t>
      </w:r>
    </w:p>
    <w:p w14:paraId="35D141CC" w14:textId="77777777" w:rsidR="00C75242" w:rsidRPr="00C70B3B" w:rsidRDefault="00C75242" w:rsidP="007A1F10">
      <w:pPr>
        <w:spacing w:line="240" w:lineRule="auto"/>
        <w:ind w:firstLineChars="200" w:firstLine="440"/>
        <w:jc w:val="both"/>
        <w:rPr>
          <w:rFonts w:asciiTheme="minorHAnsi" w:hAnsiTheme="minorHAnsi"/>
          <w:i/>
        </w:rPr>
      </w:pPr>
    </w:p>
    <w:p w14:paraId="4EF120C8" w14:textId="3B19325F" w:rsidR="005B7564" w:rsidRPr="00C70B3B" w:rsidRDefault="00BF01E2" w:rsidP="007A1F10">
      <w:pPr>
        <w:spacing w:line="240" w:lineRule="auto"/>
        <w:ind w:firstLineChars="200" w:firstLine="400"/>
        <w:jc w:val="both"/>
        <w:rPr>
          <w:rFonts w:asciiTheme="minorHAnsi" w:hAnsiTheme="minorHAnsi"/>
        </w:rPr>
      </w:pPr>
      <w:r w:rsidRPr="00C70B3B">
        <w:rPr>
          <w:rFonts w:asciiTheme="minorHAnsi" w:hAnsiTheme="minorHAnsi"/>
          <w:i/>
          <w:iCs/>
          <w:sz w:val="20"/>
        </w:rPr>
        <w:t>OBSERVANDO</w:t>
      </w:r>
      <w:r w:rsidRPr="00C70B3B">
        <w:rPr>
          <w:rFonts w:asciiTheme="minorHAnsi" w:hAnsiTheme="minorHAnsi"/>
          <w:sz w:val="20"/>
        </w:rPr>
        <w:t xml:space="preserve"> el éxito en el desarrollo e implementación de un sistema de documentación electrónica de las capturas de atún rojo en ICCAT; </w:t>
      </w:r>
    </w:p>
    <w:p w14:paraId="270B7C01" w14:textId="77777777" w:rsidR="00C75242" w:rsidRPr="00C70B3B" w:rsidRDefault="00C75242" w:rsidP="007A1F10">
      <w:pPr>
        <w:spacing w:line="240" w:lineRule="auto"/>
        <w:ind w:firstLineChars="200" w:firstLine="440"/>
        <w:jc w:val="both"/>
        <w:rPr>
          <w:rFonts w:asciiTheme="minorHAnsi" w:hAnsiTheme="minorHAnsi"/>
          <w:i/>
        </w:rPr>
      </w:pPr>
    </w:p>
    <w:p w14:paraId="5575C121" w14:textId="16F5EC8F" w:rsidR="005B7564" w:rsidRPr="00C70B3B" w:rsidRDefault="00DF146C" w:rsidP="007A1F10">
      <w:pPr>
        <w:spacing w:line="240" w:lineRule="auto"/>
        <w:ind w:firstLineChars="200" w:firstLine="400"/>
        <w:jc w:val="both"/>
        <w:rPr>
          <w:rFonts w:asciiTheme="minorHAnsi" w:hAnsiTheme="minorHAnsi"/>
        </w:rPr>
      </w:pPr>
      <w:r w:rsidRPr="00C70B3B">
        <w:rPr>
          <w:rFonts w:asciiTheme="minorHAnsi" w:hAnsiTheme="minorHAnsi"/>
          <w:i/>
          <w:iCs/>
          <w:sz w:val="20"/>
        </w:rPr>
        <w:t>RECORDANDO</w:t>
      </w:r>
      <w:r w:rsidRPr="00C70B3B">
        <w:rPr>
          <w:rFonts w:asciiTheme="minorHAnsi" w:hAnsiTheme="minorHAnsi"/>
          <w:sz w:val="20"/>
        </w:rPr>
        <w:t xml:space="preserve"> </w:t>
      </w:r>
      <w:r w:rsidR="00BF01E2" w:rsidRPr="00C70B3B">
        <w:rPr>
          <w:rFonts w:asciiTheme="minorHAnsi" w:hAnsiTheme="minorHAnsi"/>
          <w:sz w:val="20"/>
        </w:rPr>
        <w:t xml:space="preserve">la </w:t>
      </w:r>
      <w:r w:rsidR="00BF01E2" w:rsidRPr="00C70B3B">
        <w:rPr>
          <w:rFonts w:asciiTheme="minorHAnsi" w:hAnsiTheme="minorHAnsi"/>
          <w:i/>
          <w:iCs/>
          <w:sz w:val="20"/>
        </w:rPr>
        <w:t xml:space="preserve">Recomendación de ICCAT sobre un proceso para el establecimiento de un programa de certificación de capturas para túnidos y especies afines </w:t>
      </w:r>
      <w:r w:rsidR="00BF01E2" w:rsidRPr="00C70B3B">
        <w:rPr>
          <w:rFonts w:asciiTheme="minorHAnsi" w:hAnsiTheme="minorHAnsi"/>
          <w:sz w:val="20"/>
        </w:rPr>
        <w:t xml:space="preserve">(Rec. 12-09); </w:t>
      </w:r>
    </w:p>
    <w:p w14:paraId="032FFAA3" w14:textId="77777777" w:rsidR="00C75242" w:rsidRPr="00C70B3B" w:rsidRDefault="00C75242" w:rsidP="007A1F10">
      <w:pPr>
        <w:spacing w:line="240" w:lineRule="auto"/>
        <w:ind w:firstLineChars="200" w:firstLine="440"/>
        <w:jc w:val="both"/>
        <w:rPr>
          <w:rFonts w:asciiTheme="minorHAnsi" w:hAnsiTheme="minorHAnsi"/>
          <w:i/>
        </w:rPr>
      </w:pPr>
    </w:p>
    <w:p w14:paraId="6588DD4A" w14:textId="4574EA8F" w:rsidR="005B7564" w:rsidRPr="00C70B3B" w:rsidRDefault="00BF01E2" w:rsidP="007A1F10">
      <w:pPr>
        <w:spacing w:line="240" w:lineRule="auto"/>
        <w:ind w:firstLineChars="200" w:firstLine="400"/>
        <w:jc w:val="both"/>
        <w:rPr>
          <w:rFonts w:asciiTheme="minorHAnsi" w:hAnsiTheme="minorHAnsi"/>
        </w:rPr>
      </w:pPr>
      <w:r w:rsidRPr="00C70B3B">
        <w:rPr>
          <w:rFonts w:asciiTheme="minorHAnsi" w:hAnsiTheme="minorHAnsi"/>
          <w:i/>
          <w:iCs/>
          <w:sz w:val="20"/>
        </w:rPr>
        <w:t>DESTACANDO</w:t>
      </w:r>
      <w:r w:rsidRPr="00C70B3B">
        <w:rPr>
          <w:rFonts w:asciiTheme="minorHAnsi" w:hAnsiTheme="minorHAnsi"/>
          <w:sz w:val="20"/>
        </w:rPr>
        <w:t xml:space="preserve"> la necesidad de aplicar un enfoque basado en el riesgo con respecto a los CDS; </w:t>
      </w:r>
    </w:p>
    <w:p w14:paraId="6AF7D51D" w14:textId="77777777" w:rsidR="00C75242" w:rsidRPr="00C70B3B" w:rsidRDefault="00C75242" w:rsidP="007A1F10">
      <w:pPr>
        <w:spacing w:line="240" w:lineRule="auto"/>
        <w:ind w:firstLineChars="200" w:firstLine="440"/>
        <w:jc w:val="both"/>
        <w:rPr>
          <w:rFonts w:asciiTheme="minorHAnsi" w:hAnsiTheme="minorHAnsi"/>
          <w:i/>
        </w:rPr>
      </w:pPr>
    </w:p>
    <w:p w14:paraId="36A0CEBB" w14:textId="7F0C8127" w:rsidR="005B7564" w:rsidRPr="00C70B3B" w:rsidRDefault="00BF01E2" w:rsidP="007A1F10">
      <w:pPr>
        <w:spacing w:line="240" w:lineRule="auto"/>
        <w:ind w:firstLineChars="200" w:firstLine="400"/>
        <w:jc w:val="both"/>
        <w:rPr>
          <w:rFonts w:asciiTheme="minorHAnsi" w:hAnsiTheme="minorHAnsi"/>
        </w:rPr>
      </w:pPr>
      <w:r w:rsidRPr="00C70B3B">
        <w:rPr>
          <w:rFonts w:asciiTheme="minorHAnsi" w:hAnsiTheme="minorHAnsi"/>
          <w:i/>
          <w:iCs/>
          <w:sz w:val="20"/>
        </w:rPr>
        <w:t>TENIENDO EN CUENTA</w:t>
      </w:r>
      <w:r w:rsidRPr="00C70B3B">
        <w:rPr>
          <w:rFonts w:asciiTheme="minorHAnsi" w:hAnsiTheme="minorHAnsi"/>
          <w:sz w:val="20"/>
        </w:rPr>
        <w:t xml:space="preserve"> las Directrices voluntarias para los sistemas de documentación de capturas adoptadas por la FAO en 2017, que establecen orientaciones para los Estados, las OROP, las organizaciones regionales de integración económica y otras organizaciones intergubernamentales a la hora de elaborar y aplicar nuevos CDS, o de armonizar o revisar los existentes; </w:t>
      </w:r>
    </w:p>
    <w:p w14:paraId="60695B58" w14:textId="77777777" w:rsidR="00C75242" w:rsidRPr="00C70B3B" w:rsidRDefault="00C75242" w:rsidP="007A1F10">
      <w:pPr>
        <w:spacing w:line="240" w:lineRule="auto"/>
        <w:ind w:firstLineChars="200" w:firstLine="440"/>
        <w:jc w:val="both"/>
        <w:rPr>
          <w:rFonts w:asciiTheme="minorHAnsi" w:hAnsiTheme="minorHAnsi"/>
          <w:i/>
        </w:rPr>
      </w:pPr>
    </w:p>
    <w:p w14:paraId="73873447" w14:textId="668CC1F2" w:rsidR="00BF01E2" w:rsidRPr="00C70B3B" w:rsidRDefault="00BF01E2" w:rsidP="007A1F10">
      <w:pPr>
        <w:spacing w:line="240" w:lineRule="auto"/>
        <w:ind w:firstLineChars="200" w:firstLine="400"/>
        <w:jc w:val="both"/>
        <w:rPr>
          <w:rFonts w:asciiTheme="minorHAnsi" w:hAnsiTheme="minorHAnsi"/>
        </w:rPr>
      </w:pPr>
      <w:r w:rsidRPr="00C70B3B">
        <w:rPr>
          <w:rFonts w:asciiTheme="minorHAnsi" w:hAnsiTheme="minorHAnsi"/>
          <w:i/>
          <w:sz w:val="20"/>
        </w:rPr>
        <w:t>RECONOCIENDO</w:t>
      </w:r>
      <w:r w:rsidRPr="00C70B3B">
        <w:rPr>
          <w:rFonts w:asciiTheme="minorHAnsi" w:hAnsiTheme="minorHAnsi"/>
          <w:sz w:val="20"/>
        </w:rPr>
        <w:t xml:space="preserve"> que el proceso de enmienda del Convenio constó de dos partes, es decir, la primera parte se centró en la revisión del Convenio y la segunda en la elaboración de enmiendas específicas, y que un enfoque similar en dos fases podría ser una buena manera de avanzar en el debate sobre esta cuestión;</w:t>
      </w:r>
    </w:p>
    <w:p w14:paraId="4498D536" w14:textId="77777777" w:rsidR="00BF01E2" w:rsidRPr="00C70B3B" w:rsidRDefault="00BF01E2" w:rsidP="007A1F10">
      <w:pPr>
        <w:spacing w:line="240" w:lineRule="auto"/>
        <w:rPr>
          <w:rFonts w:asciiTheme="minorHAnsi" w:hAnsiTheme="minorHAnsi"/>
          <w:sz w:val="20"/>
        </w:rPr>
      </w:pPr>
    </w:p>
    <w:p w14:paraId="4B333AEB" w14:textId="17E921EC" w:rsidR="000C7006" w:rsidRPr="00C70B3B" w:rsidRDefault="000C7006" w:rsidP="007C5849">
      <w:pPr>
        <w:spacing w:line="240" w:lineRule="auto"/>
        <w:ind w:firstLine="400"/>
        <w:jc w:val="both"/>
        <w:rPr>
          <w:rFonts w:asciiTheme="minorHAnsi" w:hAnsiTheme="minorHAnsi"/>
          <w:sz w:val="20"/>
        </w:rPr>
      </w:pPr>
      <w:r w:rsidRPr="00C70B3B">
        <w:rPr>
          <w:rFonts w:asciiTheme="minorHAnsi" w:hAnsiTheme="minorHAnsi"/>
          <w:i/>
          <w:iCs/>
          <w:sz w:val="20"/>
        </w:rPr>
        <w:t>TOMANDO NOTA</w:t>
      </w:r>
      <w:r w:rsidRPr="00C70B3B">
        <w:rPr>
          <w:rFonts w:asciiTheme="minorHAnsi" w:hAnsiTheme="minorHAnsi"/>
          <w:sz w:val="20"/>
        </w:rPr>
        <w:t xml:space="preserve"> de la preocupación por el aumento del número de grupos de trabajo y la necesidad de racionalizar el trabajo de la Comisión</w:t>
      </w:r>
      <w:r w:rsidR="007C5849" w:rsidRPr="00C70B3B">
        <w:rPr>
          <w:rFonts w:asciiTheme="minorHAnsi" w:hAnsiTheme="minorHAnsi"/>
          <w:sz w:val="20"/>
        </w:rPr>
        <w:t>;</w:t>
      </w:r>
      <w:r w:rsidRPr="00C70B3B">
        <w:rPr>
          <w:rFonts w:asciiTheme="minorHAnsi" w:hAnsiTheme="minorHAnsi"/>
          <w:sz w:val="20"/>
        </w:rPr>
        <w:t xml:space="preserve">   </w:t>
      </w:r>
    </w:p>
    <w:p w14:paraId="32401EF7" w14:textId="77777777" w:rsidR="00C75242" w:rsidRPr="00C70B3B" w:rsidRDefault="00C75242" w:rsidP="007A1F10">
      <w:pPr>
        <w:spacing w:line="240" w:lineRule="auto"/>
        <w:jc w:val="center"/>
        <w:rPr>
          <w:rFonts w:asciiTheme="minorHAnsi" w:hAnsiTheme="minorHAnsi"/>
          <w:sz w:val="20"/>
        </w:rPr>
      </w:pPr>
    </w:p>
    <w:p w14:paraId="00000008" w14:textId="55D42242" w:rsidR="00AC1EBE" w:rsidRPr="00C70B3B" w:rsidRDefault="005370EF" w:rsidP="007A1F10">
      <w:pPr>
        <w:spacing w:line="240" w:lineRule="auto"/>
        <w:jc w:val="center"/>
        <w:rPr>
          <w:rFonts w:asciiTheme="minorHAnsi" w:hAnsiTheme="minorHAnsi"/>
        </w:rPr>
      </w:pPr>
      <w:r w:rsidRPr="00C70B3B">
        <w:rPr>
          <w:rFonts w:asciiTheme="minorHAnsi" w:hAnsiTheme="minorHAnsi"/>
          <w:sz w:val="20"/>
        </w:rPr>
        <w:t>LA COMISIÓN INTERNACIONAL PARA LA CONSERVACIÓN</w:t>
      </w:r>
    </w:p>
    <w:p w14:paraId="00000009" w14:textId="784A623F" w:rsidR="00AC1EBE" w:rsidRPr="00C70B3B" w:rsidRDefault="005370EF" w:rsidP="00C75242">
      <w:pPr>
        <w:spacing w:line="240" w:lineRule="auto"/>
        <w:jc w:val="center"/>
        <w:rPr>
          <w:rFonts w:asciiTheme="minorHAnsi" w:hAnsiTheme="minorHAnsi"/>
          <w:sz w:val="20"/>
          <w:szCs w:val="20"/>
        </w:rPr>
      </w:pPr>
      <w:r w:rsidRPr="00C70B3B">
        <w:rPr>
          <w:rFonts w:asciiTheme="minorHAnsi" w:hAnsiTheme="minorHAnsi"/>
          <w:sz w:val="20"/>
        </w:rPr>
        <w:t xml:space="preserve">DEL ATÚN ATLÁNTICO (ICCAT) </w:t>
      </w:r>
      <w:r w:rsidR="000C7006" w:rsidRPr="00C70B3B">
        <w:rPr>
          <w:rFonts w:asciiTheme="minorHAnsi" w:hAnsiTheme="minorHAnsi"/>
          <w:sz w:val="20"/>
        </w:rPr>
        <w:t>RECOMIENDA</w:t>
      </w:r>
      <w:r w:rsidRPr="00C70B3B">
        <w:rPr>
          <w:rFonts w:asciiTheme="minorHAnsi" w:hAnsiTheme="minorHAnsi"/>
          <w:sz w:val="20"/>
        </w:rPr>
        <w:t xml:space="preserve"> LO SIGUIENTE:</w:t>
      </w:r>
    </w:p>
    <w:p w14:paraId="0000000A" w14:textId="77777777" w:rsidR="00AC1EBE" w:rsidRPr="00C70B3B" w:rsidRDefault="00AC1EBE" w:rsidP="00C75242">
      <w:pPr>
        <w:spacing w:line="240" w:lineRule="auto"/>
        <w:jc w:val="center"/>
        <w:rPr>
          <w:rFonts w:asciiTheme="minorHAnsi" w:hAnsiTheme="minorHAnsi"/>
          <w:sz w:val="20"/>
          <w:szCs w:val="20"/>
        </w:rPr>
      </w:pPr>
    </w:p>
    <w:p w14:paraId="0000000B" w14:textId="14AE6974" w:rsidR="00AC1EBE" w:rsidRPr="00C70B3B" w:rsidRDefault="005370EF" w:rsidP="00BC35BC">
      <w:pPr>
        <w:pStyle w:val="ListParagraph"/>
        <w:numPr>
          <w:ilvl w:val="0"/>
          <w:numId w:val="4"/>
        </w:numPr>
        <w:spacing w:line="240" w:lineRule="auto"/>
        <w:jc w:val="both"/>
        <w:rPr>
          <w:rFonts w:asciiTheme="minorHAnsi" w:hAnsiTheme="minorHAnsi"/>
          <w:sz w:val="20"/>
        </w:rPr>
      </w:pPr>
      <w:r w:rsidRPr="00C70B3B">
        <w:rPr>
          <w:rFonts w:asciiTheme="minorHAnsi" w:hAnsiTheme="minorHAnsi"/>
          <w:sz w:val="20"/>
        </w:rPr>
        <w:t xml:space="preserve">Se </w:t>
      </w:r>
      <w:r w:rsidR="000C7006" w:rsidRPr="00C70B3B">
        <w:rPr>
          <w:rFonts w:asciiTheme="minorHAnsi" w:hAnsiTheme="minorHAnsi"/>
          <w:sz w:val="20"/>
        </w:rPr>
        <w:t>establecerá</w:t>
      </w:r>
      <w:r w:rsidRPr="00C70B3B">
        <w:rPr>
          <w:rFonts w:asciiTheme="minorHAnsi" w:hAnsiTheme="minorHAnsi"/>
          <w:sz w:val="20"/>
        </w:rPr>
        <w:t xml:space="preserve"> un Grupo de trabajo </w:t>
      </w:r>
      <w:r w:rsidR="00913DCE" w:rsidRPr="00C70B3B">
        <w:rPr>
          <w:rFonts w:asciiTheme="minorHAnsi" w:hAnsiTheme="minorHAnsi"/>
          <w:sz w:val="20"/>
        </w:rPr>
        <w:t xml:space="preserve">permanente </w:t>
      </w:r>
      <w:r w:rsidRPr="00C70B3B">
        <w:rPr>
          <w:rFonts w:asciiTheme="minorHAnsi" w:hAnsiTheme="minorHAnsi"/>
          <w:sz w:val="20"/>
        </w:rPr>
        <w:t xml:space="preserve">sobre </w:t>
      </w:r>
      <w:r w:rsidR="001C59E7" w:rsidRPr="00C70B3B">
        <w:rPr>
          <w:rFonts w:asciiTheme="minorHAnsi" w:hAnsiTheme="minorHAnsi"/>
          <w:sz w:val="20"/>
        </w:rPr>
        <w:t>sistemas</w:t>
      </w:r>
      <w:r w:rsidRPr="00C70B3B">
        <w:rPr>
          <w:rFonts w:asciiTheme="minorHAnsi" w:hAnsiTheme="minorHAnsi"/>
          <w:sz w:val="20"/>
        </w:rPr>
        <w:t xml:space="preserve"> de documentación de captura (CDS WG).</w:t>
      </w:r>
      <w:r w:rsidR="000C7006" w:rsidRPr="00C70B3B">
        <w:rPr>
          <w:rFonts w:asciiTheme="minorHAnsi" w:hAnsiTheme="minorHAnsi"/>
          <w:sz w:val="20"/>
        </w:rPr>
        <w:t xml:space="preserve"> El CDS WG también </w:t>
      </w:r>
      <w:r w:rsidR="005D1B15" w:rsidRPr="00C70B3B">
        <w:rPr>
          <w:rFonts w:asciiTheme="minorHAnsi" w:hAnsiTheme="minorHAnsi"/>
          <w:sz w:val="20"/>
        </w:rPr>
        <w:t xml:space="preserve">sustituirá e incorporará la función del </w:t>
      </w:r>
      <w:r w:rsidR="000C7006" w:rsidRPr="00C70B3B">
        <w:rPr>
          <w:rFonts w:asciiTheme="minorHAnsi" w:hAnsiTheme="minorHAnsi"/>
          <w:sz w:val="20"/>
        </w:rPr>
        <w:t>Grupo de trabajo técnico sobre eBCD</w:t>
      </w:r>
      <w:r w:rsidR="00BC35BC" w:rsidRPr="00C70B3B">
        <w:rPr>
          <w:rFonts w:asciiTheme="minorHAnsi" w:hAnsiTheme="minorHAnsi"/>
          <w:sz w:val="20"/>
        </w:rPr>
        <w:t xml:space="preserve">, </w:t>
      </w:r>
      <w:r w:rsidR="00AC5FBA" w:rsidRPr="00C70B3B">
        <w:rPr>
          <w:rFonts w:asciiTheme="minorHAnsi" w:hAnsiTheme="minorHAnsi"/>
          <w:sz w:val="20"/>
        </w:rPr>
        <w:t>que incluye el examen</w:t>
      </w:r>
      <w:r w:rsidR="00BC35BC" w:rsidRPr="00C70B3B">
        <w:rPr>
          <w:rFonts w:asciiTheme="minorHAnsi" w:hAnsiTheme="minorHAnsi"/>
          <w:sz w:val="20"/>
        </w:rPr>
        <w:t xml:space="preserve"> de las especificaciones técnicas del eBCD y las posibles mejoras. </w:t>
      </w:r>
    </w:p>
    <w:p w14:paraId="0000000C" w14:textId="77777777" w:rsidR="00AC1EBE" w:rsidRPr="00C70B3B" w:rsidRDefault="00AC1EBE" w:rsidP="007A1F10">
      <w:pPr>
        <w:spacing w:line="240" w:lineRule="auto"/>
        <w:rPr>
          <w:rFonts w:asciiTheme="minorHAnsi" w:hAnsiTheme="minorHAnsi"/>
        </w:rPr>
      </w:pPr>
    </w:p>
    <w:p w14:paraId="0000000D" w14:textId="6EB81C7A" w:rsidR="00AC1EBE" w:rsidRPr="00C70B3B" w:rsidRDefault="005370EF" w:rsidP="007A1F10">
      <w:pPr>
        <w:pStyle w:val="ListParagraph"/>
        <w:numPr>
          <w:ilvl w:val="0"/>
          <w:numId w:val="4"/>
        </w:numPr>
        <w:spacing w:line="240" w:lineRule="auto"/>
        <w:rPr>
          <w:rFonts w:asciiTheme="minorHAnsi" w:hAnsiTheme="minorHAnsi"/>
          <w:sz w:val="20"/>
        </w:rPr>
      </w:pPr>
      <w:r w:rsidRPr="00C70B3B">
        <w:rPr>
          <w:rFonts w:asciiTheme="minorHAnsi" w:hAnsiTheme="minorHAnsi"/>
          <w:sz w:val="20"/>
        </w:rPr>
        <w:t>El CDS WG estará abierto a todas las CPC y a los observadores acreditados.</w:t>
      </w:r>
    </w:p>
    <w:p w14:paraId="0000000E" w14:textId="77777777" w:rsidR="00AC1EBE" w:rsidRPr="00C70B3B" w:rsidRDefault="00AC1EBE" w:rsidP="007A1F10">
      <w:pPr>
        <w:spacing w:line="240" w:lineRule="auto"/>
        <w:rPr>
          <w:rFonts w:asciiTheme="minorHAnsi" w:hAnsiTheme="minorHAnsi"/>
        </w:rPr>
      </w:pPr>
    </w:p>
    <w:p w14:paraId="0000000F" w14:textId="6C47EAA2" w:rsidR="00AC1EBE" w:rsidRPr="00C70B3B" w:rsidRDefault="005370EF" w:rsidP="007A1F10">
      <w:pPr>
        <w:pStyle w:val="ListParagraph"/>
        <w:numPr>
          <w:ilvl w:val="0"/>
          <w:numId w:val="4"/>
        </w:numPr>
        <w:spacing w:line="240" w:lineRule="auto"/>
        <w:rPr>
          <w:rFonts w:asciiTheme="minorHAnsi" w:hAnsiTheme="minorHAnsi"/>
          <w:sz w:val="20"/>
        </w:rPr>
      </w:pPr>
      <w:r w:rsidRPr="00C70B3B">
        <w:rPr>
          <w:rFonts w:asciiTheme="minorHAnsi" w:hAnsiTheme="minorHAnsi"/>
          <w:sz w:val="20"/>
        </w:rPr>
        <w:t>El CDS WG elegirá su propio presidente.</w:t>
      </w:r>
    </w:p>
    <w:p w14:paraId="00000010" w14:textId="77777777" w:rsidR="00AC1EBE" w:rsidRPr="00C70B3B" w:rsidRDefault="00AC1EBE" w:rsidP="007A1F10">
      <w:pPr>
        <w:spacing w:line="240" w:lineRule="auto"/>
        <w:rPr>
          <w:rFonts w:asciiTheme="minorHAnsi" w:hAnsiTheme="minorHAnsi"/>
        </w:rPr>
      </w:pPr>
    </w:p>
    <w:p w14:paraId="00000011" w14:textId="4082FFA5" w:rsidR="00AC1EBE" w:rsidRPr="00C70B3B" w:rsidRDefault="005370EF" w:rsidP="00C75242">
      <w:pPr>
        <w:pStyle w:val="ListParagraph"/>
        <w:numPr>
          <w:ilvl w:val="0"/>
          <w:numId w:val="4"/>
        </w:numPr>
        <w:spacing w:line="240" w:lineRule="auto"/>
        <w:rPr>
          <w:rFonts w:asciiTheme="minorHAnsi" w:hAnsiTheme="minorHAnsi"/>
          <w:sz w:val="20"/>
          <w:szCs w:val="20"/>
        </w:rPr>
      </w:pPr>
      <w:r w:rsidRPr="00C70B3B">
        <w:rPr>
          <w:rFonts w:asciiTheme="minorHAnsi" w:hAnsiTheme="minorHAnsi"/>
          <w:sz w:val="20"/>
        </w:rPr>
        <w:t>Se proporcionará interpretación simultánea en los tres idiomas de ICCAT (inglés, francés y español) durante las reuniones del CDS WG</w:t>
      </w:r>
      <w:r w:rsidR="000C7006" w:rsidRPr="00C70B3B">
        <w:rPr>
          <w:rFonts w:asciiTheme="minorHAnsi" w:hAnsiTheme="minorHAnsi"/>
          <w:sz w:val="20"/>
        </w:rPr>
        <w:t>.</w:t>
      </w:r>
    </w:p>
    <w:p w14:paraId="00000012" w14:textId="77777777" w:rsidR="00AC1EBE" w:rsidRPr="00C70B3B" w:rsidRDefault="00AC1EBE" w:rsidP="00C75242">
      <w:pPr>
        <w:spacing w:line="240" w:lineRule="auto"/>
        <w:rPr>
          <w:rFonts w:asciiTheme="minorHAnsi" w:hAnsiTheme="minorHAnsi"/>
          <w:sz w:val="20"/>
          <w:szCs w:val="20"/>
        </w:rPr>
      </w:pPr>
    </w:p>
    <w:p w14:paraId="00000015" w14:textId="5FD757DD" w:rsidR="00AC1EBE" w:rsidRPr="00C70B3B" w:rsidRDefault="005370EF" w:rsidP="006F4E79">
      <w:pPr>
        <w:pStyle w:val="ListParagraph"/>
        <w:numPr>
          <w:ilvl w:val="0"/>
          <w:numId w:val="4"/>
        </w:numPr>
        <w:spacing w:line="240" w:lineRule="auto"/>
        <w:jc w:val="both"/>
        <w:rPr>
          <w:rFonts w:asciiTheme="minorHAnsi" w:hAnsiTheme="minorHAnsi"/>
          <w:sz w:val="20"/>
        </w:rPr>
      </w:pPr>
      <w:r w:rsidRPr="00C70B3B">
        <w:rPr>
          <w:rFonts w:asciiTheme="minorHAnsi" w:hAnsiTheme="minorHAnsi"/>
          <w:sz w:val="20"/>
        </w:rPr>
        <w:t xml:space="preserve">El CDS WG </w:t>
      </w:r>
      <w:r w:rsidR="00BC35BC" w:rsidRPr="00C70B3B">
        <w:rPr>
          <w:rFonts w:asciiTheme="minorHAnsi" w:hAnsiTheme="minorHAnsi"/>
          <w:sz w:val="20"/>
        </w:rPr>
        <w:t>considerará</w:t>
      </w:r>
      <w:r w:rsidRPr="00C70B3B">
        <w:rPr>
          <w:rFonts w:asciiTheme="minorHAnsi" w:hAnsiTheme="minorHAnsi"/>
          <w:sz w:val="20"/>
        </w:rPr>
        <w:t xml:space="preserve"> en primer lugar qué especies y tipos de productos deben estar cubiertos por </w:t>
      </w:r>
      <w:r w:rsidR="00BC35BC" w:rsidRPr="00C70B3B">
        <w:rPr>
          <w:rFonts w:asciiTheme="minorHAnsi" w:hAnsiTheme="minorHAnsi"/>
          <w:sz w:val="20"/>
        </w:rPr>
        <w:t>cualquier</w:t>
      </w:r>
      <w:r w:rsidRPr="00C70B3B">
        <w:rPr>
          <w:rFonts w:asciiTheme="minorHAnsi" w:hAnsiTheme="minorHAnsi"/>
          <w:sz w:val="20"/>
        </w:rPr>
        <w:t xml:space="preserve"> sistema de documentación de capturas (CDS), teniendo en cuenta los factores especificados en el párrafo 1 de la Rec. 12-09.  Con miras a facilitar la implementación</w:t>
      </w:r>
      <w:r w:rsidR="00AC5FBA" w:rsidRPr="00C70B3B">
        <w:rPr>
          <w:rFonts w:asciiTheme="minorHAnsi" w:hAnsiTheme="minorHAnsi"/>
          <w:sz w:val="20"/>
        </w:rPr>
        <w:t xml:space="preserve"> por las CPC</w:t>
      </w:r>
      <w:r w:rsidRPr="00C70B3B">
        <w:rPr>
          <w:rFonts w:asciiTheme="minorHAnsi" w:hAnsiTheme="minorHAnsi"/>
          <w:sz w:val="20"/>
        </w:rPr>
        <w:t xml:space="preserve"> de cualquier CDS ampliado, debería considerarse un enfoque gradual/por etapas, incluido el enfoque técnico.</w:t>
      </w:r>
      <w:r w:rsidR="00CB1A04" w:rsidRPr="00C70B3B">
        <w:rPr>
          <w:rFonts w:asciiTheme="minorHAnsi" w:hAnsiTheme="minorHAnsi"/>
          <w:sz w:val="20"/>
        </w:rPr>
        <w:t xml:space="preserve"> </w:t>
      </w:r>
      <w:r w:rsidRPr="00C70B3B">
        <w:rPr>
          <w:rFonts w:asciiTheme="minorHAnsi" w:hAnsiTheme="minorHAnsi"/>
          <w:sz w:val="20"/>
        </w:rPr>
        <w:t xml:space="preserve">A continuación, el CDS WG tomará decisiones sobre los detalles de los aspectos operativos y técnicos del CDS, basándose en la información/opiniones proporcionadas por las CPC, en particular en lo relativo a </w:t>
      </w:r>
      <w:r w:rsidRPr="00C70B3B">
        <w:rPr>
          <w:rFonts w:asciiTheme="minorHAnsi" w:hAnsiTheme="minorHAnsi"/>
          <w:sz w:val="20"/>
        </w:rPr>
        <w:lastRenderedPageBreak/>
        <w:t>las consideraciones prácticas y técnicas con respecto al diseño y la implementación de</w:t>
      </w:r>
      <w:r w:rsidR="00BC35BC" w:rsidRPr="00C70B3B">
        <w:rPr>
          <w:rFonts w:asciiTheme="minorHAnsi" w:hAnsiTheme="minorHAnsi"/>
          <w:sz w:val="20"/>
        </w:rPr>
        <w:t xml:space="preserve"> cualquier</w:t>
      </w:r>
      <w:r w:rsidRPr="00C70B3B">
        <w:rPr>
          <w:rFonts w:asciiTheme="minorHAnsi" w:hAnsiTheme="minorHAnsi"/>
          <w:sz w:val="20"/>
        </w:rPr>
        <w:t xml:space="preserve"> CDS, entre las que se incluyen las siguientes:</w:t>
      </w:r>
    </w:p>
    <w:p w14:paraId="2FB8327D" w14:textId="77777777" w:rsidR="00286153" w:rsidRPr="00C70B3B" w:rsidRDefault="00286153" w:rsidP="007A1F10">
      <w:pPr>
        <w:spacing w:line="240" w:lineRule="auto"/>
        <w:rPr>
          <w:rFonts w:asciiTheme="minorHAnsi" w:hAnsiTheme="minorHAnsi"/>
        </w:rPr>
      </w:pPr>
    </w:p>
    <w:p w14:paraId="07C8A052" w14:textId="429D33F9" w:rsidR="00286153" w:rsidRPr="00C70B3B" w:rsidRDefault="00286153" w:rsidP="007A1F10">
      <w:pPr>
        <w:pStyle w:val="ListParagraph"/>
        <w:numPr>
          <w:ilvl w:val="0"/>
          <w:numId w:val="2"/>
        </w:numPr>
        <w:spacing w:line="240" w:lineRule="auto"/>
        <w:rPr>
          <w:rFonts w:asciiTheme="minorHAnsi" w:hAnsiTheme="minorHAnsi"/>
          <w:sz w:val="20"/>
        </w:rPr>
      </w:pPr>
      <w:r w:rsidRPr="00C70B3B">
        <w:rPr>
          <w:rFonts w:asciiTheme="minorHAnsi" w:hAnsiTheme="minorHAnsi"/>
          <w:sz w:val="20"/>
        </w:rPr>
        <w:t xml:space="preserve">Qué dificultades prácticas y técnicas existen en relación con el diseño y la implementación de los CDS y cómo </w:t>
      </w:r>
      <w:r w:rsidR="00BC35BC" w:rsidRPr="00C70B3B">
        <w:rPr>
          <w:rFonts w:asciiTheme="minorHAnsi" w:hAnsiTheme="minorHAnsi"/>
          <w:sz w:val="20"/>
        </w:rPr>
        <w:t>podrían</w:t>
      </w:r>
      <w:r w:rsidRPr="00C70B3B">
        <w:rPr>
          <w:rFonts w:asciiTheme="minorHAnsi" w:hAnsiTheme="minorHAnsi"/>
          <w:sz w:val="20"/>
        </w:rPr>
        <w:t xml:space="preserve"> superarse</w:t>
      </w:r>
      <w:r w:rsidR="00913DCE" w:rsidRPr="00C70B3B">
        <w:rPr>
          <w:rFonts w:asciiTheme="minorHAnsi" w:hAnsiTheme="minorHAnsi"/>
          <w:sz w:val="20"/>
        </w:rPr>
        <w:t>;</w:t>
      </w:r>
    </w:p>
    <w:p w14:paraId="122C2E57" w14:textId="77777777" w:rsidR="007A1F10" w:rsidRPr="00C70B3B" w:rsidRDefault="007A1F10" w:rsidP="007A1F10">
      <w:pPr>
        <w:pStyle w:val="ListParagraph"/>
        <w:spacing w:line="240" w:lineRule="auto"/>
        <w:rPr>
          <w:rFonts w:asciiTheme="minorHAnsi" w:hAnsiTheme="minorHAnsi"/>
          <w:sz w:val="20"/>
        </w:rPr>
      </w:pPr>
    </w:p>
    <w:p w14:paraId="240EE088" w14:textId="2A89CAB8" w:rsidR="00286153" w:rsidRPr="00C70B3B" w:rsidRDefault="00286153" w:rsidP="007A1F10">
      <w:pPr>
        <w:pStyle w:val="ListParagraph"/>
        <w:numPr>
          <w:ilvl w:val="0"/>
          <w:numId w:val="2"/>
        </w:numPr>
        <w:spacing w:line="240" w:lineRule="auto"/>
        <w:jc w:val="both"/>
        <w:rPr>
          <w:rFonts w:asciiTheme="minorHAnsi" w:hAnsiTheme="minorHAnsi"/>
          <w:sz w:val="20"/>
        </w:rPr>
      </w:pPr>
      <w:r w:rsidRPr="00C70B3B">
        <w:rPr>
          <w:rFonts w:asciiTheme="minorHAnsi" w:hAnsiTheme="minorHAnsi"/>
          <w:sz w:val="20"/>
        </w:rPr>
        <w:t>Si es factible y adecuado ampliar el sistema eBCD a otras especies, o si es más apropiado desarrollar un sistema electrónico independiente;</w:t>
      </w:r>
    </w:p>
    <w:p w14:paraId="7D183993" w14:textId="77777777" w:rsidR="007A1F10" w:rsidRPr="00C70B3B" w:rsidRDefault="007A1F10" w:rsidP="007A1F10">
      <w:pPr>
        <w:pStyle w:val="ListParagraph"/>
        <w:rPr>
          <w:rFonts w:asciiTheme="minorHAnsi" w:hAnsiTheme="minorHAnsi"/>
          <w:sz w:val="20"/>
        </w:rPr>
      </w:pPr>
    </w:p>
    <w:p w14:paraId="45201338" w14:textId="2C9813C8" w:rsidR="00286153" w:rsidRPr="00C70B3B" w:rsidRDefault="00286153" w:rsidP="007A1F10">
      <w:pPr>
        <w:pStyle w:val="ListParagraph"/>
        <w:numPr>
          <w:ilvl w:val="0"/>
          <w:numId w:val="2"/>
        </w:numPr>
        <w:spacing w:line="240" w:lineRule="auto"/>
        <w:jc w:val="both"/>
        <w:rPr>
          <w:rFonts w:asciiTheme="minorHAnsi" w:hAnsiTheme="minorHAnsi"/>
          <w:sz w:val="20"/>
        </w:rPr>
      </w:pPr>
      <w:r w:rsidRPr="00C70B3B">
        <w:rPr>
          <w:rFonts w:asciiTheme="minorHAnsi" w:hAnsiTheme="minorHAnsi"/>
          <w:sz w:val="20"/>
        </w:rPr>
        <w:t>Qué programas de desarrollo de capacidades para las CPC en desarrollo pueden ser necesarios para apoyar su implementación de cualquier CDS ampliado;</w:t>
      </w:r>
    </w:p>
    <w:p w14:paraId="333FF659" w14:textId="77777777" w:rsidR="007A1F10" w:rsidRPr="00C70B3B" w:rsidRDefault="007A1F10" w:rsidP="007A1F10">
      <w:pPr>
        <w:pStyle w:val="ListParagraph"/>
        <w:rPr>
          <w:rFonts w:asciiTheme="minorHAnsi" w:hAnsiTheme="minorHAnsi"/>
          <w:sz w:val="20"/>
        </w:rPr>
      </w:pPr>
    </w:p>
    <w:p w14:paraId="4BF592AE" w14:textId="5F4EB401" w:rsidR="00286153" w:rsidRPr="00C70B3B" w:rsidRDefault="00286153" w:rsidP="007A1F10">
      <w:pPr>
        <w:pStyle w:val="ListParagraph"/>
        <w:numPr>
          <w:ilvl w:val="0"/>
          <w:numId w:val="2"/>
        </w:numPr>
        <w:spacing w:line="240" w:lineRule="auto"/>
        <w:jc w:val="both"/>
        <w:rPr>
          <w:rFonts w:asciiTheme="minorHAnsi" w:hAnsiTheme="minorHAnsi"/>
          <w:sz w:val="20"/>
        </w:rPr>
      </w:pPr>
      <w:r w:rsidRPr="00C70B3B">
        <w:rPr>
          <w:rFonts w:asciiTheme="minorHAnsi" w:hAnsiTheme="minorHAnsi"/>
          <w:sz w:val="20"/>
        </w:rPr>
        <w:t xml:space="preserve">Cómo evitar la duplicación con los sistemas nacionales e internacionales existentes, y </w:t>
      </w:r>
      <w:r w:rsidR="00AB48E5" w:rsidRPr="00C70B3B">
        <w:rPr>
          <w:rFonts w:asciiTheme="minorHAnsi" w:hAnsiTheme="minorHAnsi"/>
          <w:sz w:val="20"/>
        </w:rPr>
        <w:t xml:space="preserve">de </w:t>
      </w:r>
      <w:r w:rsidRPr="00C70B3B">
        <w:rPr>
          <w:rFonts w:asciiTheme="minorHAnsi" w:hAnsiTheme="minorHAnsi"/>
          <w:sz w:val="20"/>
        </w:rPr>
        <w:t>reducir la carga de trabajo de las CPC exportadoras</w:t>
      </w:r>
      <w:r w:rsidR="00BC35BC" w:rsidRPr="00C70B3B">
        <w:rPr>
          <w:rFonts w:asciiTheme="minorHAnsi" w:hAnsiTheme="minorHAnsi"/>
          <w:sz w:val="20"/>
        </w:rPr>
        <w:t>, si es posible;</w:t>
      </w:r>
    </w:p>
    <w:p w14:paraId="16746E19" w14:textId="77777777" w:rsidR="007A1F10" w:rsidRPr="00C70B3B" w:rsidRDefault="007A1F10" w:rsidP="007A1F10">
      <w:pPr>
        <w:pStyle w:val="ListParagraph"/>
        <w:rPr>
          <w:rFonts w:asciiTheme="minorHAnsi" w:hAnsiTheme="minorHAnsi"/>
          <w:sz w:val="20"/>
        </w:rPr>
      </w:pPr>
    </w:p>
    <w:p w14:paraId="648D5618" w14:textId="1D622640" w:rsidR="00286153" w:rsidRPr="00C70B3B" w:rsidRDefault="00286153" w:rsidP="007A1F10">
      <w:pPr>
        <w:pStyle w:val="ListParagraph"/>
        <w:numPr>
          <w:ilvl w:val="0"/>
          <w:numId w:val="2"/>
        </w:numPr>
        <w:spacing w:line="240" w:lineRule="auto"/>
        <w:rPr>
          <w:rFonts w:asciiTheme="minorHAnsi" w:hAnsiTheme="minorHAnsi"/>
          <w:sz w:val="20"/>
        </w:rPr>
      </w:pPr>
      <w:r w:rsidRPr="00C70B3B">
        <w:rPr>
          <w:rFonts w:asciiTheme="minorHAnsi" w:hAnsiTheme="minorHAnsi"/>
          <w:sz w:val="20"/>
        </w:rPr>
        <w:t>Cómo garantizar la compatibilidad entre los CDS que se están desarrollando o aplicando en otras OROP de túnidos.</w:t>
      </w:r>
    </w:p>
    <w:p w14:paraId="614BD033" w14:textId="77777777" w:rsidR="00CB1A04" w:rsidRPr="00C70B3B" w:rsidRDefault="00CB1A04" w:rsidP="00CB1A04">
      <w:pPr>
        <w:pStyle w:val="ListParagraph"/>
        <w:rPr>
          <w:rFonts w:asciiTheme="minorHAnsi" w:hAnsiTheme="minorHAnsi"/>
          <w:sz w:val="20"/>
        </w:rPr>
      </w:pPr>
    </w:p>
    <w:p w14:paraId="1F56D591" w14:textId="4CA7FCE2" w:rsidR="00CB1A04" w:rsidRPr="00C70B3B" w:rsidRDefault="00CB1A04" w:rsidP="00CB1A04">
      <w:pPr>
        <w:pStyle w:val="ListParagraph"/>
        <w:numPr>
          <w:ilvl w:val="0"/>
          <w:numId w:val="4"/>
        </w:numPr>
        <w:spacing w:line="240" w:lineRule="auto"/>
        <w:jc w:val="both"/>
        <w:rPr>
          <w:rFonts w:asciiTheme="minorHAnsi" w:hAnsiTheme="minorHAnsi"/>
          <w:sz w:val="20"/>
        </w:rPr>
      </w:pPr>
      <w:r w:rsidRPr="00C70B3B">
        <w:rPr>
          <w:rFonts w:asciiTheme="minorHAnsi" w:hAnsiTheme="minorHAnsi"/>
          <w:sz w:val="20"/>
        </w:rPr>
        <w:t>El CDS WG también se ocupará de las cuestiones técnicas relacionadas con el eBCD y de la posible ampliación del eBCD a otras especies si se considera la herramienta adecuada.</w:t>
      </w:r>
    </w:p>
    <w:p w14:paraId="1560B190" w14:textId="77777777" w:rsidR="00BC35BC" w:rsidRPr="00C70B3B" w:rsidRDefault="00BC35BC" w:rsidP="00BC35BC">
      <w:pPr>
        <w:spacing w:line="240" w:lineRule="auto"/>
        <w:jc w:val="both"/>
        <w:rPr>
          <w:rFonts w:asciiTheme="minorHAnsi" w:hAnsiTheme="minorHAnsi"/>
          <w:sz w:val="20"/>
        </w:rPr>
      </w:pPr>
    </w:p>
    <w:p w14:paraId="5BBA715C" w14:textId="28459137" w:rsidR="00BC35BC" w:rsidRPr="00C70B3B" w:rsidRDefault="00BC35BC" w:rsidP="00BC35BC">
      <w:pPr>
        <w:pStyle w:val="ListParagraph"/>
        <w:numPr>
          <w:ilvl w:val="0"/>
          <w:numId w:val="4"/>
        </w:numPr>
        <w:spacing w:line="240" w:lineRule="auto"/>
        <w:jc w:val="both"/>
        <w:rPr>
          <w:rFonts w:asciiTheme="minorHAnsi" w:hAnsiTheme="minorHAnsi"/>
          <w:sz w:val="20"/>
        </w:rPr>
      </w:pPr>
      <w:r w:rsidRPr="00C70B3B">
        <w:rPr>
          <w:rFonts w:asciiTheme="minorHAnsi" w:hAnsiTheme="minorHAnsi"/>
          <w:sz w:val="20"/>
        </w:rPr>
        <w:t xml:space="preserve">El CDS WG </w:t>
      </w:r>
      <w:r w:rsidR="004700F5" w:rsidRPr="00C70B3B">
        <w:rPr>
          <w:rFonts w:asciiTheme="minorHAnsi" w:hAnsiTheme="minorHAnsi"/>
          <w:sz w:val="20"/>
        </w:rPr>
        <w:t>identificará</w:t>
      </w:r>
      <w:r w:rsidRPr="00C70B3B">
        <w:rPr>
          <w:rFonts w:asciiTheme="minorHAnsi" w:hAnsiTheme="minorHAnsi"/>
          <w:sz w:val="20"/>
        </w:rPr>
        <w:t xml:space="preserve">, en la medida de lo posible, </w:t>
      </w:r>
      <w:r w:rsidR="004700F5" w:rsidRPr="00C70B3B">
        <w:rPr>
          <w:rFonts w:asciiTheme="minorHAnsi" w:hAnsiTheme="minorHAnsi"/>
          <w:sz w:val="20"/>
        </w:rPr>
        <w:t xml:space="preserve">los </w:t>
      </w:r>
      <w:r w:rsidRPr="00C70B3B">
        <w:rPr>
          <w:rFonts w:asciiTheme="minorHAnsi" w:hAnsiTheme="minorHAnsi"/>
          <w:sz w:val="20"/>
        </w:rPr>
        <w:t xml:space="preserve">componentes </w:t>
      </w:r>
      <w:r w:rsidR="00546B20" w:rsidRPr="00C70B3B">
        <w:rPr>
          <w:rFonts w:asciiTheme="minorHAnsi" w:hAnsiTheme="minorHAnsi"/>
          <w:sz w:val="20"/>
        </w:rPr>
        <w:t xml:space="preserve">clave </w:t>
      </w:r>
      <w:r w:rsidRPr="00C70B3B">
        <w:rPr>
          <w:rFonts w:asciiTheme="minorHAnsi" w:hAnsiTheme="minorHAnsi"/>
          <w:sz w:val="20"/>
        </w:rPr>
        <w:t xml:space="preserve">para facilitar la aplicación </w:t>
      </w:r>
      <w:r w:rsidR="00546B20" w:rsidRPr="00C70B3B">
        <w:rPr>
          <w:rFonts w:asciiTheme="minorHAnsi" w:hAnsiTheme="minorHAnsi"/>
          <w:sz w:val="20"/>
        </w:rPr>
        <w:t>de cualquier CDS ampliado</w:t>
      </w:r>
      <w:r w:rsidRPr="00C70B3B">
        <w:rPr>
          <w:rFonts w:asciiTheme="minorHAnsi" w:hAnsiTheme="minorHAnsi"/>
          <w:sz w:val="20"/>
        </w:rPr>
        <w:t>,</w:t>
      </w:r>
      <w:r w:rsidR="00546B20" w:rsidRPr="00C70B3B">
        <w:rPr>
          <w:rFonts w:asciiTheme="minorHAnsi" w:hAnsiTheme="minorHAnsi"/>
          <w:sz w:val="20"/>
        </w:rPr>
        <w:t xml:space="preserve"> incluido teniendo en cuenta las necesidades </w:t>
      </w:r>
      <w:r w:rsidRPr="00C70B3B">
        <w:rPr>
          <w:rFonts w:asciiTheme="minorHAnsi" w:hAnsiTheme="minorHAnsi"/>
          <w:sz w:val="20"/>
        </w:rPr>
        <w:t xml:space="preserve">y requisitos </w:t>
      </w:r>
      <w:r w:rsidR="00946980" w:rsidRPr="00C70B3B">
        <w:rPr>
          <w:rFonts w:asciiTheme="minorHAnsi" w:hAnsiTheme="minorHAnsi"/>
          <w:sz w:val="20"/>
        </w:rPr>
        <w:t xml:space="preserve">especiales </w:t>
      </w:r>
      <w:r w:rsidRPr="00C70B3B">
        <w:rPr>
          <w:rFonts w:asciiTheme="minorHAnsi" w:hAnsiTheme="minorHAnsi"/>
          <w:sz w:val="20"/>
        </w:rPr>
        <w:t>de las CPC en desarrollo,</w:t>
      </w:r>
      <w:r w:rsidR="00946980" w:rsidRPr="00C70B3B">
        <w:rPr>
          <w:rFonts w:asciiTheme="minorHAnsi" w:hAnsiTheme="minorHAnsi"/>
          <w:sz w:val="20"/>
        </w:rPr>
        <w:t xml:space="preserve"> tanto en el diseño como en la aplicación de dichos sistemas, </w:t>
      </w:r>
      <w:r w:rsidRPr="00C70B3B">
        <w:rPr>
          <w:rFonts w:asciiTheme="minorHAnsi" w:hAnsiTheme="minorHAnsi"/>
          <w:sz w:val="20"/>
        </w:rPr>
        <w:t>entre otros</w:t>
      </w:r>
      <w:r w:rsidR="00546B20" w:rsidRPr="00C70B3B">
        <w:rPr>
          <w:rFonts w:asciiTheme="minorHAnsi" w:hAnsiTheme="minorHAnsi"/>
          <w:sz w:val="20"/>
        </w:rPr>
        <w:t>.</w:t>
      </w:r>
    </w:p>
    <w:p w14:paraId="0000001A" w14:textId="46ED5B9E" w:rsidR="00AC1EBE" w:rsidRPr="00C70B3B" w:rsidRDefault="00AC1EBE" w:rsidP="007A1F10">
      <w:pPr>
        <w:spacing w:line="240" w:lineRule="auto"/>
        <w:rPr>
          <w:rFonts w:asciiTheme="minorHAnsi" w:hAnsiTheme="minorHAnsi"/>
          <w:sz w:val="20"/>
        </w:rPr>
      </w:pPr>
    </w:p>
    <w:p w14:paraId="0000001B" w14:textId="1A4273B5" w:rsidR="00AC1EBE" w:rsidRPr="00C70B3B" w:rsidRDefault="005370EF" w:rsidP="00C75242">
      <w:pPr>
        <w:pStyle w:val="ListParagraph"/>
        <w:numPr>
          <w:ilvl w:val="0"/>
          <w:numId w:val="4"/>
        </w:numPr>
        <w:spacing w:line="240" w:lineRule="auto"/>
        <w:jc w:val="both"/>
        <w:rPr>
          <w:rFonts w:asciiTheme="minorHAnsi" w:hAnsiTheme="minorHAnsi"/>
          <w:sz w:val="20"/>
          <w:szCs w:val="20"/>
        </w:rPr>
      </w:pPr>
      <w:r w:rsidRPr="00C70B3B">
        <w:rPr>
          <w:rFonts w:asciiTheme="minorHAnsi" w:hAnsiTheme="minorHAnsi"/>
          <w:sz w:val="20"/>
        </w:rPr>
        <w:t>De 2024 a 2026, el CDS WG celebrar</w:t>
      </w:r>
      <w:r w:rsidR="00CB1A04" w:rsidRPr="00C70B3B">
        <w:rPr>
          <w:rFonts w:asciiTheme="minorHAnsi" w:hAnsiTheme="minorHAnsi"/>
          <w:sz w:val="20"/>
        </w:rPr>
        <w:t>á</w:t>
      </w:r>
      <w:r w:rsidRPr="00C70B3B">
        <w:rPr>
          <w:rFonts w:asciiTheme="minorHAnsi" w:hAnsiTheme="minorHAnsi"/>
          <w:sz w:val="20"/>
        </w:rPr>
        <w:t xml:space="preserve"> una reunión al menos una vez al año, salvo que la Comisión decida otra cosa. </w:t>
      </w:r>
      <w:r w:rsidR="00CB1A04" w:rsidRPr="00C70B3B">
        <w:rPr>
          <w:rFonts w:asciiTheme="minorHAnsi" w:hAnsiTheme="minorHAnsi"/>
          <w:sz w:val="20"/>
        </w:rPr>
        <w:t xml:space="preserve">Si el CDS WG se reúne de forma presencial, </w:t>
      </w:r>
      <w:r w:rsidR="00854604" w:rsidRPr="00C70B3B">
        <w:rPr>
          <w:rFonts w:asciiTheme="minorHAnsi" w:hAnsiTheme="minorHAnsi"/>
          <w:sz w:val="20"/>
        </w:rPr>
        <w:t>su</w:t>
      </w:r>
      <w:r w:rsidR="00CB1A04" w:rsidRPr="00C70B3B">
        <w:rPr>
          <w:rFonts w:asciiTheme="minorHAnsi" w:hAnsiTheme="minorHAnsi"/>
          <w:sz w:val="20"/>
        </w:rPr>
        <w:t xml:space="preserve"> reunión debería celebrarse </w:t>
      </w:r>
      <w:r w:rsidRPr="00C70B3B">
        <w:rPr>
          <w:rFonts w:asciiTheme="minorHAnsi" w:hAnsiTheme="minorHAnsi"/>
          <w:sz w:val="20"/>
        </w:rPr>
        <w:t>preferiblemente en conjunción con una reunión intersesiones, en particular la reunión de</w:t>
      </w:r>
      <w:r w:rsidR="00BC35BC" w:rsidRPr="00C70B3B">
        <w:rPr>
          <w:rFonts w:asciiTheme="minorHAnsi" w:hAnsiTheme="minorHAnsi"/>
          <w:sz w:val="20"/>
        </w:rPr>
        <w:t>l Grupo de trabajo</w:t>
      </w:r>
      <w:r w:rsidRPr="00C70B3B">
        <w:rPr>
          <w:rFonts w:asciiTheme="minorHAnsi" w:hAnsiTheme="minorHAnsi"/>
          <w:sz w:val="20"/>
        </w:rPr>
        <w:t xml:space="preserve"> </w:t>
      </w:r>
      <w:r w:rsidR="00913DCE" w:rsidRPr="00C70B3B">
        <w:rPr>
          <w:rFonts w:asciiTheme="minorHAnsi" w:hAnsiTheme="minorHAnsi"/>
          <w:sz w:val="20"/>
        </w:rPr>
        <w:t xml:space="preserve">sobre </w:t>
      </w:r>
      <w:r w:rsidRPr="00C70B3B">
        <w:rPr>
          <w:rFonts w:asciiTheme="minorHAnsi" w:hAnsiTheme="minorHAnsi"/>
          <w:sz w:val="20"/>
        </w:rPr>
        <w:t xml:space="preserve">IMM, de modo que el Fondo de participación en reuniones pueda utilizarse eficazmente para apoyar la participación de las CPC en desarrollo. Si la reunión del CDS WG se celebra junto con la reunión </w:t>
      </w:r>
      <w:r w:rsidR="00BC35BC" w:rsidRPr="00C70B3B">
        <w:rPr>
          <w:rFonts w:asciiTheme="minorHAnsi" w:hAnsiTheme="minorHAnsi"/>
          <w:sz w:val="20"/>
        </w:rPr>
        <w:t>del Grupo de trabajo</w:t>
      </w:r>
      <w:r w:rsidR="00913DCE" w:rsidRPr="00C70B3B">
        <w:rPr>
          <w:rFonts w:asciiTheme="minorHAnsi" w:hAnsiTheme="minorHAnsi"/>
          <w:sz w:val="20"/>
        </w:rPr>
        <w:t xml:space="preserve"> sobre</w:t>
      </w:r>
      <w:r w:rsidR="00BC35BC" w:rsidRPr="00C70B3B">
        <w:rPr>
          <w:rFonts w:asciiTheme="minorHAnsi" w:hAnsiTheme="minorHAnsi"/>
          <w:sz w:val="20"/>
        </w:rPr>
        <w:t xml:space="preserve"> </w:t>
      </w:r>
      <w:r w:rsidRPr="00C70B3B">
        <w:rPr>
          <w:rFonts w:asciiTheme="minorHAnsi" w:hAnsiTheme="minorHAnsi"/>
          <w:sz w:val="20"/>
        </w:rPr>
        <w:t>IMM, la duración total de estas dos reuniones debería ser de cinco días como máximo, a menos que la Comisión decida otra cosa.</w:t>
      </w:r>
      <w:r w:rsidR="00CB1A04" w:rsidRPr="00C70B3B">
        <w:rPr>
          <w:rFonts w:asciiTheme="minorHAnsi" w:hAnsiTheme="minorHAnsi"/>
          <w:sz w:val="20"/>
        </w:rPr>
        <w:t xml:space="preserve"> El CDS WG podrá reunirse para debatir cuestiones técnicas relacionadas con el eBCD siempre que el presidente del CDS WG lo considere necesario y logísticamente </w:t>
      </w:r>
      <w:r w:rsidR="00BC35BC" w:rsidRPr="00C70B3B">
        <w:rPr>
          <w:rFonts w:asciiTheme="minorHAnsi" w:hAnsiTheme="minorHAnsi"/>
          <w:sz w:val="20"/>
        </w:rPr>
        <w:t>factible</w:t>
      </w:r>
      <w:r w:rsidR="00CB1A04" w:rsidRPr="00C70B3B">
        <w:rPr>
          <w:rFonts w:asciiTheme="minorHAnsi" w:hAnsiTheme="minorHAnsi"/>
          <w:sz w:val="20"/>
        </w:rPr>
        <w:t>.</w:t>
      </w:r>
    </w:p>
    <w:p w14:paraId="0000001C" w14:textId="77777777" w:rsidR="00AC1EBE" w:rsidRPr="00C70B3B" w:rsidRDefault="00AC1EBE" w:rsidP="00C75242">
      <w:pPr>
        <w:spacing w:line="240" w:lineRule="auto"/>
        <w:jc w:val="both"/>
        <w:rPr>
          <w:rFonts w:asciiTheme="minorHAnsi" w:hAnsiTheme="minorHAnsi"/>
          <w:sz w:val="20"/>
          <w:szCs w:val="20"/>
        </w:rPr>
      </w:pPr>
    </w:p>
    <w:p w14:paraId="0000001D" w14:textId="1CB88EBB" w:rsidR="00AC1EBE" w:rsidRPr="00C70B3B" w:rsidRDefault="005370EF" w:rsidP="00C75242">
      <w:pPr>
        <w:pStyle w:val="ListParagraph"/>
        <w:numPr>
          <w:ilvl w:val="0"/>
          <w:numId w:val="4"/>
        </w:numPr>
        <w:spacing w:line="240" w:lineRule="auto"/>
        <w:jc w:val="both"/>
        <w:rPr>
          <w:rFonts w:asciiTheme="minorHAnsi" w:hAnsiTheme="minorHAnsi"/>
          <w:sz w:val="20"/>
          <w:szCs w:val="20"/>
        </w:rPr>
      </w:pPr>
      <w:r w:rsidRPr="00C70B3B">
        <w:rPr>
          <w:rFonts w:asciiTheme="minorHAnsi" w:hAnsiTheme="minorHAnsi"/>
          <w:sz w:val="20"/>
        </w:rPr>
        <w:t>El CDS WG</w:t>
      </w:r>
      <w:r w:rsidR="00BC35BC" w:rsidRPr="00C70B3B">
        <w:rPr>
          <w:rFonts w:asciiTheme="minorHAnsi" w:hAnsiTheme="minorHAnsi"/>
          <w:sz w:val="20"/>
        </w:rPr>
        <w:t xml:space="preserve"> desarrollará y </w:t>
      </w:r>
      <w:r w:rsidRPr="00C70B3B">
        <w:rPr>
          <w:rFonts w:asciiTheme="minorHAnsi" w:hAnsiTheme="minorHAnsi"/>
          <w:sz w:val="20"/>
        </w:rPr>
        <w:t>presentará, si procede, un Proyecto de Recomendación sobre cualquier CDS ampliado a la reunión de la Comisión de 2026</w:t>
      </w:r>
      <w:r w:rsidR="00CB1A04" w:rsidRPr="00C70B3B">
        <w:rPr>
          <w:rFonts w:asciiTheme="minorHAnsi" w:hAnsiTheme="minorHAnsi"/>
          <w:sz w:val="20"/>
        </w:rPr>
        <w:t>, o antes si fuera posible</w:t>
      </w:r>
      <w:r w:rsidRPr="00C70B3B">
        <w:rPr>
          <w:rFonts w:asciiTheme="minorHAnsi" w:hAnsiTheme="minorHAnsi"/>
          <w:sz w:val="20"/>
        </w:rPr>
        <w:t>. Si el CDS WG no puede presentar el Proyecto de Recomendación</w:t>
      </w:r>
      <w:r w:rsidR="00CB1A04" w:rsidRPr="00C70B3B">
        <w:rPr>
          <w:rFonts w:asciiTheme="minorHAnsi" w:hAnsiTheme="minorHAnsi"/>
          <w:sz w:val="20"/>
        </w:rPr>
        <w:t xml:space="preserve"> en 2026</w:t>
      </w:r>
      <w:r w:rsidRPr="00C70B3B">
        <w:rPr>
          <w:rFonts w:asciiTheme="minorHAnsi" w:hAnsiTheme="minorHAnsi"/>
          <w:sz w:val="20"/>
        </w:rPr>
        <w:t xml:space="preserve">, </w:t>
      </w:r>
      <w:r w:rsidR="00CB1A04" w:rsidRPr="00C70B3B">
        <w:rPr>
          <w:rFonts w:asciiTheme="minorHAnsi" w:hAnsiTheme="minorHAnsi"/>
          <w:sz w:val="20"/>
        </w:rPr>
        <w:t xml:space="preserve">propondrá </w:t>
      </w:r>
      <w:r w:rsidRPr="00C70B3B">
        <w:rPr>
          <w:rFonts w:asciiTheme="minorHAnsi" w:hAnsiTheme="minorHAnsi"/>
          <w:sz w:val="20"/>
        </w:rPr>
        <w:t>un nuevo plan de trabajo a la Comisión para su aprobación.</w:t>
      </w:r>
    </w:p>
    <w:p w14:paraId="762B038D" w14:textId="77777777" w:rsidR="00CB1A04" w:rsidRPr="00C70B3B" w:rsidRDefault="00CB1A04" w:rsidP="007A1F10">
      <w:pPr>
        <w:spacing w:line="240" w:lineRule="auto"/>
        <w:jc w:val="both"/>
        <w:rPr>
          <w:rFonts w:asciiTheme="minorHAnsi" w:hAnsiTheme="minorHAnsi"/>
          <w:sz w:val="20"/>
        </w:rPr>
      </w:pPr>
    </w:p>
    <w:p w14:paraId="00000021" w14:textId="0C36D0E7" w:rsidR="00AC1EBE" w:rsidRPr="00C70B3B" w:rsidRDefault="005370EF" w:rsidP="007A1F10">
      <w:pPr>
        <w:pStyle w:val="ListParagraph"/>
        <w:numPr>
          <w:ilvl w:val="0"/>
          <w:numId w:val="4"/>
        </w:numPr>
        <w:spacing w:line="240" w:lineRule="auto"/>
        <w:jc w:val="both"/>
        <w:rPr>
          <w:rFonts w:asciiTheme="minorHAnsi" w:hAnsiTheme="minorHAnsi"/>
          <w:sz w:val="20"/>
        </w:rPr>
      </w:pPr>
      <w:r w:rsidRPr="00C70B3B">
        <w:rPr>
          <w:rFonts w:asciiTheme="minorHAnsi" w:hAnsiTheme="minorHAnsi"/>
          <w:sz w:val="20"/>
        </w:rPr>
        <w:t xml:space="preserve">Esta </w:t>
      </w:r>
      <w:r w:rsidR="00CB1A04" w:rsidRPr="00C70B3B">
        <w:rPr>
          <w:rFonts w:asciiTheme="minorHAnsi" w:hAnsiTheme="minorHAnsi"/>
          <w:sz w:val="20"/>
        </w:rPr>
        <w:t>Recomendación</w:t>
      </w:r>
      <w:r w:rsidRPr="00C70B3B">
        <w:rPr>
          <w:rFonts w:asciiTheme="minorHAnsi" w:hAnsiTheme="minorHAnsi"/>
          <w:sz w:val="20"/>
        </w:rPr>
        <w:t xml:space="preserve"> deroga y sustitu</w:t>
      </w:r>
      <w:r w:rsidR="00A15460" w:rsidRPr="00C70B3B">
        <w:rPr>
          <w:rFonts w:asciiTheme="minorHAnsi" w:hAnsiTheme="minorHAnsi"/>
          <w:sz w:val="20"/>
        </w:rPr>
        <w:t>ye</w:t>
      </w:r>
      <w:r w:rsidRPr="00C70B3B">
        <w:rPr>
          <w:rFonts w:asciiTheme="minorHAnsi" w:hAnsiTheme="minorHAnsi"/>
          <w:sz w:val="20"/>
        </w:rPr>
        <w:t xml:space="preserve"> la </w:t>
      </w:r>
      <w:r w:rsidRPr="00C70B3B">
        <w:rPr>
          <w:rFonts w:asciiTheme="minorHAnsi" w:hAnsiTheme="minorHAnsi"/>
          <w:i/>
          <w:iCs/>
          <w:sz w:val="20"/>
        </w:rPr>
        <w:t>Resolución de ICCAT para el establecimiento de un Grupo de trabajo ICCAT sobre un sistema de documentación de capturas</w:t>
      </w:r>
      <w:r w:rsidRPr="00C70B3B">
        <w:rPr>
          <w:rFonts w:asciiTheme="minorHAnsi" w:hAnsiTheme="minorHAnsi"/>
          <w:sz w:val="20"/>
        </w:rPr>
        <w:t xml:space="preserve"> (</w:t>
      </w:r>
      <w:r w:rsidRPr="00C70B3B">
        <w:rPr>
          <w:rFonts w:asciiTheme="minorHAnsi" w:hAnsiTheme="minorHAnsi"/>
          <w:i/>
          <w:iCs/>
          <w:sz w:val="20"/>
        </w:rPr>
        <w:t>CDS</w:t>
      </w:r>
      <w:r w:rsidRPr="00C70B3B">
        <w:rPr>
          <w:rFonts w:asciiTheme="minorHAnsi" w:hAnsiTheme="minorHAnsi"/>
          <w:sz w:val="20"/>
        </w:rPr>
        <w:t>) (Res. 21-21</w:t>
      </w:r>
      <w:r w:rsidR="00CB1A04" w:rsidRPr="00C70B3B">
        <w:rPr>
          <w:rFonts w:asciiTheme="minorHAnsi" w:hAnsiTheme="minorHAnsi"/>
          <w:sz w:val="20"/>
        </w:rPr>
        <w:t>)</w:t>
      </w:r>
      <w:r w:rsidR="007C5849" w:rsidRPr="00C70B3B">
        <w:rPr>
          <w:rFonts w:asciiTheme="minorHAnsi" w:hAnsiTheme="minorHAnsi"/>
          <w:sz w:val="20"/>
        </w:rPr>
        <w:t>.</w:t>
      </w:r>
    </w:p>
    <w:sectPr w:rsidR="00AC1EBE" w:rsidRPr="00C70B3B" w:rsidSect="007A1F10">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E2279" w14:textId="77777777" w:rsidR="004370E2" w:rsidRDefault="004370E2" w:rsidP="002B419A">
      <w:pPr>
        <w:spacing w:line="240" w:lineRule="auto"/>
      </w:pPr>
      <w:r>
        <w:separator/>
      </w:r>
    </w:p>
  </w:endnote>
  <w:endnote w:type="continuationSeparator" w:id="0">
    <w:p w14:paraId="31319166" w14:textId="77777777" w:rsidR="004370E2" w:rsidRDefault="004370E2" w:rsidP="002B419A">
      <w:pPr>
        <w:spacing w:line="240" w:lineRule="auto"/>
      </w:pPr>
      <w:r>
        <w:continuationSeparator/>
      </w:r>
    </w:p>
  </w:endnote>
  <w:endnote w:type="continuationNotice" w:id="1">
    <w:p w14:paraId="08B61281" w14:textId="77777777" w:rsidR="004370E2" w:rsidRDefault="004370E2" w:rsidP="002B41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FFDD" w14:textId="77777777" w:rsidR="00AE495B" w:rsidRDefault="00AE4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C04B" w14:textId="4BA1AC87" w:rsidR="00C75242" w:rsidRPr="007A1F10" w:rsidRDefault="00E722E4" w:rsidP="007A1F10">
    <w:pPr>
      <w:tabs>
        <w:tab w:val="center" w:pos="4535"/>
        <w:tab w:val="center" w:pos="4680"/>
        <w:tab w:val="left" w:pos="6150"/>
        <w:tab w:val="right" w:pos="9360"/>
      </w:tabs>
      <w:jc w:val="center"/>
      <w:rPr>
        <w:rFonts w:ascii="Cambria" w:hAnsi="Cambria"/>
        <w:sz w:val="20"/>
      </w:rPr>
    </w:pPr>
    <w:sdt>
      <w:sdtPr>
        <w:rPr>
          <w:rFonts w:ascii="Calibri" w:eastAsia="Calibri" w:hAnsi="Calibri" w:cs="Calibri"/>
          <w:sz w:val="20"/>
          <w:szCs w:val="20"/>
        </w:rPr>
        <w:id w:val="810910487"/>
        <w:docPartObj>
          <w:docPartGallery w:val="Page Numbers (Top of Page)"/>
          <w:docPartUnique/>
        </w:docPartObj>
      </w:sdtPr>
      <w:sdtEndPr/>
      <w:sdtContent>
        <w:r w:rsidR="00C75242" w:rsidRPr="00713AD4">
          <w:rPr>
            <w:rFonts w:ascii="Cambria" w:eastAsia="Calibri" w:hAnsi="Cambria" w:cs="Calibri"/>
            <w:sz w:val="20"/>
          </w:rPr>
          <w:fldChar w:fldCharType="begin"/>
        </w:r>
        <w:r w:rsidR="00C75242" w:rsidRPr="00713AD4">
          <w:rPr>
            <w:rFonts w:ascii="Cambria" w:eastAsia="Calibri" w:hAnsi="Cambria" w:cs="Calibri"/>
            <w:sz w:val="20"/>
          </w:rPr>
          <w:instrText xml:space="preserve"> PAGE </w:instrText>
        </w:r>
        <w:r w:rsidR="00C75242" w:rsidRPr="00713AD4">
          <w:rPr>
            <w:rFonts w:ascii="Cambria" w:eastAsia="Calibri" w:hAnsi="Cambria" w:cs="Calibri"/>
            <w:sz w:val="20"/>
          </w:rPr>
          <w:fldChar w:fldCharType="separate"/>
        </w:r>
        <w:r w:rsidR="00C75242">
          <w:rPr>
            <w:rFonts w:ascii="Cambria" w:eastAsia="Calibri" w:hAnsi="Cambria" w:cs="Calibri"/>
            <w:sz w:val="20"/>
          </w:rPr>
          <w:t>1</w:t>
        </w:r>
        <w:r w:rsidR="00C75242" w:rsidRPr="00713AD4">
          <w:rPr>
            <w:rFonts w:ascii="Cambria" w:eastAsia="Calibri" w:hAnsi="Cambria" w:cs="Calibri"/>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0E3B5" w14:textId="77777777" w:rsidR="00AE495B" w:rsidRDefault="00AE4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02B58" w14:textId="77777777" w:rsidR="004370E2" w:rsidRDefault="004370E2" w:rsidP="002B419A">
      <w:pPr>
        <w:spacing w:line="240" w:lineRule="auto"/>
      </w:pPr>
      <w:r>
        <w:separator/>
      </w:r>
    </w:p>
  </w:footnote>
  <w:footnote w:type="continuationSeparator" w:id="0">
    <w:p w14:paraId="55442586" w14:textId="77777777" w:rsidR="004370E2" w:rsidRDefault="004370E2" w:rsidP="002B419A">
      <w:pPr>
        <w:spacing w:line="240" w:lineRule="auto"/>
      </w:pPr>
      <w:r>
        <w:continuationSeparator/>
      </w:r>
    </w:p>
  </w:footnote>
  <w:footnote w:type="continuationNotice" w:id="1">
    <w:p w14:paraId="38F7C390" w14:textId="77777777" w:rsidR="004370E2" w:rsidRDefault="004370E2" w:rsidP="002B41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5BBB" w14:textId="77777777" w:rsidR="00AE495B" w:rsidRDefault="00AE49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5719" w14:textId="77777777" w:rsidR="00AE495B" w:rsidRDefault="00AE4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AC09" w14:textId="77777777" w:rsidR="00AE495B" w:rsidRDefault="00AE4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56E"/>
    <w:multiLevelType w:val="hybridMultilevel"/>
    <w:tmpl w:val="10468EA0"/>
    <w:lvl w:ilvl="0" w:tplc="BBA64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370871"/>
    <w:multiLevelType w:val="hybridMultilevel"/>
    <w:tmpl w:val="EA625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00923"/>
    <w:multiLevelType w:val="hybridMultilevel"/>
    <w:tmpl w:val="8DEE5A66"/>
    <w:lvl w:ilvl="0" w:tplc="829636FE">
      <w:start w:val="1"/>
      <w:numFmt w:val="decimal"/>
      <w:lvlText w:val="%1."/>
      <w:lvlJc w:val="left"/>
      <w:pPr>
        <w:ind w:left="537" w:hanging="421"/>
      </w:pPr>
      <w:rPr>
        <w:rFonts w:ascii="Cambria" w:eastAsia="Cambria" w:hAnsi="Cambria" w:cs="Cambria" w:hint="default"/>
        <w:w w:val="100"/>
        <w:sz w:val="20"/>
        <w:szCs w:val="20"/>
        <w:lang w:val="en-US" w:eastAsia="en-US" w:bidi="ar-SA"/>
      </w:rPr>
    </w:lvl>
    <w:lvl w:ilvl="1" w:tplc="1B9CA7E8">
      <w:numFmt w:val="bullet"/>
      <w:lvlText w:val="•"/>
      <w:lvlJc w:val="left"/>
      <w:pPr>
        <w:ind w:left="1416" w:hanging="421"/>
      </w:pPr>
      <w:rPr>
        <w:rFonts w:hint="default"/>
        <w:lang w:val="en-US" w:eastAsia="en-US" w:bidi="ar-SA"/>
      </w:rPr>
    </w:lvl>
    <w:lvl w:ilvl="2" w:tplc="EF46DEC4">
      <w:numFmt w:val="bullet"/>
      <w:lvlText w:val="•"/>
      <w:lvlJc w:val="left"/>
      <w:pPr>
        <w:ind w:left="2293" w:hanging="421"/>
      </w:pPr>
      <w:rPr>
        <w:rFonts w:hint="default"/>
        <w:lang w:val="en-US" w:eastAsia="en-US" w:bidi="ar-SA"/>
      </w:rPr>
    </w:lvl>
    <w:lvl w:ilvl="3" w:tplc="B1628476">
      <w:numFmt w:val="bullet"/>
      <w:lvlText w:val="•"/>
      <w:lvlJc w:val="left"/>
      <w:pPr>
        <w:ind w:left="3169" w:hanging="421"/>
      </w:pPr>
      <w:rPr>
        <w:rFonts w:hint="default"/>
        <w:lang w:val="en-US" w:eastAsia="en-US" w:bidi="ar-SA"/>
      </w:rPr>
    </w:lvl>
    <w:lvl w:ilvl="4" w:tplc="2BE09CB2">
      <w:numFmt w:val="bullet"/>
      <w:lvlText w:val="•"/>
      <w:lvlJc w:val="left"/>
      <w:pPr>
        <w:ind w:left="4046" w:hanging="421"/>
      </w:pPr>
      <w:rPr>
        <w:rFonts w:hint="default"/>
        <w:lang w:val="en-US" w:eastAsia="en-US" w:bidi="ar-SA"/>
      </w:rPr>
    </w:lvl>
    <w:lvl w:ilvl="5" w:tplc="EF1A515E">
      <w:numFmt w:val="bullet"/>
      <w:lvlText w:val="•"/>
      <w:lvlJc w:val="left"/>
      <w:pPr>
        <w:ind w:left="4923" w:hanging="421"/>
      </w:pPr>
      <w:rPr>
        <w:rFonts w:hint="default"/>
        <w:lang w:val="en-US" w:eastAsia="en-US" w:bidi="ar-SA"/>
      </w:rPr>
    </w:lvl>
    <w:lvl w:ilvl="6" w:tplc="073CF7F8">
      <w:numFmt w:val="bullet"/>
      <w:lvlText w:val="•"/>
      <w:lvlJc w:val="left"/>
      <w:pPr>
        <w:ind w:left="5799" w:hanging="421"/>
      </w:pPr>
      <w:rPr>
        <w:rFonts w:hint="default"/>
        <w:lang w:val="en-US" w:eastAsia="en-US" w:bidi="ar-SA"/>
      </w:rPr>
    </w:lvl>
    <w:lvl w:ilvl="7" w:tplc="B04E2236">
      <w:numFmt w:val="bullet"/>
      <w:lvlText w:val="•"/>
      <w:lvlJc w:val="left"/>
      <w:pPr>
        <w:ind w:left="6676" w:hanging="421"/>
      </w:pPr>
      <w:rPr>
        <w:rFonts w:hint="default"/>
        <w:lang w:val="en-US" w:eastAsia="en-US" w:bidi="ar-SA"/>
      </w:rPr>
    </w:lvl>
    <w:lvl w:ilvl="8" w:tplc="E60039B8">
      <w:numFmt w:val="bullet"/>
      <w:lvlText w:val="•"/>
      <w:lvlJc w:val="left"/>
      <w:pPr>
        <w:ind w:left="7553" w:hanging="421"/>
      </w:pPr>
      <w:rPr>
        <w:rFonts w:hint="default"/>
        <w:lang w:val="en-US" w:eastAsia="en-US" w:bidi="ar-SA"/>
      </w:rPr>
    </w:lvl>
  </w:abstractNum>
  <w:abstractNum w:abstractNumId="3" w15:restartNumberingAfterBreak="0">
    <w:nsid w:val="3B020700"/>
    <w:multiLevelType w:val="hybridMultilevel"/>
    <w:tmpl w:val="1854D066"/>
    <w:lvl w:ilvl="0" w:tplc="F152A132">
      <w:start w:val="4"/>
      <w:numFmt w:val="decimal"/>
      <w:lvlText w:val="%1."/>
      <w:lvlJc w:val="left"/>
      <w:pPr>
        <w:ind w:left="477" w:hanging="360"/>
      </w:pPr>
      <w:rPr>
        <w:rFonts w:hint="default"/>
      </w:rPr>
    </w:lvl>
    <w:lvl w:ilvl="1" w:tplc="04090017">
      <w:start w:val="1"/>
      <w:numFmt w:val="lowerLetter"/>
      <w:lvlText w:val="%2)"/>
      <w:lvlJc w:val="left"/>
      <w:pPr>
        <w:ind w:left="1197" w:hanging="360"/>
      </w:pPr>
    </w:lvl>
    <w:lvl w:ilvl="2" w:tplc="0409001B">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4" w15:restartNumberingAfterBreak="0">
    <w:nsid w:val="4D2A07E4"/>
    <w:multiLevelType w:val="hybridMultilevel"/>
    <w:tmpl w:val="E1228D9E"/>
    <w:lvl w:ilvl="0" w:tplc="76DC6982">
      <w:start w:val="1"/>
      <w:numFmt w:val="decimal"/>
      <w:lvlText w:val="%1."/>
      <w:lvlJc w:val="left"/>
      <w:pPr>
        <w:ind w:left="537" w:hanging="420"/>
      </w:pPr>
      <w:rPr>
        <w:rFonts w:ascii="Cambria" w:eastAsia="Cambria" w:hAnsi="Cambria" w:cs="Cambria" w:hint="default"/>
        <w:spacing w:val="-2"/>
        <w:w w:val="96"/>
        <w:sz w:val="20"/>
        <w:szCs w:val="20"/>
        <w:lang w:val="en-US" w:eastAsia="en-US" w:bidi="ar-SA"/>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5" w15:restartNumberingAfterBreak="0">
    <w:nsid w:val="4E57241D"/>
    <w:multiLevelType w:val="hybridMultilevel"/>
    <w:tmpl w:val="4C2A4D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923840"/>
    <w:multiLevelType w:val="hybridMultilevel"/>
    <w:tmpl w:val="44445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453001"/>
    <w:multiLevelType w:val="hybridMultilevel"/>
    <w:tmpl w:val="5D82A6A0"/>
    <w:lvl w:ilvl="0" w:tplc="76DC6982">
      <w:start w:val="1"/>
      <w:numFmt w:val="decimal"/>
      <w:lvlText w:val="%1."/>
      <w:lvlJc w:val="left"/>
      <w:pPr>
        <w:ind w:left="544" w:hanging="427"/>
      </w:pPr>
      <w:rPr>
        <w:rFonts w:ascii="Cambria" w:eastAsia="Cambria" w:hAnsi="Cambria" w:cs="Cambria" w:hint="default"/>
        <w:spacing w:val="-2"/>
        <w:w w:val="96"/>
        <w:sz w:val="20"/>
        <w:szCs w:val="20"/>
        <w:lang w:val="en-US" w:eastAsia="en-US" w:bidi="ar-SA"/>
      </w:rPr>
    </w:lvl>
    <w:lvl w:ilvl="1" w:tplc="053C2EEA">
      <w:start w:val="1"/>
      <w:numFmt w:val="lowerLetter"/>
      <w:lvlText w:val="%2)"/>
      <w:lvlJc w:val="left"/>
      <w:pPr>
        <w:ind w:left="944" w:hanging="400"/>
      </w:pPr>
      <w:rPr>
        <w:rFonts w:ascii="Cambria" w:eastAsia="Cambria" w:hAnsi="Cambria" w:cs="Cambria" w:hint="default"/>
        <w:w w:val="96"/>
        <w:sz w:val="20"/>
        <w:szCs w:val="20"/>
        <w:lang w:val="en-US" w:eastAsia="en-US" w:bidi="ar-SA"/>
      </w:rPr>
    </w:lvl>
    <w:lvl w:ilvl="2" w:tplc="3042DB58">
      <w:numFmt w:val="bullet"/>
      <w:lvlText w:val="•"/>
      <w:lvlJc w:val="left"/>
      <w:pPr>
        <w:ind w:left="1869" w:hanging="400"/>
      </w:pPr>
      <w:rPr>
        <w:rFonts w:hint="default"/>
        <w:lang w:val="en-US" w:eastAsia="en-US" w:bidi="ar-SA"/>
      </w:rPr>
    </w:lvl>
    <w:lvl w:ilvl="3" w:tplc="611A926A">
      <w:numFmt w:val="bullet"/>
      <w:lvlText w:val="•"/>
      <w:lvlJc w:val="left"/>
      <w:pPr>
        <w:ind w:left="2799" w:hanging="400"/>
      </w:pPr>
      <w:rPr>
        <w:rFonts w:hint="default"/>
        <w:lang w:val="en-US" w:eastAsia="en-US" w:bidi="ar-SA"/>
      </w:rPr>
    </w:lvl>
    <w:lvl w:ilvl="4" w:tplc="5C00E52E">
      <w:numFmt w:val="bullet"/>
      <w:lvlText w:val="•"/>
      <w:lvlJc w:val="left"/>
      <w:pPr>
        <w:ind w:left="3728" w:hanging="400"/>
      </w:pPr>
      <w:rPr>
        <w:rFonts w:hint="default"/>
        <w:lang w:val="en-US" w:eastAsia="en-US" w:bidi="ar-SA"/>
      </w:rPr>
    </w:lvl>
    <w:lvl w:ilvl="5" w:tplc="C40A4A96">
      <w:numFmt w:val="bullet"/>
      <w:lvlText w:val="•"/>
      <w:lvlJc w:val="left"/>
      <w:pPr>
        <w:ind w:left="4658" w:hanging="400"/>
      </w:pPr>
      <w:rPr>
        <w:rFonts w:hint="default"/>
        <w:lang w:val="en-US" w:eastAsia="en-US" w:bidi="ar-SA"/>
      </w:rPr>
    </w:lvl>
    <w:lvl w:ilvl="6" w:tplc="B66E27BA">
      <w:numFmt w:val="bullet"/>
      <w:lvlText w:val="•"/>
      <w:lvlJc w:val="left"/>
      <w:pPr>
        <w:ind w:left="5588" w:hanging="400"/>
      </w:pPr>
      <w:rPr>
        <w:rFonts w:hint="default"/>
        <w:lang w:val="en-US" w:eastAsia="en-US" w:bidi="ar-SA"/>
      </w:rPr>
    </w:lvl>
    <w:lvl w:ilvl="7" w:tplc="70A2979E">
      <w:numFmt w:val="bullet"/>
      <w:lvlText w:val="•"/>
      <w:lvlJc w:val="left"/>
      <w:pPr>
        <w:ind w:left="6517" w:hanging="400"/>
      </w:pPr>
      <w:rPr>
        <w:rFonts w:hint="default"/>
        <w:lang w:val="en-US" w:eastAsia="en-US" w:bidi="ar-SA"/>
      </w:rPr>
    </w:lvl>
    <w:lvl w:ilvl="8" w:tplc="1ACC624C">
      <w:numFmt w:val="bullet"/>
      <w:lvlText w:val="•"/>
      <w:lvlJc w:val="left"/>
      <w:pPr>
        <w:ind w:left="7447" w:hanging="400"/>
      </w:pPr>
      <w:rPr>
        <w:rFonts w:hint="default"/>
        <w:lang w:val="en-US" w:eastAsia="en-US" w:bidi="ar-SA"/>
      </w:rPr>
    </w:lvl>
  </w:abstractNum>
  <w:abstractNum w:abstractNumId="8" w15:restartNumberingAfterBreak="0">
    <w:nsid w:val="700A6DF5"/>
    <w:multiLevelType w:val="hybridMultilevel"/>
    <w:tmpl w:val="5CC4501A"/>
    <w:lvl w:ilvl="0" w:tplc="BBA64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3992958">
    <w:abstractNumId w:val="6"/>
  </w:num>
  <w:num w:numId="2" w16cid:durableId="1839812191">
    <w:abstractNumId w:val="1"/>
  </w:num>
  <w:num w:numId="3" w16cid:durableId="1369525918">
    <w:abstractNumId w:val="5"/>
  </w:num>
  <w:num w:numId="4" w16cid:durableId="1754625771">
    <w:abstractNumId w:val="0"/>
  </w:num>
  <w:num w:numId="5" w16cid:durableId="746651716">
    <w:abstractNumId w:val="8"/>
  </w:num>
  <w:num w:numId="6" w16cid:durableId="1509252300">
    <w:abstractNumId w:val="7"/>
  </w:num>
  <w:num w:numId="7" w16cid:durableId="1582131339">
    <w:abstractNumId w:val="2"/>
  </w:num>
  <w:num w:numId="8" w16cid:durableId="432748160">
    <w:abstractNumId w:val="4"/>
  </w:num>
  <w:num w:numId="9" w16cid:durableId="670911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EBE"/>
    <w:rsid w:val="000357AA"/>
    <w:rsid w:val="00037171"/>
    <w:rsid w:val="00066136"/>
    <w:rsid w:val="00075B1A"/>
    <w:rsid w:val="00085F4F"/>
    <w:rsid w:val="0008612B"/>
    <w:rsid w:val="00091B37"/>
    <w:rsid w:val="000974DE"/>
    <w:rsid w:val="000C7006"/>
    <w:rsid w:val="000C73D4"/>
    <w:rsid w:val="000D28ED"/>
    <w:rsid w:val="000D4250"/>
    <w:rsid w:val="000F099B"/>
    <w:rsid w:val="000F3944"/>
    <w:rsid w:val="000F4C2B"/>
    <w:rsid w:val="00112B2F"/>
    <w:rsid w:val="00121BD8"/>
    <w:rsid w:val="00143D70"/>
    <w:rsid w:val="0015782F"/>
    <w:rsid w:val="00172E30"/>
    <w:rsid w:val="00176214"/>
    <w:rsid w:val="001A5A1F"/>
    <w:rsid w:val="001B374B"/>
    <w:rsid w:val="001B4968"/>
    <w:rsid w:val="001C3039"/>
    <w:rsid w:val="001C59E7"/>
    <w:rsid w:val="001D420A"/>
    <w:rsid w:val="00222885"/>
    <w:rsid w:val="00241280"/>
    <w:rsid w:val="00257B1D"/>
    <w:rsid w:val="002722AA"/>
    <w:rsid w:val="00286153"/>
    <w:rsid w:val="00297442"/>
    <w:rsid w:val="002B419A"/>
    <w:rsid w:val="002C590C"/>
    <w:rsid w:val="002C62B0"/>
    <w:rsid w:val="002D6BE8"/>
    <w:rsid w:val="002E02B4"/>
    <w:rsid w:val="002E5D15"/>
    <w:rsid w:val="00300E27"/>
    <w:rsid w:val="00303EB4"/>
    <w:rsid w:val="00306073"/>
    <w:rsid w:val="003077B1"/>
    <w:rsid w:val="0031532F"/>
    <w:rsid w:val="00323747"/>
    <w:rsid w:val="0032628B"/>
    <w:rsid w:val="00332CBB"/>
    <w:rsid w:val="0033727D"/>
    <w:rsid w:val="00343B04"/>
    <w:rsid w:val="00353477"/>
    <w:rsid w:val="0037412D"/>
    <w:rsid w:val="003C5BEE"/>
    <w:rsid w:val="003D67A9"/>
    <w:rsid w:val="003E0994"/>
    <w:rsid w:val="003E2785"/>
    <w:rsid w:val="003F4DCD"/>
    <w:rsid w:val="00407BD2"/>
    <w:rsid w:val="00434328"/>
    <w:rsid w:val="004370E2"/>
    <w:rsid w:val="0045232A"/>
    <w:rsid w:val="00457222"/>
    <w:rsid w:val="004579C8"/>
    <w:rsid w:val="004700F5"/>
    <w:rsid w:val="004748F0"/>
    <w:rsid w:val="00475952"/>
    <w:rsid w:val="004B1046"/>
    <w:rsid w:val="004B655E"/>
    <w:rsid w:val="004C3AD1"/>
    <w:rsid w:val="004C421D"/>
    <w:rsid w:val="004D432C"/>
    <w:rsid w:val="004D79E4"/>
    <w:rsid w:val="004F7A8A"/>
    <w:rsid w:val="0050308C"/>
    <w:rsid w:val="005148E0"/>
    <w:rsid w:val="005155FC"/>
    <w:rsid w:val="005252F7"/>
    <w:rsid w:val="005370EF"/>
    <w:rsid w:val="00546B20"/>
    <w:rsid w:val="0057701A"/>
    <w:rsid w:val="005B36DC"/>
    <w:rsid w:val="005B7564"/>
    <w:rsid w:val="005D16F6"/>
    <w:rsid w:val="005D17E1"/>
    <w:rsid w:val="005D1B15"/>
    <w:rsid w:val="005E3370"/>
    <w:rsid w:val="00604D10"/>
    <w:rsid w:val="00620FC0"/>
    <w:rsid w:val="00621D4C"/>
    <w:rsid w:val="006340FE"/>
    <w:rsid w:val="0068744A"/>
    <w:rsid w:val="006907EA"/>
    <w:rsid w:val="006B1799"/>
    <w:rsid w:val="006D2480"/>
    <w:rsid w:val="006D59A4"/>
    <w:rsid w:val="006F1F8F"/>
    <w:rsid w:val="006F2291"/>
    <w:rsid w:val="006F4CE3"/>
    <w:rsid w:val="006F77E5"/>
    <w:rsid w:val="0072435D"/>
    <w:rsid w:val="00730433"/>
    <w:rsid w:val="0073328D"/>
    <w:rsid w:val="007435D1"/>
    <w:rsid w:val="00745615"/>
    <w:rsid w:val="007610AD"/>
    <w:rsid w:val="00766AC6"/>
    <w:rsid w:val="007747AA"/>
    <w:rsid w:val="0079725A"/>
    <w:rsid w:val="007A1F10"/>
    <w:rsid w:val="007A335C"/>
    <w:rsid w:val="007C5849"/>
    <w:rsid w:val="007E1EF6"/>
    <w:rsid w:val="007E7C40"/>
    <w:rsid w:val="007F335D"/>
    <w:rsid w:val="008100C8"/>
    <w:rsid w:val="008167C6"/>
    <w:rsid w:val="00826BF6"/>
    <w:rsid w:val="00841C00"/>
    <w:rsid w:val="00854604"/>
    <w:rsid w:val="00862F38"/>
    <w:rsid w:val="00886921"/>
    <w:rsid w:val="00896212"/>
    <w:rsid w:val="008A336F"/>
    <w:rsid w:val="008B144B"/>
    <w:rsid w:val="008C65AF"/>
    <w:rsid w:val="008E5E2B"/>
    <w:rsid w:val="008F141D"/>
    <w:rsid w:val="008F5F59"/>
    <w:rsid w:val="008F62A1"/>
    <w:rsid w:val="00913DCE"/>
    <w:rsid w:val="009272B0"/>
    <w:rsid w:val="00946980"/>
    <w:rsid w:val="009612A8"/>
    <w:rsid w:val="009C0A5E"/>
    <w:rsid w:val="009D0479"/>
    <w:rsid w:val="009D0779"/>
    <w:rsid w:val="009E18AE"/>
    <w:rsid w:val="00A10E42"/>
    <w:rsid w:val="00A1369E"/>
    <w:rsid w:val="00A15460"/>
    <w:rsid w:val="00A4226B"/>
    <w:rsid w:val="00A55E75"/>
    <w:rsid w:val="00A56874"/>
    <w:rsid w:val="00A727C7"/>
    <w:rsid w:val="00A753F1"/>
    <w:rsid w:val="00A941AC"/>
    <w:rsid w:val="00A954B8"/>
    <w:rsid w:val="00AB48E5"/>
    <w:rsid w:val="00AC02D9"/>
    <w:rsid w:val="00AC1EBE"/>
    <w:rsid w:val="00AC5FBA"/>
    <w:rsid w:val="00AC7C05"/>
    <w:rsid w:val="00AE1294"/>
    <w:rsid w:val="00AE495B"/>
    <w:rsid w:val="00AF0FE8"/>
    <w:rsid w:val="00AF1418"/>
    <w:rsid w:val="00AF5C67"/>
    <w:rsid w:val="00B019DF"/>
    <w:rsid w:val="00B362F0"/>
    <w:rsid w:val="00B53E09"/>
    <w:rsid w:val="00B60EA4"/>
    <w:rsid w:val="00B64870"/>
    <w:rsid w:val="00B74F53"/>
    <w:rsid w:val="00B76CBA"/>
    <w:rsid w:val="00B82ECE"/>
    <w:rsid w:val="00BB3DCE"/>
    <w:rsid w:val="00BB6585"/>
    <w:rsid w:val="00BB6E8D"/>
    <w:rsid w:val="00BB7AC5"/>
    <w:rsid w:val="00BC35BC"/>
    <w:rsid w:val="00BC692E"/>
    <w:rsid w:val="00BE4A07"/>
    <w:rsid w:val="00BF01E2"/>
    <w:rsid w:val="00C14F54"/>
    <w:rsid w:val="00C3474B"/>
    <w:rsid w:val="00C3668F"/>
    <w:rsid w:val="00C414F2"/>
    <w:rsid w:val="00C44245"/>
    <w:rsid w:val="00C70B3B"/>
    <w:rsid w:val="00C72EC9"/>
    <w:rsid w:val="00C75242"/>
    <w:rsid w:val="00C84D81"/>
    <w:rsid w:val="00C85425"/>
    <w:rsid w:val="00C96035"/>
    <w:rsid w:val="00CB042E"/>
    <w:rsid w:val="00CB1A04"/>
    <w:rsid w:val="00CB437B"/>
    <w:rsid w:val="00CB45BF"/>
    <w:rsid w:val="00D00700"/>
    <w:rsid w:val="00D118AA"/>
    <w:rsid w:val="00D13871"/>
    <w:rsid w:val="00D35B88"/>
    <w:rsid w:val="00D35FFE"/>
    <w:rsid w:val="00D46A72"/>
    <w:rsid w:val="00D51C02"/>
    <w:rsid w:val="00D620C2"/>
    <w:rsid w:val="00D6637D"/>
    <w:rsid w:val="00D664AC"/>
    <w:rsid w:val="00D94D34"/>
    <w:rsid w:val="00DA38C7"/>
    <w:rsid w:val="00DB2C19"/>
    <w:rsid w:val="00DB5486"/>
    <w:rsid w:val="00DE68D7"/>
    <w:rsid w:val="00DF146C"/>
    <w:rsid w:val="00E23A26"/>
    <w:rsid w:val="00E370E1"/>
    <w:rsid w:val="00E6468A"/>
    <w:rsid w:val="00E66A54"/>
    <w:rsid w:val="00E722E4"/>
    <w:rsid w:val="00E80AA8"/>
    <w:rsid w:val="00E819E7"/>
    <w:rsid w:val="00E957E2"/>
    <w:rsid w:val="00EE3F35"/>
    <w:rsid w:val="00F04F9F"/>
    <w:rsid w:val="00F067BD"/>
    <w:rsid w:val="00F0692D"/>
    <w:rsid w:val="00F0794C"/>
    <w:rsid w:val="00F126F7"/>
    <w:rsid w:val="00F21014"/>
    <w:rsid w:val="00F354DB"/>
    <w:rsid w:val="00F4019B"/>
    <w:rsid w:val="00F66D33"/>
    <w:rsid w:val="00F72D11"/>
    <w:rsid w:val="00F7516C"/>
    <w:rsid w:val="00F938FB"/>
    <w:rsid w:val="00FE33A3"/>
    <w:rsid w:val="00FE6DB2"/>
    <w:rsid w:val="00FF069D"/>
    <w:rsid w:val="00FF3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6D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419A"/>
  </w:style>
  <w:style w:type="paragraph" w:styleId="Heading1">
    <w:name w:val="heading 1"/>
    <w:basedOn w:val="Normal"/>
    <w:next w:val="Normal"/>
    <w:uiPriority w:val="1"/>
    <w:qFormat/>
    <w:rsid w:val="002B419A"/>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link w:val="Heading5Char"/>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rsid w:val="002B419A"/>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62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2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362F0"/>
    <w:rPr>
      <w:b/>
      <w:bCs/>
    </w:rPr>
  </w:style>
  <w:style w:type="character" w:customStyle="1" w:styleId="CommentSubjectChar">
    <w:name w:val="Comment Subject Char"/>
    <w:basedOn w:val="CommentTextChar"/>
    <w:link w:val="CommentSubject"/>
    <w:uiPriority w:val="99"/>
    <w:semiHidden/>
    <w:rsid w:val="00B362F0"/>
    <w:rPr>
      <w:b/>
      <w:bCs/>
      <w:sz w:val="20"/>
      <w:szCs w:val="20"/>
    </w:rPr>
  </w:style>
  <w:style w:type="paragraph" w:styleId="ListParagraph">
    <w:name w:val="List Paragraph"/>
    <w:basedOn w:val="Normal"/>
    <w:uiPriority w:val="1"/>
    <w:qFormat/>
    <w:rsid w:val="002B419A"/>
    <w:pPr>
      <w:ind w:left="720"/>
      <w:contextualSpacing/>
    </w:pPr>
  </w:style>
  <w:style w:type="paragraph" w:styleId="Header">
    <w:name w:val="header"/>
    <w:basedOn w:val="Normal"/>
    <w:link w:val="HeaderChar"/>
    <w:uiPriority w:val="99"/>
    <w:unhideWhenUsed/>
    <w:rsid w:val="002B419A"/>
    <w:pPr>
      <w:tabs>
        <w:tab w:val="center" w:pos="4680"/>
        <w:tab w:val="right" w:pos="9360"/>
      </w:tabs>
      <w:spacing w:line="240" w:lineRule="auto"/>
    </w:pPr>
  </w:style>
  <w:style w:type="character" w:customStyle="1" w:styleId="HeaderChar">
    <w:name w:val="Header Char"/>
    <w:basedOn w:val="DefaultParagraphFont"/>
    <w:link w:val="Header"/>
    <w:uiPriority w:val="99"/>
    <w:rsid w:val="00FE33A3"/>
  </w:style>
  <w:style w:type="paragraph" w:styleId="Footer">
    <w:name w:val="footer"/>
    <w:basedOn w:val="Normal"/>
    <w:link w:val="FooterChar"/>
    <w:uiPriority w:val="99"/>
    <w:unhideWhenUsed/>
    <w:rsid w:val="002B419A"/>
    <w:pPr>
      <w:tabs>
        <w:tab w:val="center" w:pos="4680"/>
        <w:tab w:val="right" w:pos="9360"/>
      </w:tabs>
      <w:spacing w:line="240" w:lineRule="auto"/>
    </w:pPr>
  </w:style>
  <w:style w:type="character" w:customStyle="1" w:styleId="FooterChar">
    <w:name w:val="Footer Char"/>
    <w:basedOn w:val="DefaultParagraphFont"/>
    <w:link w:val="Footer"/>
    <w:uiPriority w:val="99"/>
    <w:rsid w:val="00FE33A3"/>
  </w:style>
  <w:style w:type="paragraph" w:styleId="Revision">
    <w:name w:val="Revision"/>
    <w:hidden/>
    <w:uiPriority w:val="99"/>
    <w:semiHidden/>
    <w:rsid w:val="002B419A"/>
    <w:pPr>
      <w:spacing w:line="240" w:lineRule="auto"/>
    </w:pPr>
  </w:style>
  <w:style w:type="table" w:customStyle="1" w:styleId="TableNormal1">
    <w:name w:val="Table Normal1"/>
    <w:uiPriority w:val="2"/>
    <w:semiHidden/>
    <w:unhideWhenUsed/>
    <w:qFormat/>
    <w:rsid w:val="002B419A"/>
    <w:pPr>
      <w:widowControl w:val="0"/>
      <w:autoSpaceDE w:val="0"/>
      <w:autoSpaceDN w:val="0"/>
      <w:spacing w:line="240" w:lineRule="auto"/>
    </w:pPr>
    <w:rPr>
      <w:rFonts w:asciiTheme="minorHAnsi" w:hAnsiTheme="minorHAnsi" w:cstheme="minorBidi"/>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2B419A"/>
    <w:pPr>
      <w:widowControl w:val="0"/>
      <w:autoSpaceDE w:val="0"/>
      <w:autoSpaceDN w:val="0"/>
      <w:spacing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2B419A"/>
    <w:rPr>
      <w:rFonts w:ascii="Cambria" w:eastAsia="Cambria" w:hAnsi="Cambria" w:cs="Cambria"/>
      <w:sz w:val="20"/>
      <w:szCs w:val="20"/>
      <w:lang w:val="es-ES"/>
    </w:rPr>
  </w:style>
  <w:style w:type="paragraph" w:customStyle="1" w:styleId="TableParagraph">
    <w:name w:val="Table Paragraph"/>
    <w:basedOn w:val="Normal"/>
    <w:uiPriority w:val="1"/>
    <w:qFormat/>
    <w:rsid w:val="002B419A"/>
    <w:pPr>
      <w:widowControl w:val="0"/>
      <w:autoSpaceDE w:val="0"/>
      <w:autoSpaceDN w:val="0"/>
      <w:spacing w:line="240" w:lineRule="auto"/>
    </w:pPr>
    <w:rPr>
      <w:rFonts w:ascii="Cambria" w:eastAsia="Cambria" w:hAnsi="Cambria" w:cs="Cambria"/>
    </w:rPr>
  </w:style>
  <w:style w:type="paragraph" w:styleId="NormalWeb">
    <w:name w:val="Normal (Web)"/>
    <w:basedOn w:val="Normal"/>
    <w:uiPriority w:val="99"/>
    <w:semiHidden/>
    <w:unhideWhenUsed/>
    <w:rsid w:val="002B419A"/>
    <w:pPr>
      <w:spacing w:before="100" w:beforeAutospacing="1" w:after="100" w:afterAutospacing="1" w:line="240" w:lineRule="auto"/>
    </w:pPr>
    <w:rPr>
      <w:rFonts w:ascii="Calibri" w:eastAsiaTheme="minorHAnsi" w:hAnsi="Calibri" w:cs="Calibri"/>
      <w:lang w:eastAsia="en-GB"/>
    </w:rPr>
  </w:style>
  <w:style w:type="character" w:customStyle="1" w:styleId="Heading5Char">
    <w:name w:val="Heading 5 Char"/>
    <w:basedOn w:val="DefaultParagraphFont"/>
    <w:link w:val="Heading5"/>
    <w:rsid w:val="008F62A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51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96245-8751-4897-A31E-51B92F17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2023-12-15T10:14:00Z</dcterms:created>
  <dcterms:modified xsi:type="dcterms:W3CDTF">2023-12-15T10:14:00Z</dcterms:modified>
</cp:coreProperties>
</file>