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D342" w14:textId="0DF25672" w:rsidR="00F65141" w:rsidRPr="005C06AB" w:rsidRDefault="00E80963" w:rsidP="00256E41">
      <w:pPr>
        <w:pStyle w:val="Heading5"/>
        <w:pBdr>
          <w:top w:val="double" w:sz="4" w:space="5" w:color="auto"/>
          <w:left w:val="double" w:sz="4" w:space="4" w:color="auto"/>
          <w:bottom w:val="double" w:sz="4" w:space="4" w:color="auto"/>
          <w:right w:val="double" w:sz="4" w:space="4" w:color="auto"/>
        </w:pBdr>
        <w:rPr>
          <w:rFonts w:ascii="Cambria" w:hAnsi="Cambria"/>
          <w:sz w:val="20"/>
          <w:szCs w:val="20"/>
        </w:rPr>
      </w:pPr>
      <w:r w:rsidRPr="005C06AB">
        <w:rPr>
          <w:rFonts w:ascii="Cambria" w:hAnsi="Cambria"/>
          <w:sz w:val="20"/>
          <w:szCs w:val="20"/>
        </w:rPr>
        <w:t>23-</w:t>
      </w:r>
      <w:r w:rsidR="00F67E7E" w:rsidRPr="005C06AB">
        <w:rPr>
          <w:rFonts w:ascii="Cambria" w:hAnsi="Cambria"/>
          <w:sz w:val="20"/>
          <w:szCs w:val="20"/>
        </w:rPr>
        <w:t>16</w:t>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Pr="005C06AB">
        <w:rPr>
          <w:rFonts w:ascii="Cambria" w:hAnsi="Cambria"/>
          <w:sz w:val="20"/>
          <w:szCs w:val="20"/>
        </w:rPr>
        <w:tab/>
      </w:r>
      <w:r w:rsidR="00F67E7E" w:rsidRPr="005C06AB">
        <w:rPr>
          <w:rFonts w:ascii="Cambria" w:hAnsi="Cambria"/>
          <w:sz w:val="20"/>
          <w:szCs w:val="20"/>
        </w:rPr>
        <w:t>GEN</w:t>
      </w:r>
    </w:p>
    <w:p w14:paraId="3E73CC43" w14:textId="0B5FC07C" w:rsidR="00261E8A" w:rsidRPr="005C06AB" w:rsidRDefault="00261E8A" w:rsidP="00256E41">
      <w:pPr>
        <w:pStyle w:val="Heading5"/>
        <w:pBdr>
          <w:top w:val="double" w:sz="4" w:space="5" w:color="auto"/>
          <w:left w:val="double" w:sz="4" w:space="4" w:color="auto"/>
          <w:bottom w:val="double" w:sz="4" w:space="4" w:color="auto"/>
          <w:right w:val="double" w:sz="4" w:space="4" w:color="auto"/>
        </w:pBdr>
        <w:rPr>
          <w:rFonts w:ascii="Cambria" w:hAnsi="Cambria"/>
          <w:sz w:val="20"/>
          <w:szCs w:val="20"/>
        </w:rPr>
      </w:pPr>
      <w:r w:rsidRPr="005C06AB">
        <w:rPr>
          <w:rFonts w:ascii="Cambria" w:hAnsi="Cambria"/>
          <w:sz w:val="20"/>
          <w:szCs w:val="20"/>
        </w:rPr>
        <w:t xml:space="preserve">RECOMENDACIÓN DE ICCAT </w:t>
      </w:r>
      <w:r w:rsidR="0048652C" w:rsidRPr="005C06AB">
        <w:rPr>
          <w:rFonts w:ascii="Cambria" w:hAnsi="Cambria"/>
          <w:sz w:val="20"/>
          <w:szCs w:val="20"/>
        </w:rPr>
        <w:t>QUE</w:t>
      </w:r>
      <w:r w:rsidRPr="005C06AB">
        <w:rPr>
          <w:rFonts w:ascii="Cambria" w:hAnsi="Cambria"/>
          <w:sz w:val="20"/>
          <w:szCs w:val="20"/>
        </w:rPr>
        <w:t xml:space="preserve"> ENM</w:t>
      </w:r>
      <w:r w:rsidR="0048652C" w:rsidRPr="005C06AB">
        <w:rPr>
          <w:rFonts w:ascii="Cambria" w:hAnsi="Cambria"/>
          <w:sz w:val="20"/>
          <w:szCs w:val="20"/>
        </w:rPr>
        <w:t xml:space="preserve">IENDA </w:t>
      </w:r>
      <w:r w:rsidRPr="005C06AB">
        <w:rPr>
          <w:rFonts w:ascii="Cambria" w:hAnsi="Cambria"/>
          <w:sz w:val="20"/>
          <w:szCs w:val="20"/>
        </w:rPr>
        <w:t>LA RECOMENDACIÓN 21-13</w:t>
      </w:r>
    </w:p>
    <w:p w14:paraId="05EAFEA1" w14:textId="0541BAD2" w:rsidR="00256E41" w:rsidRPr="005C06AB" w:rsidRDefault="00261E8A" w:rsidP="00256E41">
      <w:pPr>
        <w:pStyle w:val="Heading5"/>
        <w:pBdr>
          <w:top w:val="double" w:sz="4" w:space="5" w:color="auto"/>
          <w:left w:val="double" w:sz="4" w:space="4" w:color="auto"/>
          <w:bottom w:val="double" w:sz="4" w:space="4" w:color="auto"/>
          <w:right w:val="double" w:sz="4" w:space="4" w:color="auto"/>
        </w:pBdr>
        <w:rPr>
          <w:rFonts w:ascii="Cambria" w:hAnsi="Cambria"/>
          <w:sz w:val="20"/>
          <w:szCs w:val="20"/>
        </w:rPr>
      </w:pPr>
      <w:r w:rsidRPr="005C06AB">
        <w:rPr>
          <w:rFonts w:ascii="Cambria" w:hAnsi="Cambria"/>
          <w:sz w:val="20"/>
          <w:szCs w:val="20"/>
        </w:rPr>
        <w:t xml:space="preserve"> </w:t>
      </w:r>
      <w:r w:rsidR="00F3712D" w:rsidRPr="005C06AB">
        <w:rPr>
          <w:rFonts w:ascii="Cambria" w:hAnsi="Cambria"/>
          <w:sz w:val="20"/>
          <w:szCs w:val="20"/>
        </w:rPr>
        <w:t>QUE</w:t>
      </w:r>
      <w:r w:rsidRPr="005C06AB">
        <w:rPr>
          <w:rFonts w:ascii="Cambria" w:hAnsi="Cambria"/>
          <w:sz w:val="20"/>
          <w:szCs w:val="20"/>
        </w:rPr>
        <w:t xml:space="preserve"> ESTABLECE UNA LISTA DE BUQUES SUPUESTAMENTE IMPLICADOS </w:t>
      </w:r>
    </w:p>
    <w:p w14:paraId="0A87F3BC" w14:textId="19EF21A9" w:rsidR="00835936" w:rsidRPr="005C06AB" w:rsidRDefault="00261E8A" w:rsidP="00256E41">
      <w:pPr>
        <w:pStyle w:val="Heading5"/>
        <w:pBdr>
          <w:top w:val="double" w:sz="4" w:space="5" w:color="auto"/>
          <w:left w:val="double" w:sz="4" w:space="4" w:color="auto"/>
          <w:bottom w:val="double" w:sz="4" w:space="4" w:color="auto"/>
          <w:right w:val="double" w:sz="4" w:space="4" w:color="auto"/>
        </w:pBdr>
        <w:rPr>
          <w:rFonts w:ascii="Cambria" w:hAnsi="Cambria"/>
          <w:sz w:val="20"/>
          <w:szCs w:val="20"/>
        </w:rPr>
      </w:pPr>
      <w:r w:rsidRPr="005C06AB">
        <w:rPr>
          <w:rFonts w:ascii="Cambria" w:hAnsi="Cambria"/>
          <w:sz w:val="20"/>
          <w:szCs w:val="20"/>
        </w:rPr>
        <w:t xml:space="preserve">EN ACTIVIDADES DE PESCA ILEGAL, NO DECLARADA Y NO REGLAMENTADA  </w:t>
      </w:r>
    </w:p>
    <w:p w14:paraId="30A7E4ED" w14:textId="77777777" w:rsidR="00126617" w:rsidRPr="005C06AB" w:rsidRDefault="0012661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i/>
          <w:color w:val="000000"/>
          <w:sz w:val="10"/>
          <w:szCs w:val="10"/>
        </w:rPr>
      </w:pPr>
    </w:p>
    <w:p w14:paraId="6ABE514D" w14:textId="4F111ADB"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RECORDANDO</w:t>
      </w:r>
      <w:r w:rsidRPr="005C06AB">
        <w:rPr>
          <w:rFonts w:ascii="Cambria" w:eastAsia="Times New Roman" w:hAnsi="Cambria" w:cs="Times New Roman"/>
          <w:color w:val="000000"/>
          <w:sz w:val="20"/>
          <w:szCs w:val="20"/>
        </w:rPr>
        <w:t xml:space="preserve"> que el Consejo de la FAO adoptó, el 23 de junio de 2001, un Plan de acción internacional para prevenir, desalentar y eliminar la pesca ilegal, no declarada y no reglamentada (IPOA-IUU</w:t>
      </w:r>
      <w:r w:rsidR="0015049B" w:rsidRPr="005C06AB">
        <w:rPr>
          <w:rFonts w:ascii="Cambria" w:eastAsia="Times New Roman" w:hAnsi="Cambria" w:cs="Times New Roman"/>
          <w:color w:val="000000"/>
          <w:sz w:val="20"/>
          <w:szCs w:val="20"/>
        </w:rPr>
        <w:t>)</w:t>
      </w:r>
      <w:r w:rsidRPr="005C06AB">
        <w:rPr>
          <w:rFonts w:ascii="Cambria" w:eastAsia="Times New Roman" w:hAnsi="Cambria" w:cs="Times New Roman"/>
          <w:color w:val="000000"/>
          <w:sz w:val="20"/>
          <w:szCs w:val="20"/>
        </w:rPr>
        <w:t>. Dicho plan establece que la identificación de los buques que realicen actividades de pesca</w:t>
      </w:r>
      <w:r w:rsidR="00126617" w:rsidRPr="005C06AB">
        <w:rPr>
          <w:rFonts w:ascii="Cambria" w:eastAsia="Times New Roman" w:hAnsi="Cambria" w:cs="Times New Roman"/>
          <w:color w:val="000000"/>
          <w:sz w:val="20"/>
          <w:szCs w:val="20"/>
        </w:rPr>
        <w:t xml:space="preserve"> ilegal, no declarada y no reglamentaria (</w:t>
      </w:r>
      <w:r w:rsidRPr="005C06AB">
        <w:rPr>
          <w:rFonts w:ascii="Cambria" w:eastAsia="Times New Roman" w:hAnsi="Cambria" w:cs="Times New Roman"/>
          <w:color w:val="000000"/>
          <w:sz w:val="20"/>
          <w:szCs w:val="20"/>
        </w:rPr>
        <w:t>IUU</w:t>
      </w:r>
      <w:r w:rsidR="00126617" w:rsidRPr="005C06AB">
        <w:rPr>
          <w:rFonts w:ascii="Cambria" w:eastAsia="Times New Roman" w:hAnsi="Cambria" w:cs="Times New Roman"/>
          <w:color w:val="000000"/>
          <w:sz w:val="20"/>
          <w:szCs w:val="20"/>
        </w:rPr>
        <w:t xml:space="preserve">) </w:t>
      </w:r>
      <w:r w:rsidRPr="005C06AB">
        <w:rPr>
          <w:rFonts w:ascii="Cambria" w:eastAsia="Times New Roman" w:hAnsi="Cambria" w:cs="Times New Roman"/>
          <w:color w:val="000000"/>
          <w:sz w:val="20"/>
          <w:szCs w:val="20"/>
        </w:rPr>
        <w:t>debe seguir unos procedimientos acordados y debe aplicarse de un modo equitativo, transparente y no discriminatorio;</w:t>
      </w:r>
    </w:p>
    <w:p w14:paraId="2241F81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16"/>
          <w:szCs w:val="16"/>
        </w:rPr>
      </w:pPr>
    </w:p>
    <w:p w14:paraId="57D6C977" w14:textId="77777777"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PREOCUPADA</w:t>
      </w:r>
      <w:r w:rsidRPr="005C06AB">
        <w:rPr>
          <w:rFonts w:ascii="Cambria" w:eastAsia="Times New Roman" w:hAnsi="Cambria" w:cs="Times New Roman"/>
          <w:color w:val="000000"/>
          <w:sz w:val="20"/>
          <w:szCs w:val="20"/>
        </w:rPr>
        <w:t xml:space="preserve"> ante el hecho de que continúen las actividades de pesca IUU en la zona del Convenio de ICCAT, y de que dichas actividades disminuyan la eficacia de las medidas de conservación y ordenación de ICCAT;</w:t>
      </w:r>
    </w:p>
    <w:p w14:paraId="65FBCEE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16"/>
          <w:szCs w:val="16"/>
        </w:rPr>
      </w:pPr>
    </w:p>
    <w:p w14:paraId="083CF9EA" w14:textId="4DF2341D"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PREOCUPADA TAMBIÉN</w:t>
      </w:r>
      <w:r w:rsidRPr="005C06AB">
        <w:rPr>
          <w:rFonts w:ascii="Cambria" w:eastAsia="Times New Roman" w:hAnsi="Cambria" w:cs="Times New Roman"/>
          <w:color w:val="000000"/>
          <w:sz w:val="20"/>
          <w:szCs w:val="20"/>
        </w:rPr>
        <w:t xml:space="preserve"> por la existencia de indicios que apuntan a que un elevado número de propietarios de buques que realizan este tipo de actividad </w:t>
      </w:r>
      <w:r w:rsidR="00126617" w:rsidRPr="005C06AB">
        <w:rPr>
          <w:rFonts w:ascii="Cambria" w:eastAsia="Times New Roman" w:hAnsi="Cambria" w:cs="Times New Roman"/>
          <w:color w:val="000000"/>
          <w:sz w:val="20"/>
          <w:szCs w:val="20"/>
        </w:rPr>
        <w:t xml:space="preserve">pesquera </w:t>
      </w:r>
      <w:r w:rsidRPr="005C06AB">
        <w:rPr>
          <w:rFonts w:ascii="Cambria" w:eastAsia="Times New Roman" w:hAnsi="Cambria" w:cs="Times New Roman"/>
          <w:color w:val="000000"/>
          <w:sz w:val="20"/>
          <w:szCs w:val="20"/>
        </w:rPr>
        <w:t>ha cambiado el pabellón de sus buques con el fin de evitar el cumplimiento de las medidas de conservación y ordenación de ICCAT y de eludir las medidas comerciales no discriminatorias adoptadas por ICCAT;</w:t>
      </w:r>
    </w:p>
    <w:p w14:paraId="264C4DDE"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853F88A" w14:textId="77777777"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DETERMINADA</w:t>
      </w:r>
      <w:r w:rsidRPr="005C06AB">
        <w:rPr>
          <w:rFonts w:ascii="Cambria" w:eastAsia="Times New Roman" w:hAnsi="Cambria" w:cs="Times New Roman"/>
          <w:color w:val="000000"/>
          <w:sz w:val="20"/>
          <w:szCs w:val="20"/>
        </w:rPr>
        <w:t xml:space="preserve"> a abordar el reto que supone el incremento de las actividades de pesca IUU mediante contramedidas aplicadas a los buques sin perjuicio de otras medidas adoptadas en relación con los Estados de pabellón con arreglo a los instrumentos pertinentes de ICCAT;</w:t>
      </w:r>
    </w:p>
    <w:p w14:paraId="2872BD7F"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4DC722C" w14:textId="7DEA5DDA"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CONSIDERANDO</w:t>
      </w:r>
      <w:r w:rsidRPr="005C06AB">
        <w:rPr>
          <w:rFonts w:ascii="Cambria" w:eastAsia="Times New Roman" w:hAnsi="Cambria" w:cs="Times New Roman"/>
          <w:color w:val="000000"/>
          <w:sz w:val="20"/>
          <w:szCs w:val="20"/>
        </w:rPr>
        <w:t xml:space="preserve"> los resultados de</w:t>
      </w:r>
      <w:r w:rsidR="00126617" w:rsidRPr="005C06AB">
        <w:rPr>
          <w:rFonts w:ascii="Cambria" w:eastAsia="Times New Roman" w:hAnsi="Cambria" w:cs="Times New Roman"/>
          <w:color w:val="000000"/>
          <w:sz w:val="20"/>
          <w:szCs w:val="20"/>
        </w:rPr>
        <w:t xml:space="preserve"> la reunión del</w:t>
      </w:r>
      <w:r w:rsidRPr="005C06AB">
        <w:rPr>
          <w:rFonts w:ascii="Cambria" w:eastAsia="Times New Roman" w:hAnsi="Cambria" w:cs="Times New Roman"/>
          <w:color w:val="000000"/>
          <w:sz w:val="20"/>
          <w:szCs w:val="20"/>
        </w:rPr>
        <w:t xml:space="preserve"> Grupo de Trabajo </w:t>
      </w:r>
      <w:r w:rsidRPr="005C06AB">
        <w:rPr>
          <w:rFonts w:ascii="Cambria" w:eastAsia="Times New Roman" w:hAnsi="Cambria" w:cs="Times New Roman"/>
          <w:i/>
          <w:iCs/>
          <w:color w:val="000000"/>
          <w:sz w:val="20"/>
          <w:szCs w:val="20"/>
        </w:rPr>
        <w:t xml:space="preserve">ad hoc </w:t>
      </w:r>
      <w:r w:rsidRPr="005C06AB">
        <w:rPr>
          <w:rFonts w:ascii="Cambria" w:eastAsia="Times New Roman" w:hAnsi="Cambria" w:cs="Times New Roman"/>
          <w:color w:val="000000"/>
          <w:sz w:val="20"/>
          <w:szCs w:val="20"/>
        </w:rPr>
        <w:t>de ICCAT sobre el desarrollo de medidas para luchar contra la pesca IUU</w:t>
      </w:r>
      <w:r w:rsidR="00126617" w:rsidRPr="005C06AB">
        <w:rPr>
          <w:rFonts w:ascii="Cambria" w:eastAsia="Times New Roman" w:hAnsi="Cambria" w:cs="Times New Roman"/>
          <w:color w:val="000000"/>
          <w:sz w:val="20"/>
          <w:szCs w:val="20"/>
        </w:rPr>
        <w:t xml:space="preserve">, que se celebró en </w:t>
      </w:r>
      <w:r w:rsidRPr="005C06AB">
        <w:rPr>
          <w:rFonts w:ascii="Cambria" w:eastAsia="Times New Roman" w:hAnsi="Cambria" w:cs="Times New Roman"/>
          <w:color w:val="000000"/>
          <w:sz w:val="20"/>
          <w:szCs w:val="20"/>
        </w:rPr>
        <w:t xml:space="preserve">Tokio, Japón, </w:t>
      </w:r>
      <w:r w:rsidR="00126617" w:rsidRPr="005C06AB">
        <w:rPr>
          <w:rFonts w:ascii="Cambria" w:eastAsia="Times New Roman" w:hAnsi="Cambria" w:cs="Times New Roman"/>
          <w:color w:val="000000"/>
          <w:sz w:val="20"/>
          <w:szCs w:val="20"/>
        </w:rPr>
        <w:t xml:space="preserve">del </w:t>
      </w:r>
      <w:r w:rsidRPr="005C06AB">
        <w:rPr>
          <w:rFonts w:ascii="Cambria" w:eastAsia="Times New Roman" w:hAnsi="Cambria" w:cs="Times New Roman"/>
          <w:color w:val="000000"/>
          <w:sz w:val="20"/>
          <w:szCs w:val="20"/>
        </w:rPr>
        <w:t>27 a 31 de mayo de 2002;</w:t>
      </w:r>
    </w:p>
    <w:p w14:paraId="2814F54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4713535A" w14:textId="53A5EB3D"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i/>
          <w:color w:val="000000"/>
          <w:sz w:val="20"/>
          <w:szCs w:val="20"/>
        </w:rPr>
      </w:pPr>
      <w:r w:rsidRPr="005C06AB">
        <w:rPr>
          <w:rFonts w:ascii="Cambria" w:eastAsia="Times New Roman" w:hAnsi="Cambria" w:cs="Times New Roman"/>
          <w:i/>
          <w:color w:val="000000"/>
          <w:sz w:val="20"/>
          <w:szCs w:val="20"/>
        </w:rPr>
        <w:t>CONSCIENTE</w:t>
      </w:r>
      <w:r w:rsidRPr="005C06AB">
        <w:rPr>
          <w:rFonts w:ascii="Cambria" w:eastAsia="Times New Roman" w:hAnsi="Cambria" w:cs="Times New Roman"/>
          <w:color w:val="000000"/>
          <w:sz w:val="20"/>
          <w:szCs w:val="20"/>
        </w:rPr>
        <w:t xml:space="preserve"> de la necesidad urgente de abordar el tema de los grandes buques de pesca, así como de otros buques que realizan actividades de pesca IUU y actividades relacionadas </w:t>
      </w:r>
      <w:r w:rsidR="00126617" w:rsidRPr="005C06AB">
        <w:rPr>
          <w:rFonts w:ascii="Cambria" w:eastAsia="Times New Roman" w:hAnsi="Cambria" w:cs="Times New Roman"/>
          <w:color w:val="000000"/>
          <w:sz w:val="20"/>
          <w:szCs w:val="20"/>
        </w:rPr>
        <w:t xml:space="preserve">con la pesca </w:t>
      </w:r>
      <w:r w:rsidRPr="005C06AB">
        <w:rPr>
          <w:rFonts w:ascii="Cambria" w:eastAsia="Times New Roman" w:hAnsi="Cambria" w:cs="Times New Roman"/>
          <w:color w:val="000000"/>
          <w:sz w:val="20"/>
          <w:szCs w:val="20"/>
        </w:rPr>
        <w:t>en apoyo de la pesca IUU;</w:t>
      </w:r>
    </w:p>
    <w:p w14:paraId="4B718F5E"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E95E3A9" w14:textId="377C30C8"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SEÑALANDO</w:t>
      </w:r>
      <w:r w:rsidRPr="005C06AB">
        <w:rPr>
          <w:rFonts w:ascii="Cambria" w:eastAsia="Times New Roman" w:hAnsi="Cambria" w:cs="Times New Roman"/>
          <w:color w:val="000000"/>
          <w:sz w:val="20"/>
          <w:szCs w:val="20"/>
        </w:rPr>
        <w:t xml:space="preserve"> que la situación debe abordarse a la luz de todos los instrumentos internacionales de pesquerías pertinentes de conformidad con los derechos y obligaciones pertinentes establecidos en el acuerdo de la Organización Mundial de Comercio (</w:t>
      </w:r>
      <w:r w:rsidR="00126617" w:rsidRPr="005C06AB">
        <w:rPr>
          <w:rFonts w:ascii="Cambria" w:eastAsia="Times New Roman" w:hAnsi="Cambria" w:cs="Times New Roman"/>
          <w:color w:val="000000"/>
          <w:sz w:val="20"/>
          <w:szCs w:val="20"/>
        </w:rPr>
        <w:t>WTO</w:t>
      </w:r>
      <w:r w:rsidR="00604210" w:rsidRPr="005C06AB">
        <w:rPr>
          <w:rFonts w:ascii="Cambria" w:eastAsia="Times New Roman" w:hAnsi="Cambria" w:cs="Times New Roman"/>
          <w:color w:val="000000"/>
          <w:sz w:val="20"/>
          <w:szCs w:val="20"/>
        </w:rPr>
        <w:t>)</w:t>
      </w:r>
      <w:r w:rsidR="00126617" w:rsidRPr="005C06AB">
        <w:rPr>
          <w:rFonts w:ascii="Cambria" w:eastAsia="Times New Roman" w:hAnsi="Cambria" w:cs="Times New Roman"/>
          <w:color w:val="000000"/>
          <w:sz w:val="20"/>
          <w:szCs w:val="20"/>
        </w:rPr>
        <w:t>;</w:t>
      </w:r>
    </w:p>
    <w:p w14:paraId="374BB46B" w14:textId="77777777"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p>
    <w:p w14:paraId="6E554788" w14:textId="77777777" w:rsidR="009A4AC7" w:rsidRPr="005C06AB" w:rsidRDefault="009A4AC7" w:rsidP="009A4AC7">
      <w:pPr>
        <w:widowControl w:val="0"/>
        <w:pBdr>
          <w:top w:val="nil"/>
          <w:left w:val="nil"/>
          <w:bottom w:val="nil"/>
          <w:right w:val="nil"/>
          <w:between w:val="nil"/>
        </w:pBdr>
        <w:spacing w:after="0" w:line="240" w:lineRule="auto"/>
        <w:ind w:firstLine="426"/>
        <w:jc w:val="both"/>
        <w:rPr>
          <w:rFonts w:ascii="Cambria" w:eastAsia="Times New Roman" w:hAnsi="Cambria" w:cs="Times New Roman"/>
          <w:color w:val="000000"/>
          <w:sz w:val="20"/>
          <w:szCs w:val="20"/>
        </w:rPr>
      </w:pPr>
      <w:r w:rsidRPr="005C06AB">
        <w:rPr>
          <w:rFonts w:ascii="Cambria" w:eastAsia="Times New Roman" w:hAnsi="Cambria" w:cs="Times New Roman"/>
          <w:i/>
          <w:color w:val="000000"/>
          <w:sz w:val="20"/>
          <w:szCs w:val="20"/>
        </w:rPr>
        <w:t>DESEANDO</w:t>
      </w:r>
      <w:r w:rsidRPr="005C06AB">
        <w:rPr>
          <w:rFonts w:ascii="Cambria" w:eastAsia="Times New Roman" w:hAnsi="Cambria" w:cs="Times New Roman"/>
          <w:color w:val="000000"/>
          <w:sz w:val="20"/>
          <w:szCs w:val="20"/>
        </w:rPr>
        <w:t xml:space="preserve"> simplificar y mejorar los procedimientos y requisitos existentes en las recomendaciones y resoluciones previas de ICCAT para incluir buques en la lista IUU; </w:t>
      </w:r>
    </w:p>
    <w:p w14:paraId="78CDFCA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60456ADD" w14:textId="77777777" w:rsidR="00126617" w:rsidRPr="005C06AB" w:rsidRDefault="009A4AC7" w:rsidP="009A4AC7">
      <w:pPr>
        <w:widowControl w:val="0"/>
        <w:pBdr>
          <w:top w:val="nil"/>
          <w:left w:val="nil"/>
          <w:bottom w:val="nil"/>
          <w:right w:val="nil"/>
          <w:between w:val="nil"/>
        </w:pBdr>
        <w:spacing w:after="0" w:line="240" w:lineRule="auto"/>
        <w:ind w:hanging="256"/>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LA COMISIÓN INTERNACIONAL PARA LA CONSERVACIÓN </w:t>
      </w:r>
    </w:p>
    <w:p w14:paraId="7C55EE3B" w14:textId="62218BF5" w:rsidR="009A4AC7" w:rsidRPr="005C06AB" w:rsidRDefault="009A4AC7" w:rsidP="009A4AC7">
      <w:pPr>
        <w:widowControl w:val="0"/>
        <w:pBdr>
          <w:top w:val="nil"/>
          <w:left w:val="nil"/>
          <w:bottom w:val="nil"/>
          <w:right w:val="nil"/>
          <w:between w:val="nil"/>
        </w:pBdr>
        <w:spacing w:after="0" w:line="240" w:lineRule="auto"/>
        <w:ind w:hanging="256"/>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DEL ATÚN ATLÁNTICO (ICCAT) RECOMIENDA LO SIGUIENTE:</w:t>
      </w:r>
    </w:p>
    <w:p w14:paraId="50ADE93C"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3AD99523" w14:textId="77777777"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t>Definiciones de actividades IUU</w:t>
      </w:r>
    </w:p>
    <w:p w14:paraId="483B4099"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242A021A" w14:textId="2ED3A2C1"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A efectos de esta Recomendación, los buques se considerarán sospechosos de haber realizado actividades de pesca ilegal, no declarada y no reglamentada (IUU) en la zona del Convenio de ICCAT cuando una </w:t>
      </w:r>
      <w:r w:rsidR="006E4D1C" w:rsidRPr="005C06AB">
        <w:rPr>
          <w:rFonts w:ascii="Cambria" w:eastAsia="Times New Roman" w:hAnsi="Cambria" w:cs="Times New Roman"/>
          <w:color w:val="000000"/>
          <w:sz w:val="20"/>
          <w:szCs w:val="20"/>
        </w:rPr>
        <w:t xml:space="preserve">Parte contratante o </w:t>
      </w:r>
      <w:r w:rsidR="00212E54" w:rsidRPr="005C06AB">
        <w:rPr>
          <w:rFonts w:ascii="Cambria" w:eastAsia="Times New Roman" w:hAnsi="Cambria" w:cs="Times New Roman"/>
          <w:color w:val="000000"/>
          <w:sz w:val="20"/>
          <w:szCs w:val="20"/>
        </w:rPr>
        <w:t xml:space="preserve">una </w:t>
      </w:r>
      <w:r w:rsidR="006E4D1C" w:rsidRPr="005C06AB">
        <w:rPr>
          <w:rFonts w:ascii="Cambria" w:eastAsia="Times New Roman" w:hAnsi="Cambria" w:cs="Times New Roman"/>
          <w:color w:val="000000"/>
          <w:sz w:val="20"/>
          <w:szCs w:val="20"/>
        </w:rPr>
        <w:t xml:space="preserve">Parte, entidad o entidad pesquera no contratante colaboradora (en lo sucesivo denominadas </w:t>
      </w:r>
      <w:r w:rsidRPr="005C06AB">
        <w:rPr>
          <w:rFonts w:ascii="Cambria" w:eastAsia="Times New Roman" w:hAnsi="Cambria" w:cs="Times New Roman"/>
          <w:color w:val="000000"/>
          <w:sz w:val="20"/>
          <w:szCs w:val="20"/>
        </w:rPr>
        <w:t>CPC</w:t>
      </w:r>
      <w:r w:rsidR="006E4D1C" w:rsidRPr="005C06AB">
        <w:rPr>
          <w:rFonts w:ascii="Cambria" w:eastAsia="Times New Roman" w:hAnsi="Cambria" w:cs="Times New Roman"/>
          <w:color w:val="000000"/>
          <w:sz w:val="20"/>
          <w:szCs w:val="20"/>
        </w:rPr>
        <w:t xml:space="preserve">) </w:t>
      </w:r>
      <w:r w:rsidRPr="005C06AB">
        <w:rPr>
          <w:rFonts w:ascii="Cambria" w:eastAsia="Times New Roman" w:hAnsi="Cambria" w:cs="Times New Roman"/>
          <w:color w:val="000000"/>
          <w:sz w:val="20"/>
          <w:szCs w:val="20"/>
        </w:rPr>
        <w:t>presente pruebas de que dichos buques:</w:t>
      </w:r>
    </w:p>
    <w:p w14:paraId="7A9F7516"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25BBE6F" w14:textId="2B577407" w:rsidR="009A4AC7" w:rsidRPr="005C06AB" w:rsidRDefault="008C5550" w:rsidP="009A4AC7">
      <w:pPr>
        <w:widowControl w:val="0"/>
        <w:numPr>
          <w:ilvl w:val="1"/>
          <w:numId w:val="7"/>
        </w:numPr>
        <w:pBdr>
          <w:top w:val="nil"/>
          <w:left w:val="nil"/>
          <w:bottom w:val="nil"/>
          <w:right w:val="nil"/>
          <w:between w:val="nil"/>
        </w:pBdr>
        <w:spacing w:after="0" w:line="240" w:lineRule="auto"/>
        <w:ind w:left="833" w:hanging="357"/>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c</w:t>
      </w:r>
      <w:r w:rsidR="009A4AC7" w:rsidRPr="005C06AB">
        <w:rPr>
          <w:rFonts w:ascii="Cambria" w:eastAsia="Times New Roman" w:hAnsi="Cambria" w:cs="Times New Roman"/>
          <w:color w:val="000000"/>
          <w:sz w:val="20"/>
          <w:szCs w:val="20"/>
        </w:rPr>
        <w:t>apturan túnidos y especies afines en la zona del Convenio de ICCAT y no están registrados en la lista pertinente de ICCAT de buques autorizados a pescar túnidos y especies afines en la zona del Convenio ICCAT;</w:t>
      </w:r>
    </w:p>
    <w:p w14:paraId="24A58277" w14:textId="36CD317C" w:rsidR="009A4AC7" w:rsidRPr="005C06AB" w:rsidRDefault="008C5550" w:rsidP="009A4AC7">
      <w:pPr>
        <w:widowControl w:val="0"/>
        <w:numPr>
          <w:ilvl w:val="1"/>
          <w:numId w:val="7"/>
        </w:numPr>
        <w:pBdr>
          <w:top w:val="nil"/>
          <w:left w:val="nil"/>
          <w:bottom w:val="nil"/>
          <w:right w:val="nil"/>
          <w:between w:val="nil"/>
        </w:pBdr>
        <w:tabs>
          <w:tab w:val="left" w:pos="839"/>
        </w:tabs>
        <w:spacing w:after="0" w:line="240" w:lineRule="auto"/>
        <w:ind w:left="833" w:hanging="357"/>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c</w:t>
      </w:r>
      <w:r w:rsidR="009A4AC7" w:rsidRPr="005C06AB">
        <w:rPr>
          <w:rFonts w:ascii="Cambria" w:eastAsia="Times New Roman" w:hAnsi="Cambria" w:cs="Times New Roman"/>
          <w:color w:val="000000"/>
          <w:sz w:val="20"/>
          <w:szCs w:val="20"/>
        </w:rPr>
        <w:t>apturan túnidos y especies afines en la zona del Convenio</w:t>
      </w:r>
      <w:r w:rsidRPr="005C06AB">
        <w:rPr>
          <w:rFonts w:ascii="Cambria" w:eastAsia="Times New Roman" w:hAnsi="Cambria" w:cs="Times New Roman"/>
          <w:color w:val="000000"/>
          <w:sz w:val="20"/>
          <w:szCs w:val="20"/>
        </w:rPr>
        <w:t xml:space="preserve"> de ICCAT</w:t>
      </w:r>
      <w:r w:rsidR="009A4AC7" w:rsidRPr="005C06AB">
        <w:rPr>
          <w:rFonts w:ascii="Cambria" w:eastAsia="Times New Roman" w:hAnsi="Cambria" w:cs="Times New Roman"/>
          <w:color w:val="000000"/>
          <w:sz w:val="20"/>
          <w:szCs w:val="20"/>
        </w:rPr>
        <w:t xml:space="preserve"> y el Estado del pabellón del buque no cuenta con cuota, límite de captura o asignación de esfuerzo de conformidad con las medidas pertinentes de conservación y ordenación de ICCAT;</w:t>
      </w:r>
    </w:p>
    <w:p w14:paraId="7C8AD669" w14:textId="3092C388" w:rsidR="009A4AC7" w:rsidRPr="005C06AB" w:rsidRDefault="008C5550" w:rsidP="009A4AC7">
      <w:pPr>
        <w:widowControl w:val="0"/>
        <w:numPr>
          <w:ilvl w:val="1"/>
          <w:numId w:val="7"/>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n</w:t>
      </w:r>
      <w:r w:rsidR="009A4AC7" w:rsidRPr="005C06AB">
        <w:rPr>
          <w:rFonts w:ascii="Cambria" w:eastAsia="Times New Roman" w:hAnsi="Cambria" w:cs="Times New Roman"/>
          <w:color w:val="000000"/>
          <w:sz w:val="20"/>
          <w:szCs w:val="20"/>
        </w:rPr>
        <w:t>o consignan o comunican sus capturas realizadas en la zona del Convenio de ICCAT, o realizan declaraciones falsas;</w:t>
      </w:r>
    </w:p>
    <w:p w14:paraId="75506969" w14:textId="3774C47C" w:rsidR="009A4AC7" w:rsidRPr="005C06AB" w:rsidRDefault="008C5550" w:rsidP="009A4AC7">
      <w:pPr>
        <w:widowControl w:val="0"/>
        <w:numPr>
          <w:ilvl w:val="1"/>
          <w:numId w:val="7"/>
        </w:numPr>
        <w:pBdr>
          <w:top w:val="nil"/>
          <w:left w:val="nil"/>
          <w:bottom w:val="nil"/>
          <w:right w:val="nil"/>
          <w:between w:val="nil"/>
        </w:pBdr>
        <w:tabs>
          <w:tab w:val="left" w:pos="839"/>
        </w:tabs>
        <w:spacing w:after="0" w:line="240" w:lineRule="auto"/>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c</w:t>
      </w:r>
      <w:r w:rsidR="009A4AC7" w:rsidRPr="005C06AB">
        <w:rPr>
          <w:rFonts w:ascii="Cambria" w:eastAsia="Times New Roman" w:hAnsi="Cambria" w:cs="Times New Roman"/>
          <w:color w:val="000000"/>
          <w:sz w:val="20"/>
          <w:szCs w:val="20"/>
        </w:rPr>
        <w:t>apturan o desembarcan peces de talla inferior a la regulada contraviniendo las medidas de conservación de ICCAT;</w:t>
      </w:r>
    </w:p>
    <w:p w14:paraId="28E8D74F" w14:textId="2474FF59" w:rsidR="009A4AC7" w:rsidRPr="005C06AB" w:rsidRDefault="008C5550" w:rsidP="009A4AC7">
      <w:pPr>
        <w:widowControl w:val="0"/>
        <w:numPr>
          <w:ilvl w:val="1"/>
          <w:numId w:val="7"/>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sectPr w:rsidR="009A4AC7" w:rsidRPr="005C06AB" w:rsidSect="00126617">
          <w:footerReference w:type="default" r:id="rId7"/>
          <w:pgSz w:w="11910" w:h="16840" w:code="9"/>
          <w:pgMar w:top="1418" w:right="1418" w:bottom="1418" w:left="1418" w:header="851" w:footer="1134" w:gutter="0"/>
          <w:pgNumType w:start="1"/>
          <w:cols w:space="720"/>
          <w:docGrid w:linePitch="299"/>
        </w:sectPr>
      </w:pPr>
      <w:r w:rsidRPr="005C06AB">
        <w:rPr>
          <w:rFonts w:ascii="Cambria" w:eastAsia="Times New Roman" w:hAnsi="Cambria" w:cs="Times New Roman"/>
          <w:color w:val="000000"/>
          <w:sz w:val="20"/>
          <w:szCs w:val="20"/>
        </w:rPr>
        <w:t>p</w:t>
      </w:r>
      <w:r w:rsidR="009A4AC7" w:rsidRPr="005C06AB">
        <w:rPr>
          <w:rFonts w:ascii="Cambria" w:eastAsia="Times New Roman" w:hAnsi="Cambria" w:cs="Times New Roman"/>
          <w:color w:val="000000"/>
          <w:sz w:val="20"/>
          <w:szCs w:val="20"/>
        </w:rPr>
        <w:t xml:space="preserve">escan durante los periodos de veda o en zonas vedadas contraviniendo las medidas de </w:t>
      </w:r>
      <w:r w:rsidR="009A4AC7" w:rsidRPr="005C06AB">
        <w:rPr>
          <w:rFonts w:ascii="Cambria" w:eastAsia="Times New Roman" w:hAnsi="Cambria" w:cs="Times New Roman"/>
          <w:color w:val="000000"/>
          <w:sz w:val="20"/>
          <w:szCs w:val="20"/>
        </w:rPr>
        <w:lastRenderedPageBreak/>
        <w:t>conservación de ICCAT;</w:t>
      </w:r>
    </w:p>
    <w:p w14:paraId="0798B66A" w14:textId="474653B8" w:rsidR="009A4AC7" w:rsidRPr="005C06AB" w:rsidRDefault="008C5550" w:rsidP="009A4AC7">
      <w:pPr>
        <w:widowControl w:val="0"/>
        <w:numPr>
          <w:ilvl w:val="1"/>
          <w:numId w:val="7"/>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u</w:t>
      </w:r>
      <w:r w:rsidR="009A4AC7" w:rsidRPr="005C06AB">
        <w:rPr>
          <w:rFonts w:ascii="Cambria" w:eastAsia="Times New Roman" w:hAnsi="Cambria" w:cs="Times New Roman"/>
          <w:color w:val="000000"/>
          <w:sz w:val="20"/>
          <w:szCs w:val="20"/>
        </w:rPr>
        <w:t>tilizan artes de pesca o métodos de pesca prohibidos contraviniendo las medidas de conservación de ICCAT;</w:t>
      </w:r>
    </w:p>
    <w:p w14:paraId="089AA347" w14:textId="12FCF37D" w:rsidR="009A4AC7" w:rsidRPr="005C06AB" w:rsidRDefault="00BD4528" w:rsidP="009A4AC7">
      <w:pPr>
        <w:widowControl w:val="0"/>
        <w:numPr>
          <w:ilvl w:val="1"/>
          <w:numId w:val="7"/>
        </w:numPr>
        <w:pBdr>
          <w:top w:val="nil"/>
          <w:left w:val="nil"/>
          <w:bottom w:val="nil"/>
          <w:right w:val="nil"/>
          <w:between w:val="nil"/>
        </w:pBdr>
        <w:tabs>
          <w:tab w:val="left" w:pos="839"/>
        </w:tabs>
        <w:spacing w:after="0" w:line="240" w:lineRule="auto"/>
        <w:ind w:left="833" w:hanging="357"/>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r</w:t>
      </w:r>
      <w:r w:rsidR="009A4AC7" w:rsidRPr="005C06AB">
        <w:rPr>
          <w:rFonts w:ascii="Cambria" w:eastAsia="Times New Roman" w:hAnsi="Cambria" w:cs="Times New Roman"/>
          <w:color w:val="000000"/>
          <w:sz w:val="20"/>
          <w:szCs w:val="20"/>
        </w:rPr>
        <w:t>ealizan operaciones de transbordo, o participan en otras operaciones como buques de reavituallamiento o reabastecimiento de combustible, con buques incluidos en las listas</w:t>
      </w:r>
      <w:r w:rsidR="00126617" w:rsidRPr="005C06AB">
        <w:rPr>
          <w:rFonts w:ascii="Cambria" w:eastAsia="Times New Roman" w:hAnsi="Cambria" w:cs="Times New Roman"/>
          <w:color w:val="000000"/>
          <w:sz w:val="20"/>
          <w:szCs w:val="20"/>
        </w:rPr>
        <w:t xml:space="preserve"> de buques</w:t>
      </w:r>
      <w:r w:rsidR="009A4AC7" w:rsidRPr="005C06AB">
        <w:rPr>
          <w:rFonts w:ascii="Cambria" w:eastAsia="Times New Roman" w:hAnsi="Cambria" w:cs="Times New Roman"/>
          <w:color w:val="000000"/>
          <w:sz w:val="20"/>
          <w:szCs w:val="20"/>
        </w:rPr>
        <w:t xml:space="preserve"> IUU;</w:t>
      </w:r>
    </w:p>
    <w:p w14:paraId="2F76990F" w14:textId="66488CFA" w:rsidR="009A4AC7" w:rsidRPr="005C06AB" w:rsidRDefault="00BD4528" w:rsidP="009A4AC7">
      <w:pPr>
        <w:widowControl w:val="0"/>
        <w:numPr>
          <w:ilvl w:val="1"/>
          <w:numId w:val="7"/>
        </w:numPr>
        <w:pBdr>
          <w:top w:val="nil"/>
          <w:left w:val="nil"/>
          <w:bottom w:val="nil"/>
          <w:right w:val="nil"/>
          <w:between w:val="nil"/>
        </w:pBdr>
        <w:tabs>
          <w:tab w:val="left" w:pos="839"/>
        </w:tabs>
        <w:spacing w:after="0" w:line="240" w:lineRule="auto"/>
        <w:ind w:left="833" w:hanging="357"/>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w:t>
      </w:r>
      <w:r w:rsidR="009A4AC7" w:rsidRPr="005C06AB">
        <w:rPr>
          <w:rFonts w:ascii="Cambria" w:eastAsia="Times New Roman" w:hAnsi="Cambria" w:cs="Times New Roman"/>
          <w:color w:val="000000"/>
          <w:sz w:val="20"/>
          <w:szCs w:val="20"/>
        </w:rPr>
        <w:t xml:space="preserve">apturan túnidos o especies afines en las aguas bajo la jurisdicción nacional de </w:t>
      </w:r>
      <w:r w:rsidRPr="005C06AB">
        <w:rPr>
          <w:rFonts w:ascii="Cambria" w:eastAsia="Times New Roman" w:hAnsi="Cambria" w:cs="Times New Roman"/>
          <w:color w:val="000000"/>
          <w:sz w:val="20"/>
          <w:szCs w:val="20"/>
        </w:rPr>
        <w:t xml:space="preserve">un </w:t>
      </w:r>
      <w:r w:rsidR="009A4AC7" w:rsidRPr="005C06AB">
        <w:rPr>
          <w:rFonts w:ascii="Cambria" w:eastAsia="Times New Roman" w:hAnsi="Cambria" w:cs="Times New Roman"/>
          <w:color w:val="000000"/>
          <w:sz w:val="20"/>
          <w:szCs w:val="20"/>
        </w:rPr>
        <w:t>Estado costero en la zona del Convenio sin autorización o infringen las legislaciones y regulaciones de dicho Estado, sin perjuicio de los derechos soberanos de los Estados costeros de emprender acciones en relación con dichos buques;</w:t>
      </w:r>
    </w:p>
    <w:p w14:paraId="73DAAC1D" w14:textId="0D15C16E" w:rsidR="009A4AC7" w:rsidRPr="005C06AB" w:rsidRDefault="00BD4528" w:rsidP="009A4AC7">
      <w:pPr>
        <w:widowControl w:val="0"/>
        <w:numPr>
          <w:ilvl w:val="1"/>
          <w:numId w:val="7"/>
        </w:numPr>
        <w:pBdr>
          <w:top w:val="nil"/>
          <w:left w:val="nil"/>
          <w:bottom w:val="nil"/>
          <w:right w:val="nil"/>
          <w:between w:val="nil"/>
        </w:pBdr>
        <w:spacing w:after="0" w:line="240" w:lineRule="auto"/>
        <w:ind w:left="833" w:hanging="357"/>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n</w:t>
      </w:r>
      <w:r w:rsidR="009A4AC7" w:rsidRPr="005C06AB">
        <w:rPr>
          <w:rFonts w:ascii="Cambria" w:eastAsia="Times New Roman" w:hAnsi="Cambria" w:cs="Times New Roman"/>
          <w:color w:val="000000"/>
          <w:sz w:val="20"/>
          <w:szCs w:val="20"/>
        </w:rPr>
        <w:t xml:space="preserve">o tienen nacionalidad y </w:t>
      </w:r>
      <w:r w:rsidR="001F7FA2" w:rsidRPr="005C06AB">
        <w:rPr>
          <w:rFonts w:ascii="Cambria" w:eastAsia="Times New Roman" w:hAnsi="Cambria" w:cs="Times New Roman"/>
          <w:color w:val="000000"/>
          <w:sz w:val="20"/>
          <w:szCs w:val="20"/>
        </w:rPr>
        <w:t>está</w:t>
      </w:r>
      <w:r w:rsidR="00126617" w:rsidRPr="005C06AB">
        <w:rPr>
          <w:rFonts w:ascii="Cambria" w:eastAsia="Times New Roman" w:hAnsi="Cambria" w:cs="Times New Roman"/>
          <w:color w:val="000000"/>
          <w:sz w:val="20"/>
          <w:szCs w:val="20"/>
        </w:rPr>
        <w:t>n</w:t>
      </w:r>
      <w:r w:rsidR="001F7FA2" w:rsidRPr="005C06AB">
        <w:rPr>
          <w:rFonts w:ascii="Cambria" w:eastAsia="Times New Roman" w:hAnsi="Cambria" w:cs="Times New Roman"/>
          <w:color w:val="000000"/>
          <w:sz w:val="20"/>
          <w:szCs w:val="20"/>
        </w:rPr>
        <w:t xml:space="preserve"> pescando o realizando actividades de apoyo a la pesca en la zona del Convenio de</w:t>
      </w:r>
      <w:r w:rsidR="009A4AC7" w:rsidRPr="005C06AB">
        <w:rPr>
          <w:rFonts w:ascii="Cambria" w:eastAsia="Times New Roman" w:hAnsi="Cambria" w:cs="Times New Roman"/>
          <w:color w:val="000000"/>
          <w:sz w:val="20"/>
          <w:szCs w:val="20"/>
        </w:rPr>
        <w:t xml:space="preserve"> ICCAT y/o</w:t>
      </w:r>
    </w:p>
    <w:p w14:paraId="2709C24F" w14:textId="47AA750A" w:rsidR="009A4AC7" w:rsidRPr="005C06AB" w:rsidRDefault="00BD4528" w:rsidP="009A4AC7">
      <w:pPr>
        <w:widowControl w:val="0"/>
        <w:numPr>
          <w:ilvl w:val="1"/>
          <w:numId w:val="7"/>
        </w:numPr>
        <w:pBdr>
          <w:top w:val="nil"/>
          <w:left w:val="nil"/>
          <w:bottom w:val="nil"/>
          <w:right w:val="nil"/>
          <w:between w:val="nil"/>
        </w:pBdr>
        <w:spacing w:after="0" w:line="240" w:lineRule="auto"/>
        <w:ind w:left="833" w:hanging="357"/>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r</w:t>
      </w:r>
      <w:r w:rsidR="009A4AC7" w:rsidRPr="005C06AB">
        <w:rPr>
          <w:rFonts w:ascii="Cambria" w:eastAsia="Times New Roman" w:hAnsi="Cambria" w:cs="Times New Roman"/>
          <w:color w:val="000000"/>
          <w:sz w:val="20"/>
          <w:szCs w:val="20"/>
        </w:rPr>
        <w:t>ealizan actividades de pesca o relacionadas con la pesca contrarias a cualquier otra medida de conservación y ordenación de ICCAT.</w:t>
      </w:r>
    </w:p>
    <w:p w14:paraId="3C700839"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30F83D0A" w14:textId="77777777"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t>Información sobre presuntas actividades IUU</w:t>
      </w:r>
    </w:p>
    <w:p w14:paraId="3E4A634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46D0636E" w14:textId="214C1D89"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Las CPC transmitirán cada año al</w:t>
      </w:r>
      <w:r w:rsidR="00212E54" w:rsidRPr="005C06AB">
        <w:rPr>
          <w:rFonts w:ascii="Cambria" w:eastAsia="Times New Roman" w:hAnsi="Cambria" w:cs="Times New Roman"/>
          <w:color w:val="000000"/>
          <w:sz w:val="20"/>
          <w:szCs w:val="20"/>
        </w:rPr>
        <w:t xml:space="preserve"> secretario ejecutivo</w:t>
      </w:r>
      <w:r w:rsidRPr="005C06AB">
        <w:rPr>
          <w:rFonts w:ascii="Cambria" w:eastAsia="Times New Roman" w:hAnsi="Cambria" w:cs="Times New Roman"/>
          <w:color w:val="000000"/>
          <w:sz w:val="20"/>
          <w:szCs w:val="20"/>
        </w:rPr>
        <w:t xml:space="preserve">, al menos 70 días antes de la reunión anual, información sobre cualquier buque supuestamente implicado en actividades de pesca IUU en los últimos tres años, acompañándola de todas las pruebas disponibles que sustentan la presunción de actividad de pesca IUU y de información sobre la identificación del buque.    </w:t>
      </w:r>
    </w:p>
    <w:p w14:paraId="4383405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1D48FB9D" w14:textId="77777777" w:rsidR="009A4AC7" w:rsidRPr="005C06AB"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Esta información sobre los buques se basará en la información recopilada por las CPC, </w:t>
      </w:r>
      <w:r w:rsidRPr="005C06AB">
        <w:rPr>
          <w:rFonts w:ascii="Cambria" w:eastAsia="Times New Roman" w:hAnsi="Cambria" w:cs="Times New Roman"/>
          <w:i/>
          <w:color w:val="000000"/>
          <w:sz w:val="20"/>
          <w:szCs w:val="20"/>
        </w:rPr>
        <w:t xml:space="preserve">inter </w:t>
      </w:r>
      <w:proofErr w:type="spellStart"/>
      <w:r w:rsidRPr="005C06AB">
        <w:rPr>
          <w:rFonts w:ascii="Cambria" w:eastAsia="Times New Roman" w:hAnsi="Cambria" w:cs="Times New Roman"/>
          <w:i/>
          <w:color w:val="000000"/>
          <w:sz w:val="20"/>
          <w:szCs w:val="20"/>
        </w:rPr>
        <w:t>alia</w:t>
      </w:r>
      <w:proofErr w:type="spellEnd"/>
      <w:r w:rsidRPr="005C06AB">
        <w:rPr>
          <w:rFonts w:ascii="Cambria" w:eastAsia="Times New Roman" w:hAnsi="Cambria" w:cs="Times New Roman"/>
          <w:color w:val="000000"/>
          <w:sz w:val="20"/>
          <w:szCs w:val="20"/>
        </w:rPr>
        <w:t xml:space="preserve">, de conformidad con las Recomendaciones y Resoluciones pertinentes de ICCAT. Las CPC deberán presentar la información disponible sobre el buque y sobre las actividades de pesca IUU en el formulario adjunto como </w:t>
      </w:r>
      <w:r w:rsidRPr="005C06AB">
        <w:rPr>
          <w:rFonts w:ascii="Cambria" w:eastAsia="Times New Roman" w:hAnsi="Cambria" w:cs="Times New Roman"/>
          <w:b/>
          <w:color w:val="000000"/>
          <w:sz w:val="20"/>
          <w:szCs w:val="20"/>
        </w:rPr>
        <w:t>Adenda 1</w:t>
      </w:r>
      <w:r w:rsidRPr="005C06AB">
        <w:rPr>
          <w:rFonts w:ascii="Cambria" w:eastAsia="Times New Roman" w:hAnsi="Cambria" w:cs="Times New Roman"/>
          <w:color w:val="000000"/>
          <w:sz w:val="20"/>
          <w:szCs w:val="20"/>
        </w:rPr>
        <w:t xml:space="preserve"> de esta Recomendación. </w:t>
      </w:r>
    </w:p>
    <w:p w14:paraId="13E988FC" w14:textId="77777777" w:rsidR="009A4AC7" w:rsidRPr="005C06AB"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p>
    <w:p w14:paraId="0138E1F3" w14:textId="7AD85C8D" w:rsidR="009A4AC7" w:rsidRPr="005C06AB"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Al recibir esta información, el</w:t>
      </w:r>
      <w:r w:rsidR="00212E54" w:rsidRPr="005C06AB">
        <w:rPr>
          <w:rFonts w:ascii="Cambria" w:eastAsia="Times New Roman" w:hAnsi="Cambria" w:cs="Times New Roman"/>
          <w:color w:val="000000"/>
          <w:sz w:val="20"/>
          <w:szCs w:val="20"/>
        </w:rPr>
        <w:t xml:space="preserve"> secretario ejecutivo</w:t>
      </w:r>
      <w:r w:rsidRPr="005C06AB">
        <w:rPr>
          <w:rFonts w:ascii="Cambria" w:eastAsia="Times New Roman" w:hAnsi="Cambria" w:cs="Times New Roman"/>
          <w:color w:val="000000"/>
          <w:sz w:val="20"/>
          <w:szCs w:val="20"/>
        </w:rPr>
        <w:t xml:space="preserve"> </w:t>
      </w:r>
      <w:r w:rsidR="00126617" w:rsidRPr="005C06AB">
        <w:rPr>
          <w:rFonts w:ascii="Cambria" w:eastAsia="Times New Roman" w:hAnsi="Cambria" w:cs="Times New Roman"/>
          <w:color w:val="000000"/>
          <w:sz w:val="20"/>
          <w:szCs w:val="20"/>
        </w:rPr>
        <w:t>enviará</w:t>
      </w:r>
      <w:r w:rsidRPr="005C06AB">
        <w:rPr>
          <w:rFonts w:ascii="Cambria" w:eastAsia="Times New Roman" w:hAnsi="Cambria" w:cs="Times New Roman"/>
          <w:color w:val="000000"/>
          <w:sz w:val="20"/>
          <w:szCs w:val="20"/>
        </w:rPr>
        <w:t xml:space="preserve"> sin demora a todas las CPC y a cualquier no CPC afectada y solicitar</w:t>
      </w:r>
      <w:r w:rsidR="00126617" w:rsidRPr="005C06AB">
        <w:rPr>
          <w:rFonts w:ascii="Cambria" w:eastAsia="Times New Roman" w:hAnsi="Cambria" w:cs="Times New Roman"/>
          <w:color w:val="000000"/>
          <w:sz w:val="20"/>
          <w:szCs w:val="20"/>
        </w:rPr>
        <w:t>á</w:t>
      </w:r>
      <w:r w:rsidRPr="005C06AB">
        <w:rPr>
          <w:rFonts w:ascii="Cambria" w:eastAsia="Times New Roman" w:hAnsi="Cambria" w:cs="Times New Roman"/>
          <w:color w:val="000000"/>
          <w:sz w:val="20"/>
          <w:szCs w:val="20"/>
        </w:rPr>
        <w:t>, cuando proceda, que las CPC y la</w:t>
      </w:r>
      <w:r w:rsidR="00BD4528" w:rsidRPr="005C06AB">
        <w:rPr>
          <w:rFonts w:ascii="Cambria" w:eastAsia="Times New Roman" w:hAnsi="Cambria" w:cs="Times New Roman"/>
          <w:color w:val="000000"/>
          <w:sz w:val="20"/>
          <w:szCs w:val="20"/>
        </w:rPr>
        <w:t>s</w:t>
      </w:r>
      <w:r w:rsidRPr="005C06AB">
        <w:rPr>
          <w:rFonts w:ascii="Cambria" w:eastAsia="Times New Roman" w:hAnsi="Cambria" w:cs="Times New Roman"/>
          <w:color w:val="000000"/>
          <w:sz w:val="20"/>
          <w:szCs w:val="20"/>
        </w:rPr>
        <w:t xml:space="preserve"> no CPC afectada</w:t>
      </w:r>
      <w:r w:rsidR="00BD4528" w:rsidRPr="005C06AB">
        <w:rPr>
          <w:rFonts w:ascii="Cambria" w:eastAsia="Times New Roman" w:hAnsi="Cambria" w:cs="Times New Roman"/>
          <w:color w:val="000000"/>
          <w:sz w:val="20"/>
          <w:szCs w:val="20"/>
        </w:rPr>
        <w:t>s</w:t>
      </w:r>
      <w:r w:rsidRPr="005C06AB">
        <w:rPr>
          <w:rFonts w:ascii="Cambria" w:eastAsia="Times New Roman" w:hAnsi="Cambria" w:cs="Times New Roman"/>
          <w:color w:val="000000"/>
          <w:sz w:val="20"/>
          <w:szCs w:val="20"/>
        </w:rPr>
        <w:t xml:space="preserve"> investiguen las supuestas actividades IUU y/o realicen un seguimiento de los buques.</w:t>
      </w:r>
    </w:p>
    <w:p w14:paraId="5C95CFA9" w14:textId="77777777" w:rsidR="00CC7611" w:rsidRPr="005C06AB" w:rsidRDefault="00CC7611"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p>
    <w:p w14:paraId="596654A2" w14:textId="046EDB0D" w:rsidR="00CC7611" w:rsidRPr="005C06AB" w:rsidRDefault="00CC7611" w:rsidP="00CC7611">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Tras recibir la notificación de la Secretaría, la CPC del pabellón </w:t>
      </w:r>
      <w:r w:rsidR="00256E41" w:rsidRPr="005C06AB">
        <w:rPr>
          <w:rFonts w:ascii="Cambria" w:eastAsia="Times New Roman" w:hAnsi="Cambria" w:cs="Times New Roman"/>
          <w:color w:val="000000"/>
          <w:sz w:val="20"/>
          <w:szCs w:val="20"/>
        </w:rPr>
        <w:t>llevará a cabo</w:t>
      </w:r>
      <w:r w:rsidRPr="005C06AB">
        <w:rPr>
          <w:rFonts w:ascii="Cambria" w:eastAsia="Times New Roman" w:hAnsi="Cambria" w:cs="Times New Roman"/>
          <w:color w:val="000000"/>
          <w:sz w:val="20"/>
          <w:szCs w:val="20"/>
        </w:rPr>
        <w:t>, en un plazo de 60 días, una investigación y presentar</w:t>
      </w:r>
      <w:r w:rsidR="00256E41" w:rsidRPr="005C06AB">
        <w:rPr>
          <w:rFonts w:ascii="Cambria" w:eastAsia="Times New Roman" w:hAnsi="Cambria" w:cs="Times New Roman"/>
          <w:color w:val="000000"/>
          <w:sz w:val="20"/>
          <w:szCs w:val="20"/>
        </w:rPr>
        <w:t>á</w:t>
      </w:r>
      <w:r w:rsidRPr="005C06AB">
        <w:rPr>
          <w:rFonts w:ascii="Cambria" w:eastAsia="Times New Roman" w:hAnsi="Cambria" w:cs="Times New Roman"/>
          <w:color w:val="000000"/>
          <w:sz w:val="20"/>
          <w:szCs w:val="20"/>
        </w:rPr>
        <w:t xml:space="preserve"> el informe o el avance de la investigación a la Secretaría, que lo distribuirá inmediatamente a todas las CPC.</w:t>
      </w:r>
      <w:r w:rsidR="002E5C38" w:rsidRPr="005C06AB">
        <w:rPr>
          <w:rFonts w:ascii="Cambria" w:eastAsia="Times New Roman" w:hAnsi="Cambria" w:cs="Times New Roman"/>
          <w:color w:val="000000"/>
          <w:sz w:val="20"/>
          <w:szCs w:val="20"/>
        </w:rPr>
        <w:t xml:space="preserve"> Para los casos difundidos por la Secretaría que impliquen actividades presuntamente realizadas en alta mar en la zona del Convenio de ICCAT, ninguna </w:t>
      </w:r>
      <w:r w:rsidRPr="005C06AB">
        <w:rPr>
          <w:rFonts w:ascii="Cambria" w:eastAsia="Times New Roman" w:hAnsi="Cambria" w:cs="Times New Roman"/>
          <w:color w:val="000000"/>
          <w:sz w:val="20"/>
          <w:szCs w:val="20"/>
        </w:rPr>
        <w:t xml:space="preserve"> CPC tomará unilateralmente una determinación de pesca IUU </w:t>
      </w:r>
      <w:r w:rsidR="002E5C38" w:rsidRPr="005C06AB">
        <w:rPr>
          <w:rFonts w:ascii="Cambria" w:eastAsia="Times New Roman" w:hAnsi="Cambria" w:cs="Times New Roman"/>
          <w:color w:val="000000"/>
          <w:sz w:val="20"/>
          <w:szCs w:val="20"/>
        </w:rPr>
        <w:t xml:space="preserve">sobre la base de la iniciación de un proceso de inclusión en la lista de conformidad con este párrafo, </w:t>
      </w:r>
      <w:r w:rsidRPr="005C06AB">
        <w:rPr>
          <w:rFonts w:ascii="Cambria" w:eastAsia="Times New Roman" w:hAnsi="Cambria" w:cs="Times New Roman"/>
          <w:color w:val="000000"/>
          <w:sz w:val="20"/>
          <w:szCs w:val="20"/>
        </w:rPr>
        <w:t>hasta que la Comisión haya revisado</w:t>
      </w:r>
      <w:r w:rsidR="002E5C38" w:rsidRPr="005C06AB">
        <w:rPr>
          <w:rFonts w:ascii="Cambria" w:eastAsia="Times New Roman" w:hAnsi="Cambria" w:cs="Times New Roman"/>
          <w:color w:val="000000"/>
          <w:sz w:val="20"/>
          <w:szCs w:val="20"/>
        </w:rPr>
        <w:t xml:space="preserve"> el informe de investigación o de los progresos, si está disponible, así como cualquier otra información mencionada en los párrafos 2, 3, 4 y 5</w:t>
      </w:r>
      <w:r w:rsidR="00256E41" w:rsidRPr="005C06AB">
        <w:rPr>
          <w:rFonts w:ascii="Cambria" w:eastAsia="Times New Roman" w:hAnsi="Cambria" w:cs="Times New Roman"/>
          <w:color w:val="000000"/>
          <w:sz w:val="20"/>
          <w:szCs w:val="20"/>
        </w:rPr>
        <w:t>,</w:t>
      </w:r>
      <w:r w:rsidRPr="005C06AB">
        <w:rPr>
          <w:rFonts w:ascii="Cambria" w:eastAsia="Times New Roman" w:hAnsi="Cambria" w:cs="Times New Roman"/>
          <w:color w:val="000000"/>
          <w:sz w:val="20"/>
          <w:szCs w:val="20"/>
        </w:rPr>
        <w:t xml:space="preserve"> y determinado si el buque ha estado realizando o no pesca IUU de conformidad con esta Recomendación.</w:t>
      </w:r>
      <w:r w:rsidR="002E5C38" w:rsidRPr="005C06AB">
        <w:rPr>
          <w:rFonts w:ascii="Cambria" w:eastAsia="Times New Roman" w:hAnsi="Cambria" w:cs="Times New Roman"/>
          <w:color w:val="000000"/>
          <w:sz w:val="20"/>
          <w:szCs w:val="20"/>
        </w:rPr>
        <w:t xml:space="preserve"> Este párrafo no afectará a los derechos y obligaciones de las CPC de emprender medidas con respecto a las actividades de pesca IUU de conformidad con la </w:t>
      </w:r>
      <w:r w:rsidR="002C3C7E" w:rsidRPr="005C06AB">
        <w:rPr>
          <w:rFonts w:ascii="Cambria" w:eastAsia="Times New Roman" w:hAnsi="Cambria" w:cs="Times New Roman"/>
          <w:color w:val="000000"/>
          <w:sz w:val="20"/>
          <w:szCs w:val="20"/>
        </w:rPr>
        <w:t>legislación</w:t>
      </w:r>
      <w:r w:rsidR="002E5C38" w:rsidRPr="005C06AB">
        <w:rPr>
          <w:rFonts w:ascii="Cambria" w:eastAsia="Times New Roman" w:hAnsi="Cambria" w:cs="Times New Roman"/>
          <w:color w:val="000000"/>
          <w:sz w:val="20"/>
          <w:szCs w:val="20"/>
        </w:rPr>
        <w:t xml:space="preserve"> interna </w:t>
      </w:r>
      <w:r w:rsidR="00EC279E" w:rsidRPr="005C06AB">
        <w:rPr>
          <w:rFonts w:ascii="Cambria" w:eastAsia="Times New Roman" w:hAnsi="Cambria" w:cs="Times New Roman"/>
          <w:color w:val="000000"/>
          <w:sz w:val="20"/>
          <w:szCs w:val="20"/>
        </w:rPr>
        <w:t xml:space="preserve">e </w:t>
      </w:r>
      <w:r w:rsidR="002E5C38" w:rsidRPr="005C06AB">
        <w:rPr>
          <w:rFonts w:ascii="Cambria" w:eastAsia="Times New Roman" w:hAnsi="Cambria" w:cs="Times New Roman"/>
          <w:color w:val="000000"/>
          <w:sz w:val="20"/>
          <w:szCs w:val="20"/>
        </w:rPr>
        <w:t>internacional.</w:t>
      </w:r>
    </w:p>
    <w:p w14:paraId="61F48E5C" w14:textId="77777777" w:rsidR="00CC7611" w:rsidRPr="005C06AB" w:rsidRDefault="00CC7611"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p>
    <w:p w14:paraId="18573853" w14:textId="6394795B" w:rsidR="009A4AC7" w:rsidRPr="005C06AB" w:rsidRDefault="009A4AC7" w:rsidP="009A4AC7">
      <w:pPr>
        <w:widowControl w:val="0"/>
        <w:pBdr>
          <w:top w:val="nil"/>
          <w:left w:val="nil"/>
          <w:bottom w:val="nil"/>
          <w:right w:val="nil"/>
          <w:between w:val="nil"/>
        </w:pBdr>
        <w:spacing w:after="0" w:line="240" w:lineRule="auto"/>
        <w:ind w:left="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El </w:t>
      </w:r>
      <w:r w:rsidR="00212E54"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 xml:space="preserve">pedirá al Estado del pabellón que informe al armador del buque </w:t>
      </w:r>
      <w:r w:rsidR="00295CB3" w:rsidRPr="005C06AB">
        <w:rPr>
          <w:rFonts w:ascii="Cambria" w:eastAsia="Times New Roman" w:hAnsi="Cambria" w:cs="Times New Roman"/>
          <w:color w:val="000000"/>
          <w:sz w:val="20"/>
          <w:szCs w:val="20"/>
        </w:rPr>
        <w:t>d</w:t>
      </w:r>
      <w:r w:rsidRPr="005C06AB">
        <w:rPr>
          <w:rFonts w:ascii="Cambria" w:eastAsia="Times New Roman" w:hAnsi="Cambria" w:cs="Times New Roman"/>
          <w:color w:val="000000"/>
          <w:sz w:val="20"/>
          <w:szCs w:val="20"/>
        </w:rPr>
        <w:t xml:space="preserve">el envío de la CPC del buque para su inclusión en el proyecto de lista IUU y de las consecuencias que podrían derivarse si es incluido en la lista final de buques IUU adoptada por la Comisión.  </w:t>
      </w:r>
    </w:p>
    <w:p w14:paraId="65188A2A"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9794811" w14:textId="77777777"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t>Elaboración del proyecto de lista IUU</w:t>
      </w:r>
    </w:p>
    <w:p w14:paraId="3CCEBA13"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61C53528" w14:textId="6451433B"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Sobre la base de la información recibida con arreglo al párrafo 2, el</w:t>
      </w:r>
      <w:r w:rsidR="00212E54" w:rsidRPr="005C06AB">
        <w:rPr>
          <w:rFonts w:ascii="Cambria" w:eastAsia="Times New Roman" w:hAnsi="Cambria" w:cs="Times New Roman"/>
          <w:color w:val="000000"/>
          <w:sz w:val="20"/>
          <w:szCs w:val="20"/>
        </w:rPr>
        <w:t xml:space="preserve"> secretario ejecutivo </w:t>
      </w:r>
      <w:r w:rsidRPr="005C06AB">
        <w:rPr>
          <w:rFonts w:ascii="Cambria" w:eastAsia="Times New Roman" w:hAnsi="Cambria" w:cs="Times New Roman"/>
          <w:color w:val="000000"/>
          <w:sz w:val="20"/>
          <w:szCs w:val="20"/>
        </w:rPr>
        <w:t xml:space="preserve">de ICCAT elaborará un proyecto de lista IUU de conformidad con el </w:t>
      </w:r>
      <w:r w:rsidRPr="005C06AB">
        <w:rPr>
          <w:rFonts w:ascii="Cambria" w:eastAsia="Times New Roman" w:hAnsi="Cambria" w:cs="Times New Roman"/>
          <w:b/>
          <w:color w:val="000000"/>
          <w:sz w:val="20"/>
          <w:szCs w:val="20"/>
        </w:rPr>
        <w:t>Adenda 2</w:t>
      </w:r>
      <w:r w:rsidRPr="005C06AB">
        <w:rPr>
          <w:rFonts w:ascii="Cambria" w:eastAsia="Times New Roman" w:hAnsi="Cambria" w:cs="Times New Roman"/>
          <w:color w:val="000000"/>
          <w:sz w:val="20"/>
          <w:szCs w:val="20"/>
        </w:rPr>
        <w:t xml:space="preserve">. El </w:t>
      </w:r>
      <w:r w:rsidR="00212E54" w:rsidRPr="005C06AB">
        <w:rPr>
          <w:rFonts w:ascii="Cambria" w:eastAsia="Times New Roman" w:hAnsi="Cambria" w:cs="Times New Roman"/>
          <w:color w:val="000000"/>
          <w:sz w:val="20"/>
          <w:szCs w:val="20"/>
        </w:rPr>
        <w:t>secretario ejecutivo</w:t>
      </w:r>
      <w:r w:rsidR="00295CB3" w:rsidRPr="005C06AB">
        <w:rPr>
          <w:rFonts w:ascii="Cambria" w:eastAsia="Times New Roman" w:hAnsi="Cambria" w:cs="Times New Roman"/>
          <w:color w:val="000000"/>
          <w:sz w:val="20"/>
          <w:szCs w:val="20"/>
        </w:rPr>
        <w:t xml:space="preserve"> de ICCAT</w:t>
      </w:r>
      <w:r w:rsidR="00212E54" w:rsidRPr="005C06AB">
        <w:rPr>
          <w:rFonts w:ascii="Cambria" w:eastAsia="Times New Roman" w:hAnsi="Cambria" w:cs="Times New Roman"/>
          <w:color w:val="000000"/>
          <w:sz w:val="20"/>
          <w:szCs w:val="20"/>
        </w:rPr>
        <w:t xml:space="preserve"> </w:t>
      </w:r>
      <w:r w:rsidRPr="005C06AB">
        <w:rPr>
          <w:rFonts w:ascii="Cambria" w:eastAsia="Times New Roman" w:hAnsi="Cambria" w:cs="Times New Roman"/>
          <w:color w:val="000000"/>
          <w:sz w:val="20"/>
          <w:szCs w:val="20"/>
        </w:rPr>
        <w:t>transmitirá este proyecto de lista IUU junto con toda la información proporcionada, a todas las CPC, así como a las no CPC cuyos buques estén incluidos en dichas listas, al menos 55 días antes de la reunión anual. Las CPC y las no CPC transmitirán cualquier comentario, incluyendo cualquier prueba que demuestre que sus buques incluidos en las listas no han participado en ninguna de las actividades descritas en el párrafo 1 o cualquier acción adoptada para abordar dichas actividades, al menos 30 días antes de la reunión anual de ICCAT.</w:t>
      </w:r>
    </w:p>
    <w:p w14:paraId="65951998"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39E0190B" w14:textId="77777777" w:rsidR="00AD209F" w:rsidRPr="005C06AB" w:rsidRDefault="00AD209F">
      <w:pP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br w:type="page"/>
      </w:r>
    </w:p>
    <w:p w14:paraId="2403C2CC" w14:textId="5B968E5B" w:rsidR="009A4AC7" w:rsidRPr="005C06AB" w:rsidRDefault="009A4AC7" w:rsidP="009A4AC7">
      <w:pPr>
        <w:widowControl w:val="0"/>
        <w:pBdr>
          <w:top w:val="nil"/>
          <w:left w:val="nil"/>
          <w:bottom w:val="nil"/>
          <w:right w:val="nil"/>
          <w:between w:val="nil"/>
        </w:pBdr>
        <w:spacing w:after="0" w:line="240" w:lineRule="auto"/>
        <w:ind w:left="425"/>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lastRenderedPageBreak/>
        <w:t>Al recibir el proyecto de lista IUU, las CPC realizarán un seguimiento exhaustivo de los buques incluidos en dicha lista y enviarán sin demora a la Secretaría cualquier información de que dispongan relacionada con las actividades de los buques y posibles cambios de nombre, de pabellón, indicativo de radio y/o armador registrado.</w:t>
      </w:r>
    </w:p>
    <w:p w14:paraId="1E8C0088" w14:textId="77777777" w:rsidR="00EC6E3C" w:rsidRPr="005C06AB" w:rsidRDefault="00EC6E3C"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p>
    <w:p w14:paraId="351AE311" w14:textId="77E4C5FA"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t>Elaboración y adopción de la lista IUU final</w:t>
      </w:r>
    </w:p>
    <w:p w14:paraId="6385C45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1DCAFEAD" w14:textId="7204DB2B"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Dos semanas antes de la reunión anual de ICCAT, el</w:t>
      </w:r>
      <w:r w:rsidR="00212E54" w:rsidRPr="005C06AB">
        <w:rPr>
          <w:rFonts w:ascii="Cambria" w:eastAsia="Times New Roman" w:hAnsi="Cambria" w:cs="Times New Roman"/>
          <w:color w:val="000000"/>
          <w:sz w:val="20"/>
          <w:szCs w:val="20"/>
        </w:rPr>
        <w:t xml:space="preserve"> secretario ejecutivo </w:t>
      </w:r>
      <w:r w:rsidRPr="005C06AB">
        <w:rPr>
          <w:rFonts w:ascii="Cambria" w:eastAsia="Times New Roman" w:hAnsi="Cambria" w:cs="Times New Roman"/>
          <w:color w:val="000000"/>
          <w:sz w:val="20"/>
          <w:szCs w:val="20"/>
        </w:rPr>
        <w:t xml:space="preserve">volverá a circular a las CPC y a las no CPC afectadas el proyecto de lista IUU, toda la información recibida con arreglo a los párrafos 2 y 3 y cualquier otra información obtenida por el </w:t>
      </w:r>
      <w:r w:rsidR="00212E54" w:rsidRPr="005C06AB">
        <w:rPr>
          <w:rFonts w:ascii="Cambria" w:eastAsia="Times New Roman" w:hAnsi="Cambria" w:cs="Times New Roman"/>
          <w:color w:val="000000"/>
          <w:sz w:val="20"/>
          <w:szCs w:val="20"/>
        </w:rPr>
        <w:t>secretario ejecutivo.</w:t>
      </w:r>
    </w:p>
    <w:p w14:paraId="0F98F2FD" w14:textId="1C446CAB"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3A559291" w14:textId="007B0A00"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Las CPC pueden presentar en cualquier momento </w:t>
      </w:r>
      <w:r w:rsidR="00E164EA" w:rsidRPr="005C06AB">
        <w:rPr>
          <w:rFonts w:ascii="Cambria" w:eastAsia="Times New Roman" w:hAnsi="Cambria" w:cs="Times New Roman"/>
          <w:color w:val="000000"/>
          <w:sz w:val="20"/>
          <w:szCs w:val="20"/>
        </w:rPr>
        <w:t>al secretario ejecutivo,</w:t>
      </w:r>
      <w:r w:rsidRPr="005C06AB">
        <w:rPr>
          <w:rFonts w:ascii="Cambria" w:eastAsia="Times New Roman" w:hAnsi="Cambria" w:cs="Times New Roman"/>
          <w:color w:val="000000"/>
          <w:sz w:val="20"/>
          <w:szCs w:val="20"/>
        </w:rPr>
        <w:t xml:space="preserve"> y preferiblemente antes de la reunión anual, cualquier información adicional que pueda ser relevante para el establecimiento de la lista final de buques IUU de ICCAT. El </w:t>
      </w:r>
      <w:r w:rsidR="00E164EA"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de ICCAT circulará sin demora dicha información adicional a todas las CPC y no CPC afectadas.</w:t>
      </w:r>
    </w:p>
    <w:p w14:paraId="7FE485A3"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CE7AA8F" w14:textId="77777777"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El Grupo de trabajo permanente para la mejora de las estadísticas de ICCAT y de sus medidas de conservación (GTP) examinará, cada año, el proyecto de lista IUU, así como la información mencionada en los párrafos 2, 3, 4 y 5.  Los resultados de ese examen pueden remitirse al Comité de Cumplimiento de las medidas de conservación y ordenación de ICCAT si se estima necesario.</w:t>
      </w:r>
    </w:p>
    <w:p w14:paraId="5E8722F6"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15530AE" w14:textId="77777777" w:rsidR="009A4AC7" w:rsidRPr="005C06AB" w:rsidRDefault="009A4AC7" w:rsidP="009A4AC7">
      <w:pPr>
        <w:widowControl w:val="0"/>
        <w:pBdr>
          <w:top w:val="nil"/>
          <w:left w:val="nil"/>
          <w:bottom w:val="nil"/>
          <w:right w:val="nil"/>
          <w:between w:val="nil"/>
        </w:pBdr>
        <w:tabs>
          <w:tab w:val="left" w:pos="426"/>
        </w:tabs>
        <w:spacing w:after="0" w:line="240" w:lineRule="auto"/>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ab/>
        <w:t xml:space="preserve">El GTP propondrá eliminar a un buque del proyecto de lista IUU si se determina lo siguiente: </w:t>
      </w:r>
    </w:p>
    <w:p w14:paraId="3C39399C" w14:textId="77777777" w:rsidR="009A4AC7" w:rsidRPr="005C06AB" w:rsidRDefault="009A4AC7" w:rsidP="009A4AC7">
      <w:pPr>
        <w:widowControl w:val="0"/>
        <w:pBdr>
          <w:top w:val="nil"/>
          <w:left w:val="nil"/>
          <w:bottom w:val="nil"/>
          <w:right w:val="nil"/>
          <w:between w:val="nil"/>
        </w:pBdr>
        <w:tabs>
          <w:tab w:val="left" w:pos="426"/>
        </w:tabs>
        <w:spacing w:after="0" w:line="240" w:lineRule="auto"/>
        <w:jc w:val="both"/>
        <w:rPr>
          <w:rFonts w:ascii="Cambria" w:eastAsia="Times New Roman" w:hAnsi="Cambria" w:cs="Times New Roman"/>
          <w:color w:val="000000"/>
          <w:sz w:val="20"/>
          <w:szCs w:val="20"/>
        </w:rPr>
      </w:pPr>
    </w:p>
    <w:p w14:paraId="7A63EA90" w14:textId="0AB7B9C3" w:rsidR="009A4AC7" w:rsidRPr="005C06AB" w:rsidRDefault="00285A7F" w:rsidP="009A4AC7">
      <w:pPr>
        <w:widowControl w:val="0"/>
        <w:numPr>
          <w:ilvl w:val="1"/>
          <w:numId w:val="7"/>
        </w:numPr>
        <w:pBdr>
          <w:top w:val="nil"/>
          <w:left w:val="nil"/>
          <w:bottom w:val="nil"/>
          <w:right w:val="nil"/>
          <w:between w:val="nil"/>
        </w:pBdr>
        <w:tabs>
          <w:tab w:val="left" w:pos="827"/>
          <w:tab w:val="left" w:pos="828"/>
        </w:tabs>
        <w:spacing w:after="200" w:line="276" w:lineRule="auto"/>
        <w:contextualSpacing/>
        <w:jc w:val="both"/>
        <w:rPr>
          <w:rFonts w:ascii="Cambria" w:eastAsia="Times New Roman" w:hAnsi="Cambria" w:cs="Arial"/>
          <w:color w:val="000000"/>
          <w:sz w:val="20"/>
          <w:szCs w:val="20"/>
        </w:rPr>
      </w:pPr>
      <w:r w:rsidRPr="005C06AB">
        <w:rPr>
          <w:rFonts w:ascii="Cambria" w:eastAsia="Times New Roman" w:hAnsi="Cambria" w:cs="Arial"/>
          <w:color w:val="000000"/>
          <w:sz w:val="20"/>
          <w:szCs w:val="20"/>
        </w:rPr>
        <w:t>e</w:t>
      </w:r>
      <w:r w:rsidR="009A4AC7" w:rsidRPr="005C06AB">
        <w:rPr>
          <w:rFonts w:ascii="Cambria" w:eastAsia="Times New Roman" w:hAnsi="Cambria" w:cs="Arial"/>
          <w:color w:val="000000"/>
          <w:sz w:val="20"/>
          <w:szCs w:val="20"/>
        </w:rPr>
        <w:t>l buque no ha participado en ninguna de las actividades de pesca IUU descritas en el párrafo 1, o</w:t>
      </w:r>
    </w:p>
    <w:p w14:paraId="26B9C208" w14:textId="77777777" w:rsidR="00AD209F" w:rsidRPr="005C06AB" w:rsidRDefault="00AD209F" w:rsidP="00AD209F">
      <w:pPr>
        <w:widowControl w:val="0"/>
        <w:pBdr>
          <w:top w:val="nil"/>
          <w:left w:val="nil"/>
          <w:bottom w:val="nil"/>
          <w:right w:val="nil"/>
          <w:between w:val="nil"/>
        </w:pBdr>
        <w:tabs>
          <w:tab w:val="left" w:pos="827"/>
          <w:tab w:val="left" w:pos="828"/>
        </w:tabs>
        <w:spacing w:after="200" w:line="276" w:lineRule="auto"/>
        <w:ind w:left="838"/>
        <w:contextualSpacing/>
        <w:jc w:val="both"/>
        <w:rPr>
          <w:rFonts w:ascii="Cambria" w:eastAsia="Times New Roman" w:hAnsi="Cambria" w:cs="Arial"/>
          <w:color w:val="000000"/>
          <w:sz w:val="20"/>
          <w:szCs w:val="20"/>
        </w:rPr>
      </w:pPr>
    </w:p>
    <w:p w14:paraId="662A9A42" w14:textId="77777777" w:rsidR="009A4AC7" w:rsidRPr="005C06AB" w:rsidRDefault="009A4AC7" w:rsidP="009A4AC7">
      <w:pPr>
        <w:widowControl w:val="0"/>
        <w:pBdr>
          <w:top w:val="nil"/>
          <w:left w:val="nil"/>
          <w:bottom w:val="nil"/>
          <w:right w:val="nil"/>
          <w:between w:val="nil"/>
        </w:pBdr>
        <w:tabs>
          <w:tab w:val="left" w:pos="828"/>
        </w:tabs>
        <w:spacing w:after="0" w:line="240" w:lineRule="auto"/>
        <w:ind w:left="822" w:hanging="39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 b)</w:t>
      </w:r>
    </w:p>
    <w:p w14:paraId="0B6CD13D" w14:textId="66C2BDD2" w:rsidR="009A4AC7" w:rsidRPr="005C06AB" w:rsidRDefault="009A4AC7" w:rsidP="00AD209F">
      <w:pPr>
        <w:widowControl w:val="0"/>
        <w:pBdr>
          <w:top w:val="nil"/>
          <w:left w:val="nil"/>
          <w:bottom w:val="nil"/>
          <w:right w:val="nil"/>
          <w:between w:val="nil"/>
        </w:pBdr>
        <w:tabs>
          <w:tab w:val="left" w:pos="828"/>
        </w:tabs>
        <w:spacing w:after="0" w:line="240" w:lineRule="auto"/>
        <w:ind w:left="1134" w:right="112" w:hanging="425"/>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i) </w:t>
      </w:r>
      <w:r w:rsidRPr="005C06AB">
        <w:rPr>
          <w:rFonts w:ascii="Cambria" w:eastAsia="Times New Roman" w:hAnsi="Cambria" w:cs="Times New Roman"/>
          <w:color w:val="000000"/>
          <w:sz w:val="20"/>
          <w:szCs w:val="20"/>
        </w:rPr>
        <w:tab/>
      </w:r>
      <w:r w:rsidR="00285A7F" w:rsidRPr="005C06AB">
        <w:rPr>
          <w:rFonts w:ascii="Cambria" w:eastAsia="Times New Roman" w:hAnsi="Cambria" w:cs="Times New Roman"/>
          <w:color w:val="000000"/>
          <w:sz w:val="20"/>
          <w:szCs w:val="20"/>
        </w:rPr>
        <w:t>l</w:t>
      </w:r>
      <w:r w:rsidRPr="005C06AB">
        <w:rPr>
          <w:rFonts w:ascii="Cambria" w:eastAsia="Times New Roman" w:hAnsi="Cambria" w:cs="Times New Roman"/>
          <w:color w:val="000000"/>
          <w:sz w:val="20"/>
          <w:szCs w:val="20"/>
        </w:rPr>
        <w:t>a CPC o no CPC del pabellón ha adoptado medidas para que este buque respete las medidas de conservación de ICCAT;</w:t>
      </w:r>
    </w:p>
    <w:p w14:paraId="68A3BCEB" w14:textId="5BAA0430" w:rsidR="009A4AC7" w:rsidRPr="005C06AB" w:rsidRDefault="009A4AC7" w:rsidP="00AD209F">
      <w:pPr>
        <w:widowControl w:val="0"/>
        <w:pBdr>
          <w:top w:val="nil"/>
          <w:left w:val="nil"/>
          <w:bottom w:val="nil"/>
          <w:right w:val="nil"/>
          <w:between w:val="nil"/>
        </w:pBdr>
        <w:tabs>
          <w:tab w:val="left" w:pos="828"/>
        </w:tabs>
        <w:spacing w:after="0" w:line="240" w:lineRule="auto"/>
        <w:ind w:left="1134" w:right="112" w:hanging="425"/>
        <w:contextualSpacing/>
        <w:jc w:val="both"/>
        <w:rPr>
          <w:rFonts w:ascii="Cambria" w:eastAsia="Times New Roman" w:hAnsi="Cambria" w:cs="Times New Roman"/>
          <w:color w:val="000000"/>
          <w:sz w:val="20"/>
          <w:szCs w:val="20"/>
        </w:rPr>
      </w:pPr>
      <w:proofErr w:type="spellStart"/>
      <w:r w:rsidRPr="005C06AB">
        <w:rPr>
          <w:rFonts w:ascii="Cambria" w:eastAsia="Times New Roman" w:hAnsi="Cambria" w:cs="Times New Roman"/>
          <w:color w:val="000000"/>
          <w:sz w:val="20"/>
          <w:szCs w:val="20"/>
        </w:rPr>
        <w:t>ii</w:t>
      </w:r>
      <w:proofErr w:type="spellEnd"/>
      <w:r w:rsidRPr="005C06AB">
        <w:rPr>
          <w:rFonts w:ascii="Cambria" w:eastAsia="Times New Roman" w:hAnsi="Cambria" w:cs="Times New Roman"/>
          <w:color w:val="000000"/>
          <w:sz w:val="20"/>
          <w:szCs w:val="20"/>
        </w:rPr>
        <w:t>)</w:t>
      </w:r>
      <w:r w:rsidRPr="005C06AB">
        <w:rPr>
          <w:rFonts w:ascii="Cambria" w:eastAsia="Times New Roman" w:hAnsi="Cambria" w:cs="Times New Roman"/>
          <w:color w:val="000000"/>
          <w:sz w:val="20"/>
          <w:szCs w:val="20"/>
        </w:rPr>
        <w:tab/>
      </w:r>
      <w:r w:rsidR="00285A7F" w:rsidRPr="005C06AB">
        <w:rPr>
          <w:rFonts w:ascii="Cambria" w:eastAsia="Times New Roman" w:hAnsi="Cambria" w:cs="Times New Roman"/>
          <w:color w:val="000000"/>
          <w:sz w:val="20"/>
          <w:szCs w:val="20"/>
        </w:rPr>
        <w:t>l</w:t>
      </w:r>
      <w:r w:rsidRPr="005C06AB">
        <w:rPr>
          <w:rFonts w:ascii="Cambria" w:eastAsia="Times New Roman" w:hAnsi="Cambria" w:cs="Times New Roman"/>
          <w:color w:val="000000"/>
          <w:sz w:val="20"/>
          <w:szCs w:val="20"/>
        </w:rPr>
        <w:t>a CPC o no CPC del pabellón ha asumido y continuará asumiendo sus responsabilidades de manera efectiva respecto a dicho buque, en particular con relación al seguimiento y control de las actividades pesqueras ejercidas por el buque en la zona del Convenio</w:t>
      </w:r>
      <w:r w:rsidR="00285A7F" w:rsidRPr="005C06AB">
        <w:rPr>
          <w:rFonts w:ascii="Cambria" w:eastAsia="Times New Roman" w:hAnsi="Cambria" w:cs="Times New Roman"/>
          <w:color w:val="000000"/>
          <w:sz w:val="20"/>
          <w:szCs w:val="20"/>
        </w:rPr>
        <w:t xml:space="preserve"> de</w:t>
      </w:r>
      <w:r w:rsidRPr="005C06AB">
        <w:rPr>
          <w:rFonts w:ascii="Cambria" w:eastAsia="Times New Roman" w:hAnsi="Cambria" w:cs="Times New Roman"/>
          <w:color w:val="000000"/>
          <w:sz w:val="20"/>
          <w:szCs w:val="20"/>
        </w:rPr>
        <w:t xml:space="preserve"> ICCAT y</w:t>
      </w:r>
    </w:p>
    <w:p w14:paraId="6C936034" w14:textId="34FE454C" w:rsidR="009A4AC7" w:rsidRPr="005C06AB" w:rsidRDefault="009A4AC7" w:rsidP="00AD209F">
      <w:pPr>
        <w:widowControl w:val="0"/>
        <w:pBdr>
          <w:top w:val="nil"/>
          <w:left w:val="nil"/>
          <w:bottom w:val="nil"/>
          <w:right w:val="nil"/>
          <w:between w:val="nil"/>
        </w:pBdr>
        <w:tabs>
          <w:tab w:val="left" w:pos="828"/>
        </w:tabs>
        <w:spacing w:after="0" w:line="240" w:lineRule="auto"/>
        <w:ind w:left="1134" w:right="112" w:hanging="425"/>
        <w:contextualSpacing/>
        <w:jc w:val="both"/>
        <w:rPr>
          <w:rFonts w:ascii="Cambria" w:eastAsia="Times New Roman" w:hAnsi="Cambria" w:cs="Times New Roman"/>
          <w:color w:val="000000"/>
          <w:sz w:val="20"/>
          <w:szCs w:val="20"/>
        </w:rPr>
      </w:pPr>
      <w:proofErr w:type="spellStart"/>
      <w:r w:rsidRPr="005C06AB">
        <w:rPr>
          <w:rFonts w:ascii="Cambria" w:eastAsia="Times New Roman" w:hAnsi="Cambria" w:cs="Times New Roman"/>
          <w:color w:val="000000"/>
          <w:sz w:val="20"/>
          <w:szCs w:val="20"/>
        </w:rPr>
        <w:t>iii</w:t>
      </w:r>
      <w:proofErr w:type="spellEnd"/>
      <w:r w:rsidRPr="005C06AB">
        <w:rPr>
          <w:rFonts w:ascii="Cambria" w:eastAsia="Times New Roman" w:hAnsi="Cambria" w:cs="Times New Roman"/>
          <w:color w:val="000000"/>
          <w:sz w:val="20"/>
          <w:szCs w:val="20"/>
        </w:rPr>
        <w:t xml:space="preserve">) </w:t>
      </w:r>
      <w:r w:rsidRPr="005C06AB">
        <w:rPr>
          <w:rFonts w:ascii="Cambria" w:eastAsia="Times New Roman" w:hAnsi="Cambria" w:cs="Times New Roman"/>
          <w:color w:val="000000"/>
          <w:sz w:val="20"/>
          <w:szCs w:val="20"/>
        </w:rPr>
        <w:tab/>
      </w:r>
      <w:r w:rsidR="00C35086" w:rsidRPr="005C06AB">
        <w:rPr>
          <w:rFonts w:ascii="Cambria" w:eastAsia="Times New Roman" w:hAnsi="Cambria" w:cs="Times New Roman"/>
          <w:color w:val="000000"/>
          <w:sz w:val="20"/>
          <w:szCs w:val="20"/>
        </w:rPr>
        <w:t>s</w:t>
      </w:r>
      <w:r w:rsidRPr="005C06AB">
        <w:rPr>
          <w:rFonts w:ascii="Cambria" w:eastAsia="Times New Roman" w:hAnsi="Cambria" w:cs="Times New Roman"/>
          <w:color w:val="000000"/>
          <w:sz w:val="20"/>
          <w:szCs w:val="20"/>
        </w:rPr>
        <w:t xml:space="preserve">e han emprendido acciones eficaces en respuesta a las actividades de pesca IUU en cuestión, lo que incluye, </w:t>
      </w:r>
      <w:r w:rsidRPr="005C06AB">
        <w:rPr>
          <w:rFonts w:ascii="Cambria" w:eastAsia="Times New Roman" w:hAnsi="Cambria" w:cs="Times New Roman"/>
          <w:i/>
          <w:color w:val="000000"/>
          <w:sz w:val="20"/>
          <w:szCs w:val="20"/>
        </w:rPr>
        <w:t xml:space="preserve">inter </w:t>
      </w:r>
      <w:proofErr w:type="spellStart"/>
      <w:r w:rsidRPr="005C06AB">
        <w:rPr>
          <w:rFonts w:ascii="Cambria" w:eastAsia="Times New Roman" w:hAnsi="Cambria" w:cs="Times New Roman"/>
          <w:i/>
          <w:color w:val="000000"/>
          <w:sz w:val="20"/>
          <w:szCs w:val="20"/>
        </w:rPr>
        <w:t>alia</w:t>
      </w:r>
      <w:proofErr w:type="spellEnd"/>
      <w:r w:rsidRPr="005C06AB">
        <w:rPr>
          <w:rFonts w:ascii="Cambria" w:eastAsia="Times New Roman" w:hAnsi="Cambria" w:cs="Times New Roman"/>
          <w:color w:val="000000"/>
          <w:sz w:val="20"/>
          <w:szCs w:val="20"/>
        </w:rPr>
        <w:t>, acciones judiciales y la imposición de sanciones de la severidad adecuada o</w:t>
      </w:r>
    </w:p>
    <w:p w14:paraId="6CDEAD1D" w14:textId="77777777" w:rsidR="009A4AC7" w:rsidRPr="005C06AB" w:rsidRDefault="009A4AC7" w:rsidP="009A4AC7">
      <w:pPr>
        <w:widowControl w:val="0"/>
        <w:pBdr>
          <w:top w:val="nil"/>
          <w:left w:val="nil"/>
          <w:bottom w:val="nil"/>
          <w:right w:val="nil"/>
          <w:between w:val="nil"/>
        </w:pBdr>
        <w:tabs>
          <w:tab w:val="left" w:pos="828"/>
        </w:tabs>
        <w:spacing w:after="0" w:line="240" w:lineRule="auto"/>
        <w:ind w:left="1418" w:right="112" w:hanging="567"/>
        <w:contextualSpacing/>
        <w:jc w:val="both"/>
        <w:rPr>
          <w:rFonts w:ascii="Cambria" w:eastAsia="Times New Roman" w:hAnsi="Cambria" w:cs="Times New Roman"/>
          <w:color w:val="000000"/>
          <w:sz w:val="20"/>
          <w:szCs w:val="20"/>
        </w:rPr>
      </w:pPr>
    </w:p>
    <w:p w14:paraId="35A4260D" w14:textId="0C3FAB1F" w:rsidR="009A4AC7" w:rsidRPr="005C06AB" w:rsidRDefault="009A4AC7" w:rsidP="009A4AC7">
      <w:pPr>
        <w:widowControl w:val="0"/>
        <w:pBdr>
          <w:top w:val="nil"/>
          <w:left w:val="nil"/>
          <w:bottom w:val="nil"/>
          <w:right w:val="nil"/>
          <w:between w:val="nil"/>
        </w:pBdr>
        <w:tabs>
          <w:tab w:val="left" w:pos="828"/>
        </w:tabs>
        <w:spacing w:after="0" w:line="240" w:lineRule="auto"/>
        <w:ind w:left="822" w:hanging="39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w:t>
      </w:r>
      <w:r w:rsidRPr="005C06AB">
        <w:rPr>
          <w:rFonts w:ascii="Cambria" w:eastAsia="Times New Roman" w:hAnsi="Cambria" w:cs="Times New Roman"/>
          <w:color w:val="000000"/>
          <w:sz w:val="20"/>
          <w:szCs w:val="20"/>
        </w:rPr>
        <w:tab/>
      </w:r>
      <w:r w:rsidR="00285A7F" w:rsidRPr="005C06AB">
        <w:rPr>
          <w:rFonts w:ascii="Cambria" w:eastAsia="Times New Roman" w:hAnsi="Cambria" w:cs="Times New Roman"/>
          <w:color w:val="000000"/>
          <w:sz w:val="20"/>
          <w:szCs w:val="20"/>
        </w:rPr>
        <w:t>e</w:t>
      </w:r>
      <w:r w:rsidRPr="005C06AB">
        <w:rPr>
          <w:rFonts w:ascii="Cambria" w:eastAsia="Times New Roman" w:hAnsi="Cambria" w:cs="Times New Roman"/>
          <w:color w:val="000000"/>
          <w:sz w:val="20"/>
          <w:szCs w:val="20"/>
        </w:rPr>
        <w:t>l buque ha cambiado de armador y el nuevo armador puede establecer que el antiguo armador ya no tiene ningún interés legal, financiero o real en el buque o que no ejerce control alguno sobre él y que el nuevo armador no ha participado en la pesca IUU.</w:t>
      </w:r>
    </w:p>
    <w:p w14:paraId="75548594" w14:textId="77777777" w:rsidR="009A4AC7" w:rsidRPr="005C06AB" w:rsidRDefault="009A4AC7" w:rsidP="009A4AC7">
      <w:pPr>
        <w:widowControl w:val="0"/>
        <w:pBdr>
          <w:top w:val="nil"/>
          <w:left w:val="nil"/>
          <w:bottom w:val="nil"/>
          <w:right w:val="nil"/>
          <w:between w:val="nil"/>
        </w:pBdr>
        <w:tabs>
          <w:tab w:val="left" w:pos="827"/>
          <w:tab w:val="left" w:pos="828"/>
        </w:tabs>
        <w:spacing w:after="0" w:line="240" w:lineRule="auto"/>
        <w:ind w:left="823" w:right="112"/>
        <w:rPr>
          <w:rFonts w:ascii="Cambria" w:eastAsia="Times New Roman" w:hAnsi="Cambria" w:cs="Times New Roman"/>
          <w:color w:val="000000"/>
        </w:rPr>
      </w:pPr>
    </w:p>
    <w:p w14:paraId="46957C32" w14:textId="455E16AD"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Tras el examen mencionado en el párrafo 6, en cada reunión anual de ICCAT, el GTP deberá desarrollar una propuesta de lista de buques IUU de ICCAT, indicando qué buques, si los hubiera, se proponen para eliminarlos de la lista de buques IUU de ICCAT adoptada en la reunión anual previa y las razones para ello</w:t>
      </w:r>
      <w:r w:rsidR="00285A7F" w:rsidRPr="005C06AB">
        <w:rPr>
          <w:rFonts w:ascii="Cambria" w:eastAsia="Times New Roman" w:hAnsi="Cambria" w:cs="Times New Roman"/>
          <w:color w:val="000000"/>
          <w:sz w:val="20"/>
          <w:szCs w:val="20"/>
        </w:rPr>
        <w:t>,</w:t>
      </w:r>
      <w:r w:rsidRPr="005C06AB">
        <w:rPr>
          <w:rFonts w:ascii="Cambria" w:eastAsia="Times New Roman" w:hAnsi="Cambria" w:cs="Times New Roman"/>
          <w:color w:val="000000"/>
          <w:sz w:val="20"/>
          <w:szCs w:val="20"/>
        </w:rPr>
        <w:t xml:space="preserve"> y la presentará a la Comisión para su adopción como lista de buques IUU final de ICCAT.</w:t>
      </w:r>
      <w:r w:rsidRPr="005C06AB">
        <w:rPr>
          <w:rFonts w:ascii="Cambria" w:eastAsia="Times New Roman" w:hAnsi="Cambria" w:cs="Times New Roman"/>
          <w:color w:val="000000"/>
          <w:sz w:val="20"/>
          <w:szCs w:val="20"/>
        </w:rPr>
        <w:cr/>
      </w:r>
    </w:p>
    <w:p w14:paraId="6FCA66B3" w14:textId="77777777"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t>Acciones tras la adopción de la lista IUU final</w:t>
      </w:r>
    </w:p>
    <w:p w14:paraId="42D2C761"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2B37B2E0" w14:textId="131822F8"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Tras la adopción de la lista final de buques IUU, el </w:t>
      </w:r>
      <w:r w:rsidR="00E164EA" w:rsidRPr="005C06AB">
        <w:rPr>
          <w:rFonts w:ascii="Cambria" w:eastAsia="Times New Roman" w:hAnsi="Cambria" w:cs="Times New Roman"/>
          <w:color w:val="000000"/>
          <w:sz w:val="20"/>
          <w:szCs w:val="20"/>
        </w:rPr>
        <w:t>secretario ejecutivo</w:t>
      </w:r>
      <w:r w:rsidRPr="005C06AB">
        <w:rPr>
          <w:rFonts w:ascii="Cambria" w:eastAsia="Times New Roman" w:hAnsi="Cambria" w:cs="Times New Roman"/>
          <w:color w:val="000000"/>
          <w:sz w:val="20"/>
          <w:szCs w:val="20"/>
        </w:rPr>
        <w:t xml:space="preserve"> pedirá a las CPC y no CPC cuyos buques estén incluidos en la lista final de buques IUU de ICCAT lo siguiente:</w:t>
      </w:r>
    </w:p>
    <w:p w14:paraId="12D5FEAA" w14:textId="77777777" w:rsidR="009A4AC7" w:rsidRPr="005C06AB"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color w:val="000000"/>
          <w:sz w:val="20"/>
          <w:szCs w:val="20"/>
        </w:rPr>
      </w:pPr>
    </w:p>
    <w:p w14:paraId="36977795" w14:textId="10B5C600" w:rsidR="009A4AC7" w:rsidRPr="005C06AB" w:rsidRDefault="00285A7F" w:rsidP="00AD209F">
      <w:pPr>
        <w:widowControl w:val="0"/>
        <w:numPr>
          <w:ilvl w:val="0"/>
          <w:numId w:val="10"/>
        </w:numPr>
        <w:pBdr>
          <w:top w:val="nil"/>
          <w:left w:val="nil"/>
          <w:bottom w:val="nil"/>
          <w:right w:val="nil"/>
          <w:between w:val="nil"/>
        </w:pBdr>
        <w:spacing w:after="0" w:line="240" w:lineRule="auto"/>
        <w:ind w:left="567" w:hanging="284"/>
        <w:contextualSpacing/>
        <w:jc w:val="both"/>
        <w:rPr>
          <w:rFonts w:ascii="Cambria" w:eastAsia="Times New Roman" w:hAnsi="Cambria" w:cs="Times New Roman"/>
          <w:color w:val="000000"/>
          <w:spacing w:val="-2"/>
        </w:rPr>
      </w:pPr>
      <w:r w:rsidRPr="005C06AB">
        <w:rPr>
          <w:rFonts w:ascii="Cambria" w:eastAsia="Times New Roman" w:hAnsi="Cambria" w:cs="Times New Roman"/>
          <w:color w:val="000000"/>
          <w:spacing w:val="-2"/>
          <w:sz w:val="20"/>
          <w:szCs w:val="20"/>
        </w:rPr>
        <w:t>q</w:t>
      </w:r>
      <w:r w:rsidR="009A4AC7" w:rsidRPr="005C06AB">
        <w:rPr>
          <w:rFonts w:ascii="Cambria" w:eastAsia="Times New Roman" w:hAnsi="Cambria" w:cs="Times New Roman"/>
          <w:color w:val="000000"/>
          <w:spacing w:val="-2"/>
          <w:sz w:val="20"/>
          <w:szCs w:val="20"/>
        </w:rPr>
        <w:t>ue notifiquen al armador del buque identificado en la lista de buques IUU final su inclusión en la lista y las consecuencias que resultan de ser incluido en la lista, tal y como se establece en el párrafo 9</w:t>
      </w:r>
      <w:r w:rsidR="009A4AC7" w:rsidRPr="005C06AB">
        <w:rPr>
          <w:rFonts w:ascii="Cambria" w:eastAsia="Times New Roman" w:hAnsi="Cambria" w:cs="Times New Roman"/>
          <w:color w:val="000000"/>
          <w:spacing w:val="-2"/>
        </w:rPr>
        <w:t xml:space="preserve">; </w:t>
      </w:r>
    </w:p>
    <w:p w14:paraId="6BD34EF7" w14:textId="77777777" w:rsidR="009A4AC7" w:rsidRPr="005C06AB" w:rsidRDefault="009A4AC7" w:rsidP="00AD209F">
      <w:pPr>
        <w:widowControl w:val="0"/>
        <w:pBdr>
          <w:top w:val="nil"/>
          <w:left w:val="nil"/>
          <w:bottom w:val="nil"/>
          <w:right w:val="nil"/>
          <w:between w:val="nil"/>
        </w:pBdr>
        <w:spacing w:after="0" w:line="240" w:lineRule="auto"/>
        <w:ind w:left="567"/>
        <w:contextualSpacing/>
        <w:jc w:val="both"/>
        <w:rPr>
          <w:rFonts w:ascii="Cambria" w:eastAsia="Times New Roman" w:hAnsi="Cambria" w:cs="Times New Roman"/>
          <w:color w:val="000000"/>
          <w:spacing w:val="-2"/>
        </w:rPr>
      </w:pPr>
    </w:p>
    <w:p w14:paraId="248950A5" w14:textId="5EFDA26E" w:rsidR="009A4AC7" w:rsidRPr="005C06AB" w:rsidRDefault="00285A7F" w:rsidP="00AD209F">
      <w:pPr>
        <w:widowControl w:val="0"/>
        <w:numPr>
          <w:ilvl w:val="0"/>
          <w:numId w:val="5"/>
        </w:numPr>
        <w:pBdr>
          <w:top w:val="nil"/>
          <w:left w:val="nil"/>
          <w:bottom w:val="nil"/>
          <w:right w:val="nil"/>
          <w:between w:val="nil"/>
        </w:pBdr>
        <w:tabs>
          <w:tab w:val="left" w:pos="839"/>
        </w:tabs>
        <w:spacing w:after="0" w:line="240" w:lineRule="auto"/>
        <w:ind w:left="567" w:hanging="272"/>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q</w:t>
      </w:r>
      <w:r w:rsidR="009A4AC7" w:rsidRPr="005C06AB">
        <w:rPr>
          <w:rFonts w:ascii="Cambria" w:eastAsia="Times New Roman" w:hAnsi="Cambria" w:cs="Times New Roman"/>
          <w:color w:val="000000"/>
          <w:sz w:val="20"/>
          <w:szCs w:val="20"/>
        </w:rPr>
        <w:t>ue tomen las medidas necesarias para eliminar estas actividades pesqueras IUU, lo que incluye, si fuese necesario, la supresión del registro o retirada de las licencias de pesca de estos buques, y que informen a la Comisión de las medidas adoptadas al respecto.</w:t>
      </w:r>
    </w:p>
    <w:p w14:paraId="67CA9747" w14:textId="77777777" w:rsidR="00AD209F" w:rsidRPr="005C06AB" w:rsidRDefault="00AD209F" w:rsidP="00AD209F">
      <w:pPr>
        <w:widowControl w:val="0"/>
        <w:pBdr>
          <w:top w:val="nil"/>
          <w:left w:val="nil"/>
          <w:bottom w:val="nil"/>
          <w:right w:val="nil"/>
          <w:between w:val="nil"/>
        </w:pBdr>
        <w:tabs>
          <w:tab w:val="left" w:pos="839"/>
        </w:tabs>
        <w:spacing w:after="0" w:line="240" w:lineRule="auto"/>
        <w:jc w:val="both"/>
        <w:rPr>
          <w:rFonts w:ascii="Cambria" w:eastAsia="Times New Roman" w:hAnsi="Cambria" w:cs="Times New Roman"/>
          <w:color w:val="000000"/>
          <w:sz w:val="20"/>
          <w:szCs w:val="20"/>
        </w:rPr>
      </w:pPr>
    </w:p>
    <w:p w14:paraId="28AA264F" w14:textId="77777777" w:rsidR="00AD209F" w:rsidRPr="005C06AB" w:rsidRDefault="00AD209F" w:rsidP="00AD209F">
      <w:pPr>
        <w:widowControl w:val="0"/>
        <w:pBdr>
          <w:top w:val="nil"/>
          <w:left w:val="nil"/>
          <w:bottom w:val="nil"/>
          <w:right w:val="nil"/>
          <w:between w:val="nil"/>
        </w:pBdr>
        <w:tabs>
          <w:tab w:val="left" w:pos="839"/>
        </w:tabs>
        <w:spacing w:after="0" w:line="240" w:lineRule="auto"/>
        <w:jc w:val="both"/>
        <w:rPr>
          <w:rFonts w:ascii="Cambria" w:eastAsia="Times New Roman" w:hAnsi="Cambria" w:cs="Times New Roman"/>
          <w:color w:val="000000"/>
          <w:sz w:val="20"/>
          <w:szCs w:val="20"/>
        </w:rPr>
      </w:pPr>
    </w:p>
    <w:p w14:paraId="000246C9" w14:textId="77777777" w:rsidR="00AD209F" w:rsidRPr="005C06AB" w:rsidRDefault="00AD209F" w:rsidP="00AD209F">
      <w:pPr>
        <w:widowControl w:val="0"/>
        <w:pBdr>
          <w:top w:val="nil"/>
          <w:left w:val="nil"/>
          <w:bottom w:val="nil"/>
          <w:right w:val="nil"/>
          <w:between w:val="nil"/>
        </w:pBdr>
        <w:tabs>
          <w:tab w:val="left" w:pos="839"/>
        </w:tabs>
        <w:spacing w:after="0" w:line="240" w:lineRule="auto"/>
        <w:jc w:val="both"/>
        <w:rPr>
          <w:rFonts w:ascii="Cambria" w:eastAsia="Times New Roman" w:hAnsi="Cambria" w:cs="Times New Roman"/>
          <w:color w:val="000000"/>
        </w:rPr>
      </w:pPr>
    </w:p>
    <w:p w14:paraId="42E7879C" w14:textId="77777777" w:rsidR="009A4AC7" w:rsidRPr="005C06AB"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color w:val="000000"/>
          <w:sz w:val="20"/>
          <w:szCs w:val="20"/>
        </w:rPr>
      </w:pPr>
    </w:p>
    <w:p w14:paraId="474A31F4" w14:textId="483E23FD"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Las CPC </w:t>
      </w:r>
      <w:r w:rsidR="00285A7F" w:rsidRPr="005C06AB">
        <w:rPr>
          <w:rFonts w:ascii="Cambria" w:eastAsia="Times New Roman" w:hAnsi="Cambria" w:cs="Times New Roman"/>
          <w:color w:val="000000"/>
          <w:sz w:val="20"/>
          <w:szCs w:val="20"/>
        </w:rPr>
        <w:t>tomarán</w:t>
      </w:r>
      <w:r w:rsidRPr="005C06AB">
        <w:rPr>
          <w:rFonts w:ascii="Cambria" w:eastAsia="Times New Roman" w:hAnsi="Cambria" w:cs="Times New Roman"/>
          <w:color w:val="000000"/>
          <w:sz w:val="20"/>
          <w:szCs w:val="20"/>
        </w:rPr>
        <w:t xml:space="preserve"> todas las medidas necesarias, de conformidad con su legislación aplicable, para:</w:t>
      </w:r>
    </w:p>
    <w:p w14:paraId="046B4605" w14:textId="77777777" w:rsidR="009A4AC7" w:rsidRPr="005C06AB"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color w:val="000000"/>
          <w:sz w:val="20"/>
          <w:szCs w:val="20"/>
        </w:rPr>
      </w:pPr>
    </w:p>
    <w:p w14:paraId="2269E245" w14:textId="3AA5CF80" w:rsidR="009A4AC7" w:rsidRPr="005C06AB" w:rsidRDefault="00285A7F"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g</w:t>
      </w:r>
      <w:r w:rsidR="009A4AC7" w:rsidRPr="005C06AB">
        <w:rPr>
          <w:rFonts w:ascii="Cambria" w:eastAsia="Times New Roman" w:hAnsi="Cambria" w:cs="Times New Roman"/>
          <w:color w:val="000000"/>
          <w:sz w:val="20"/>
          <w:szCs w:val="20"/>
        </w:rPr>
        <w:t>arantizar que los buques de pesca, buques de apoyo, buques de abastecimiento de combustible, buques nodriza y buques de transporte que enarbolan su pabellón no apoyan de ninguna forma, se involucran en las operaciones de transformación de la pesca o participan en cualquier transbordo u operación de pesca conjunta con buques incluidos en la lista de buques IUU;</w:t>
      </w:r>
    </w:p>
    <w:p w14:paraId="531A2A3C"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9"/>
        <w:jc w:val="both"/>
        <w:rPr>
          <w:rFonts w:ascii="Cambria" w:eastAsia="Times New Roman" w:hAnsi="Cambria" w:cs="Times New Roman"/>
          <w:color w:val="000000"/>
          <w:sz w:val="20"/>
          <w:szCs w:val="20"/>
        </w:rPr>
      </w:pPr>
    </w:p>
    <w:p w14:paraId="2DD33057" w14:textId="60A1EC8B"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g</w:t>
      </w:r>
      <w:r w:rsidR="009A4AC7" w:rsidRPr="005C06AB">
        <w:rPr>
          <w:rFonts w:ascii="Cambria" w:eastAsia="Times New Roman" w:hAnsi="Cambria" w:cs="Times New Roman"/>
          <w:color w:val="000000"/>
          <w:sz w:val="20"/>
          <w:szCs w:val="20"/>
        </w:rPr>
        <w:t>arantizar que no se autoriza a los buques IUU a descargar, transbordar, abastecerse de combustible, avituallarse, o implicarse en cualquier otra transacción comercial; prohibir la entrada en sus puertos a los buques incluidos en la lista IUU, excepto en casos de fuerza mayor, a menos que se permita a los buques la entrada a puerto con fines exclusivos de inspección y de acciones eficaces de ejecución;</w:t>
      </w:r>
    </w:p>
    <w:p w14:paraId="19F24CB4"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9"/>
        <w:jc w:val="both"/>
        <w:rPr>
          <w:rFonts w:ascii="Cambria" w:eastAsia="Times New Roman" w:hAnsi="Cambria" w:cs="Times New Roman"/>
          <w:color w:val="000000"/>
          <w:sz w:val="20"/>
          <w:szCs w:val="20"/>
        </w:rPr>
      </w:pPr>
    </w:p>
    <w:p w14:paraId="7F7559B9" w14:textId="51F604FA"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garantizar</w:t>
      </w:r>
      <w:r w:rsidR="009A4AC7" w:rsidRPr="005C06AB">
        <w:rPr>
          <w:rFonts w:ascii="Cambria" w:eastAsia="Times New Roman" w:hAnsi="Cambria" w:cs="Times New Roman"/>
          <w:color w:val="000000"/>
          <w:sz w:val="20"/>
          <w:szCs w:val="20"/>
        </w:rPr>
        <w:t>, en la medida de lo posible, la inspección de los buques incluidos en la lista IUU si dichos buques se encuentran, por otras razones, en sus puertos;</w:t>
      </w:r>
    </w:p>
    <w:p w14:paraId="54000139"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sz w:val="20"/>
          <w:szCs w:val="20"/>
        </w:rPr>
      </w:pPr>
    </w:p>
    <w:p w14:paraId="1F3BBAA8" w14:textId="3A02B73C"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prohibir </w:t>
      </w:r>
      <w:r w:rsidR="009A4AC7" w:rsidRPr="005C06AB">
        <w:rPr>
          <w:rFonts w:ascii="Cambria" w:eastAsia="Times New Roman" w:hAnsi="Cambria" w:cs="Times New Roman"/>
          <w:color w:val="000000"/>
          <w:sz w:val="20"/>
          <w:szCs w:val="20"/>
        </w:rPr>
        <w:t>el fletamento de un buque incluido en la lista de buques IUU;</w:t>
      </w:r>
    </w:p>
    <w:p w14:paraId="5174756E"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sz w:val="20"/>
          <w:szCs w:val="20"/>
        </w:rPr>
      </w:pPr>
    </w:p>
    <w:p w14:paraId="7BC9D1DA" w14:textId="7FC841BB"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negarse </w:t>
      </w:r>
      <w:r w:rsidR="009A4AC7" w:rsidRPr="005C06AB">
        <w:rPr>
          <w:rFonts w:ascii="Cambria" w:eastAsia="Times New Roman" w:hAnsi="Cambria" w:cs="Times New Roman"/>
          <w:color w:val="000000"/>
          <w:sz w:val="20"/>
          <w:szCs w:val="20"/>
        </w:rPr>
        <w:t xml:space="preserve">a conceder su pabellón a los buques incluidos en la lista IUU, salvo si el buque ha cambiado de armador y el nuevo armador ha proporcionado pruebas suficientes que demuestren que el anterior armador u operador no tiene interés financiero, legal o beneficio alguno en el buque y que no ejerce ningún tipo de control sobre </w:t>
      </w:r>
      <w:r w:rsidRPr="005C06AB">
        <w:rPr>
          <w:rFonts w:ascii="Cambria" w:eastAsia="Times New Roman" w:hAnsi="Cambria" w:cs="Times New Roman"/>
          <w:color w:val="000000"/>
          <w:sz w:val="20"/>
          <w:szCs w:val="20"/>
        </w:rPr>
        <w:t>él</w:t>
      </w:r>
      <w:r w:rsidR="009A4AC7" w:rsidRPr="005C06AB">
        <w:rPr>
          <w:rFonts w:ascii="Cambria" w:eastAsia="Times New Roman" w:hAnsi="Cambria" w:cs="Times New Roman"/>
          <w:color w:val="000000"/>
          <w:sz w:val="20"/>
          <w:szCs w:val="20"/>
        </w:rPr>
        <w:t xml:space="preserve">; o si, habiendo considerado todos los hechos pertinentes, la CPC del pabellón determina que la concesión de su pabellón al buque no dará </w:t>
      </w:r>
      <w:r w:rsidR="00AD209F" w:rsidRPr="005C06AB">
        <w:rPr>
          <w:rFonts w:ascii="Cambria" w:eastAsia="Times New Roman" w:hAnsi="Cambria" w:cs="Times New Roman"/>
          <w:color w:val="000000"/>
          <w:sz w:val="20"/>
          <w:szCs w:val="20"/>
        </w:rPr>
        <w:t>lugar</w:t>
      </w:r>
      <w:r w:rsidR="009A4AC7" w:rsidRPr="005C06AB">
        <w:rPr>
          <w:rFonts w:ascii="Cambria" w:eastAsia="Times New Roman" w:hAnsi="Cambria" w:cs="Times New Roman"/>
          <w:color w:val="000000"/>
          <w:sz w:val="20"/>
          <w:szCs w:val="20"/>
        </w:rPr>
        <w:t xml:space="preserve"> a pesca IUU;</w:t>
      </w:r>
    </w:p>
    <w:p w14:paraId="088490AF"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9"/>
        <w:jc w:val="both"/>
        <w:rPr>
          <w:rFonts w:ascii="Cambria" w:eastAsia="Times New Roman" w:hAnsi="Cambria" w:cs="Times New Roman"/>
          <w:color w:val="000000"/>
        </w:rPr>
      </w:pPr>
    </w:p>
    <w:p w14:paraId="60AF400C" w14:textId="24602B01"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prohibir </w:t>
      </w:r>
      <w:r w:rsidR="009A4AC7" w:rsidRPr="005C06AB">
        <w:rPr>
          <w:rFonts w:ascii="Cambria" w:eastAsia="Times New Roman" w:hAnsi="Cambria" w:cs="Times New Roman"/>
          <w:color w:val="000000"/>
          <w:sz w:val="20"/>
          <w:szCs w:val="20"/>
        </w:rPr>
        <w:t>las importaciones, desembarques y/o transbordos de túnidos y especies afines de los buques incluidos en la lista IUU;</w:t>
      </w:r>
    </w:p>
    <w:p w14:paraId="3E38E839"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2831A0B6" w14:textId="220169F0"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instar </w:t>
      </w:r>
      <w:r w:rsidR="009A4AC7" w:rsidRPr="005C06AB">
        <w:rPr>
          <w:rFonts w:ascii="Cambria" w:eastAsia="Times New Roman" w:hAnsi="Cambria" w:cs="Times New Roman"/>
          <w:color w:val="000000"/>
          <w:sz w:val="20"/>
          <w:szCs w:val="20"/>
        </w:rPr>
        <w:t>a los importadores, transportistas y otros sectores afectados a que se abstengan de realizar transacciones y transbordos con túnidos y especies afines capturados por los buques incluidos en la lista IUU;</w:t>
      </w:r>
    </w:p>
    <w:p w14:paraId="12EF1CF8"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7A370811" w14:textId="2B49F308"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recoger </w:t>
      </w:r>
      <w:r w:rsidR="009A4AC7" w:rsidRPr="005C06AB">
        <w:rPr>
          <w:rFonts w:ascii="Cambria" w:eastAsia="Times New Roman" w:hAnsi="Cambria" w:cs="Times New Roman"/>
          <w:color w:val="000000"/>
          <w:sz w:val="20"/>
          <w:szCs w:val="20"/>
        </w:rPr>
        <w:t>e intercambiar con otras CPC cualquier información pertinente con el objetivo de buscar, controlar y evitar documentación falsa (lo que incluye los certificados de importación/</w:t>
      </w:r>
      <w:r w:rsidRPr="005C06AB">
        <w:rPr>
          <w:rFonts w:ascii="Cambria" w:eastAsia="Times New Roman" w:hAnsi="Cambria" w:cs="Times New Roman"/>
          <w:color w:val="000000"/>
          <w:sz w:val="20"/>
          <w:szCs w:val="20"/>
        </w:rPr>
        <w:t xml:space="preserve"> </w:t>
      </w:r>
      <w:r w:rsidR="009A4AC7" w:rsidRPr="005C06AB">
        <w:rPr>
          <w:rFonts w:ascii="Cambria" w:eastAsia="Times New Roman" w:hAnsi="Cambria" w:cs="Times New Roman"/>
          <w:color w:val="000000"/>
          <w:sz w:val="20"/>
          <w:szCs w:val="20"/>
        </w:rPr>
        <w:t>exportación) de túnidos y especies afines de los buques incluidos en la lista IUU y</w:t>
      </w:r>
    </w:p>
    <w:p w14:paraId="2C3D7A4D"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jc w:val="both"/>
        <w:rPr>
          <w:rFonts w:ascii="Cambria" w:eastAsia="Times New Roman" w:hAnsi="Cambria" w:cs="Times New Roman"/>
          <w:color w:val="000000"/>
        </w:rPr>
      </w:pPr>
    </w:p>
    <w:p w14:paraId="4D8994D8" w14:textId="4323F79A" w:rsidR="009A4AC7" w:rsidRPr="005C06AB" w:rsidRDefault="00820984" w:rsidP="009A4AC7">
      <w:pPr>
        <w:widowControl w:val="0"/>
        <w:numPr>
          <w:ilvl w:val="0"/>
          <w:numId w:val="4"/>
        </w:numPr>
        <w:pBdr>
          <w:top w:val="nil"/>
          <w:left w:val="nil"/>
          <w:bottom w:val="nil"/>
          <w:right w:val="nil"/>
          <w:between w:val="nil"/>
        </w:pBdr>
        <w:tabs>
          <w:tab w:val="left" w:pos="839"/>
        </w:tabs>
        <w:spacing w:after="0" w:line="240" w:lineRule="auto"/>
        <w:ind w:hanging="27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hacer </w:t>
      </w:r>
      <w:r w:rsidR="009A4AC7" w:rsidRPr="005C06AB">
        <w:rPr>
          <w:rFonts w:ascii="Cambria" w:eastAsia="Times New Roman" w:hAnsi="Cambria" w:cs="Times New Roman"/>
          <w:color w:val="000000"/>
          <w:sz w:val="20"/>
          <w:szCs w:val="20"/>
        </w:rPr>
        <w:t xml:space="preserve">un seguimiento de los buques incluidos en la lista IUU y enviar al </w:t>
      </w:r>
      <w:r w:rsidR="00E164EA" w:rsidRPr="005C06AB">
        <w:rPr>
          <w:rFonts w:ascii="Cambria" w:eastAsia="Times New Roman" w:hAnsi="Cambria" w:cs="Times New Roman"/>
          <w:color w:val="000000"/>
          <w:sz w:val="20"/>
          <w:szCs w:val="20"/>
        </w:rPr>
        <w:t>secretario ejecutivo</w:t>
      </w:r>
      <w:r w:rsidR="009A4AC7" w:rsidRPr="005C06AB">
        <w:rPr>
          <w:rFonts w:ascii="Cambria" w:eastAsia="Times New Roman" w:hAnsi="Cambria" w:cs="Times New Roman"/>
          <w:color w:val="000000"/>
          <w:sz w:val="20"/>
          <w:szCs w:val="20"/>
        </w:rPr>
        <w:t xml:space="preserve"> sin demora cualquier información relacionada con sus actividades y posibles cambios de nombre, pabellón, indicativo internacional</w:t>
      </w:r>
      <w:r w:rsidRPr="005C06AB">
        <w:rPr>
          <w:rFonts w:ascii="Cambria" w:eastAsia="Times New Roman" w:hAnsi="Cambria" w:cs="Times New Roman"/>
          <w:color w:val="000000"/>
          <w:sz w:val="20"/>
          <w:szCs w:val="20"/>
        </w:rPr>
        <w:t xml:space="preserve"> de radio</w:t>
      </w:r>
      <w:r w:rsidR="009A4AC7" w:rsidRPr="005C06AB">
        <w:rPr>
          <w:rFonts w:ascii="Cambria" w:eastAsia="Times New Roman" w:hAnsi="Cambria" w:cs="Times New Roman"/>
          <w:color w:val="000000"/>
          <w:sz w:val="20"/>
          <w:szCs w:val="20"/>
        </w:rPr>
        <w:t xml:space="preserve"> y/o armador registrado.</w:t>
      </w:r>
    </w:p>
    <w:p w14:paraId="321FF724" w14:textId="77777777" w:rsidR="009A4AC7" w:rsidRPr="005C06AB" w:rsidRDefault="009A4AC7" w:rsidP="009A4AC7">
      <w:pPr>
        <w:widowControl w:val="0"/>
        <w:pBdr>
          <w:top w:val="nil"/>
          <w:left w:val="nil"/>
          <w:bottom w:val="nil"/>
          <w:right w:val="nil"/>
          <w:between w:val="nil"/>
        </w:pBdr>
        <w:spacing w:after="0" w:line="240" w:lineRule="auto"/>
        <w:ind w:left="720"/>
        <w:contextualSpacing/>
        <w:rPr>
          <w:rFonts w:ascii="Cambria" w:eastAsia="Times New Roman" w:hAnsi="Cambria" w:cs="Times New Roman"/>
          <w:color w:val="000000"/>
          <w:sz w:val="20"/>
          <w:szCs w:val="20"/>
        </w:rPr>
      </w:pPr>
    </w:p>
    <w:p w14:paraId="0F58DD4C" w14:textId="73684F78"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El </w:t>
      </w:r>
      <w:r w:rsidR="00820984"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 xml:space="preserve">garantizará la difusión pública de la lista final de buques IUU adoptada por ICCAT de conformidad con el párrafo 8, cumpliendo cualquier requisito aplicable de confidencialidad, y mediante medios electrónicos, publicando dicha lista, junto con cualquier información de apoyo adicional sobre los buques y las actividades IUU, en una parte específica de la página web de ICCAT, que se actualizará a medida que cambie la información o se disponga de información adicional pertinente. Además, el </w:t>
      </w:r>
      <w:r w:rsidR="00E164EA"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de ICCAT transmitirá a otras OROP, sin demora, la lista final de buques IUU de ICCAT y cualquier información de apoyo sobre los buques recientemente añadidos para intensificar la cooperación entre ICCAT y estas organizaciones, con el fin prevenir, desalentar y eliminar la pesca IUU.</w:t>
      </w:r>
    </w:p>
    <w:p w14:paraId="5F2E6F72"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2BAFB50E" w14:textId="77777777" w:rsidR="00193EB8" w:rsidRPr="005C06AB" w:rsidRDefault="00193EB8">
      <w:pPr>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br w:type="page"/>
      </w:r>
    </w:p>
    <w:p w14:paraId="13764328" w14:textId="5BF045B9" w:rsidR="009A4AC7" w:rsidRPr="005C06AB" w:rsidRDefault="009A4AC7" w:rsidP="009A4AC7">
      <w:pPr>
        <w:widowControl w:val="0"/>
        <w:pBdr>
          <w:top w:val="nil"/>
          <w:left w:val="nil"/>
          <w:bottom w:val="nil"/>
          <w:right w:val="nil"/>
          <w:between w:val="nil"/>
        </w:pBdr>
        <w:tabs>
          <w:tab w:val="left" w:pos="480"/>
        </w:tabs>
        <w:spacing w:after="0" w:line="240" w:lineRule="auto"/>
        <w:ind w:right="110"/>
        <w:jc w:val="both"/>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lastRenderedPageBreak/>
        <w:t>Modificación en el periodo intersesiones de la lista final de buques IUU de ICCAT</w:t>
      </w:r>
    </w:p>
    <w:p w14:paraId="3AFB07BC"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4B648599" w14:textId="77777777" w:rsidR="009A4AC7" w:rsidRPr="005C06AB" w:rsidRDefault="009A4AC7" w:rsidP="009A4AC7">
      <w:pPr>
        <w:widowControl w:val="0"/>
        <w:pBdr>
          <w:top w:val="nil"/>
          <w:left w:val="nil"/>
          <w:bottom w:val="nil"/>
          <w:right w:val="nil"/>
          <w:between w:val="nil"/>
        </w:pBdr>
        <w:tabs>
          <w:tab w:val="left" w:pos="480"/>
        </w:tabs>
        <w:spacing w:after="0" w:line="240" w:lineRule="auto"/>
        <w:ind w:right="110"/>
        <w:rPr>
          <w:rFonts w:ascii="Cambria" w:eastAsia="Times New Roman" w:hAnsi="Cambria" w:cs="Times New Roman"/>
          <w:b/>
          <w:i/>
          <w:color w:val="000000"/>
          <w:sz w:val="20"/>
          <w:szCs w:val="20"/>
        </w:rPr>
      </w:pPr>
      <w:r w:rsidRPr="005C06AB">
        <w:rPr>
          <w:rFonts w:ascii="Cambria" w:eastAsia="Times New Roman" w:hAnsi="Cambria" w:cs="Times New Roman"/>
          <w:b/>
          <w:i/>
          <w:color w:val="000000"/>
          <w:sz w:val="20"/>
          <w:szCs w:val="20"/>
        </w:rPr>
        <w:t>Incorporación de listas de buques IUU de otras OROP</w:t>
      </w:r>
    </w:p>
    <w:p w14:paraId="6A66114D" w14:textId="77777777" w:rsidR="009A4AC7" w:rsidRPr="005C06AB" w:rsidRDefault="009A4AC7" w:rsidP="009A4AC7">
      <w:pPr>
        <w:widowControl w:val="0"/>
        <w:pBdr>
          <w:top w:val="nil"/>
          <w:left w:val="nil"/>
          <w:bottom w:val="nil"/>
          <w:right w:val="nil"/>
          <w:between w:val="nil"/>
        </w:pBdr>
        <w:tabs>
          <w:tab w:val="left" w:pos="480"/>
        </w:tabs>
        <w:spacing w:after="0" w:line="240" w:lineRule="auto"/>
        <w:ind w:right="110"/>
        <w:rPr>
          <w:rFonts w:ascii="Cambria" w:eastAsia="Times New Roman" w:hAnsi="Cambria" w:cs="Times New Roman"/>
          <w:b/>
          <w:color w:val="000000"/>
          <w:sz w:val="20"/>
          <w:szCs w:val="20"/>
        </w:rPr>
      </w:pPr>
    </w:p>
    <w:p w14:paraId="68B2A531" w14:textId="3256E08D"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Al recibir la lista final de buques IUU establecida por otra OROP</w:t>
      </w:r>
      <w:r w:rsidRPr="005C06AB">
        <w:rPr>
          <w:rFonts w:ascii="Cambria" w:eastAsia="Times New Roman" w:hAnsi="Cambria" w:cs="Times New Roman"/>
          <w:color w:val="000000"/>
          <w:sz w:val="20"/>
          <w:szCs w:val="20"/>
          <w:vertAlign w:val="superscript"/>
        </w:rPr>
        <w:footnoteReference w:id="1"/>
      </w:r>
      <w:r w:rsidRPr="005C06AB">
        <w:rPr>
          <w:rFonts w:ascii="Cambria" w:eastAsia="Times New Roman" w:hAnsi="Cambria" w:cs="Times New Roman"/>
          <w:color w:val="000000"/>
          <w:sz w:val="20"/>
          <w:szCs w:val="20"/>
        </w:rPr>
        <w:t xml:space="preserve"> y la información de apoyo considerada por dicha OROP, así como cualquier otra información relacionada con la decisión de la inclusión en la lista, como las secciones pertinentes del informe de la reunión de dicha OROP, el </w:t>
      </w:r>
      <w:r w:rsidR="00E164EA"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circulará esta información entre las CPC y a cualquier no CPC afectada. Los buques que se hayan incluido en sus listas respectivas se incluirán en la lista final de buques IUU de ICCAT a menos que alguna Parte contratante objete a la inclusión en la lista final de buques IUU de ICCAT en un plazo de 30 días a contar a partir de la fecha de transmisión por parte del</w:t>
      </w:r>
      <w:r w:rsidR="00E164EA" w:rsidRPr="005C06AB">
        <w:rPr>
          <w:rFonts w:ascii="Cambria" w:eastAsia="Times New Roman" w:hAnsi="Cambria" w:cs="Times New Roman"/>
          <w:color w:val="000000"/>
          <w:sz w:val="20"/>
          <w:szCs w:val="20"/>
        </w:rPr>
        <w:t xml:space="preserve"> secretario ejecutivo b</w:t>
      </w:r>
      <w:r w:rsidRPr="005C06AB">
        <w:rPr>
          <w:rFonts w:ascii="Cambria" w:eastAsia="Times New Roman" w:hAnsi="Cambria" w:cs="Times New Roman"/>
          <w:color w:val="000000"/>
          <w:sz w:val="20"/>
          <w:szCs w:val="20"/>
        </w:rPr>
        <w:t>asándose en lo siguiente:</w:t>
      </w:r>
    </w:p>
    <w:p w14:paraId="1EDF1C7F" w14:textId="77777777" w:rsidR="00AD209F" w:rsidRPr="005C06AB" w:rsidRDefault="00AD209F" w:rsidP="00AD209F">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rPr>
      </w:pPr>
    </w:p>
    <w:p w14:paraId="24F25273" w14:textId="77777777" w:rsidR="009A4AC7" w:rsidRPr="005C06AB" w:rsidRDefault="009A4AC7" w:rsidP="009A4AC7">
      <w:pPr>
        <w:widowControl w:val="0"/>
        <w:numPr>
          <w:ilvl w:val="0"/>
          <w:numId w:val="9"/>
        </w:numPr>
        <w:pBdr>
          <w:top w:val="nil"/>
          <w:left w:val="nil"/>
          <w:bottom w:val="nil"/>
          <w:right w:val="nil"/>
          <w:between w:val="nil"/>
        </w:pBdr>
        <w:tabs>
          <w:tab w:val="left" w:pos="860"/>
        </w:tabs>
        <w:spacing w:after="0" w:line="240" w:lineRule="auto"/>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existe información satisfactoria que establezca que:</w:t>
      </w:r>
    </w:p>
    <w:p w14:paraId="7F51C6D0"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7F450CE0" w14:textId="74B0BCA9" w:rsidR="009A4AC7" w:rsidRPr="005C06AB" w:rsidRDefault="00317031" w:rsidP="009A4AC7">
      <w:pPr>
        <w:widowControl w:val="0"/>
        <w:numPr>
          <w:ilvl w:val="1"/>
          <w:numId w:val="9"/>
        </w:numPr>
        <w:pBdr>
          <w:top w:val="nil"/>
          <w:left w:val="nil"/>
          <w:bottom w:val="nil"/>
          <w:right w:val="nil"/>
          <w:between w:val="nil"/>
        </w:pBdr>
        <w:spacing w:after="0" w:line="240" w:lineRule="auto"/>
        <w:ind w:left="1134" w:hanging="14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e</w:t>
      </w:r>
      <w:r w:rsidR="009A4AC7" w:rsidRPr="005C06AB">
        <w:rPr>
          <w:rFonts w:ascii="Cambria" w:eastAsia="Times New Roman" w:hAnsi="Cambria" w:cs="Times New Roman"/>
          <w:color w:val="000000"/>
          <w:sz w:val="20"/>
          <w:szCs w:val="20"/>
        </w:rPr>
        <w:t>l buque no participó en las actividades de pesca IUU identificadas por la otra OROP, o</w:t>
      </w:r>
    </w:p>
    <w:p w14:paraId="3D0B3684" w14:textId="73D049AF" w:rsidR="009A4AC7" w:rsidRPr="005C06AB" w:rsidRDefault="00317031" w:rsidP="009A4AC7">
      <w:pPr>
        <w:widowControl w:val="0"/>
        <w:numPr>
          <w:ilvl w:val="1"/>
          <w:numId w:val="9"/>
        </w:numPr>
        <w:pBdr>
          <w:top w:val="nil"/>
          <w:left w:val="nil"/>
          <w:bottom w:val="nil"/>
          <w:right w:val="nil"/>
          <w:between w:val="nil"/>
        </w:pBdr>
        <w:spacing w:after="0" w:line="240" w:lineRule="auto"/>
        <w:ind w:left="1134" w:hanging="141"/>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s</w:t>
      </w:r>
      <w:r w:rsidR="009A4AC7" w:rsidRPr="005C06AB">
        <w:rPr>
          <w:rFonts w:ascii="Cambria" w:eastAsia="Times New Roman" w:hAnsi="Cambria" w:cs="Times New Roman"/>
          <w:color w:val="000000"/>
          <w:sz w:val="20"/>
          <w:szCs w:val="20"/>
        </w:rPr>
        <w:t>e han emprendido acciones eficaces en respuesta a las actividades de pesca IUU en cuestión, lo que incluye, entre otras cosas, acciones judiciales y la imposición de sanciones de la severidad adecuada que se haya cumplido,</w:t>
      </w:r>
    </w:p>
    <w:p w14:paraId="6923711C" w14:textId="77777777" w:rsidR="00317031" w:rsidRPr="005C06AB" w:rsidRDefault="00317031" w:rsidP="0054773B">
      <w:pPr>
        <w:pStyle w:val="ListParagraph"/>
        <w:spacing w:after="0" w:line="240" w:lineRule="auto"/>
        <w:rPr>
          <w:rFonts w:ascii="Cambria" w:eastAsia="Times New Roman" w:hAnsi="Cambria" w:cs="Times New Roman"/>
          <w:color w:val="000000"/>
        </w:rPr>
      </w:pPr>
    </w:p>
    <w:p w14:paraId="72374350" w14:textId="6C420AF8" w:rsidR="009A4AC7" w:rsidRPr="005C06AB" w:rsidRDefault="009A4AC7" w:rsidP="0054773B">
      <w:pPr>
        <w:widowControl w:val="0"/>
        <w:numPr>
          <w:ilvl w:val="0"/>
          <w:numId w:val="9"/>
        </w:numPr>
        <w:pBdr>
          <w:top w:val="nil"/>
          <w:left w:val="nil"/>
          <w:bottom w:val="nil"/>
          <w:right w:val="nil"/>
          <w:between w:val="nil"/>
        </w:pBdr>
        <w:tabs>
          <w:tab w:val="left" w:pos="839"/>
        </w:tabs>
        <w:spacing w:after="0" w:line="240" w:lineRule="auto"/>
        <w:ind w:right="109"/>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no hay información de apoyo suficiente y otra información con respecto a la determinación de inclusión en la lista para establecer que no se han cumplido ninguna de las condiciones del subpárrafo </w:t>
      </w:r>
      <w:r w:rsidR="00317031" w:rsidRPr="005C06AB">
        <w:rPr>
          <w:rFonts w:ascii="Cambria" w:eastAsia="Times New Roman" w:hAnsi="Cambria" w:cs="Times New Roman"/>
          <w:color w:val="000000"/>
          <w:sz w:val="20"/>
          <w:szCs w:val="20"/>
        </w:rPr>
        <w:t xml:space="preserve">11 </w:t>
      </w:r>
      <w:r w:rsidRPr="005C06AB">
        <w:rPr>
          <w:rFonts w:ascii="Cambria" w:eastAsia="Times New Roman" w:hAnsi="Cambria" w:cs="Times New Roman"/>
          <w:color w:val="000000"/>
          <w:sz w:val="20"/>
          <w:szCs w:val="20"/>
        </w:rPr>
        <w:t>a)</w:t>
      </w:r>
    </w:p>
    <w:p w14:paraId="4D1E3A57" w14:textId="77777777" w:rsidR="009A4AC7" w:rsidRPr="005C06AB" w:rsidRDefault="009A4AC7" w:rsidP="0054773B">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sz w:val="8"/>
          <w:szCs w:val="8"/>
        </w:rPr>
      </w:pPr>
    </w:p>
    <w:p w14:paraId="1BB0F333" w14:textId="77777777" w:rsidR="009A4AC7" w:rsidRPr="005C06AB" w:rsidRDefault="009A4AC7" w:rsidP="0054773B">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rPr>
      </w:pPr>
      <w:r w:rsidRPr="005C06AB">
        <w:rPr>
          <w:rFonts w:ascii="Cambria" w:eastAsia="Times New Roman" w:hAnsi="Cambria" w:cs="Times New Roman"/>
          <w:color w:val="000000"/>
        </w:rPr>
        <w:t>o</w:t>
      </w:r>
    </w:p>
    <w:p w14:paraId="6E6EABF7"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sz w:val="10"/>
          <w:szCs w:val="10"/>
        </w:rPr>
      </w:pPr>
    </w:p>
    <w:p w14:paraId="26C804AA" w14:textId="77777777" w:rsidR="009A4AC7" w:rsidRPr="005C06AB" w:rsidRDefault="009A4AC7" w:rsidP="009A4AC7">
      <w:pPr>
        <w:widowControl w:val="0"/>
        <w:numPr>
          <w:ilvl w:val="0"/>
          <w:numId w:val="9"/>
        </w:numPr>
        <w:pBdr>
          <w:top w:val="nil"/>
          <w:left w:val="nil"/>
          <w:bottom w:val="nil"/>
          <w:right w:val="nil"/>
          <w:between w:val="nil"/>
        </w:pBdr>
        <w:tabs>
          <w:tab w:val="left" w:pos="839"/>
        </w:tabs>
        <w:spacing w:after="0" w:line="240" w:lineRule="auto"/>
        <w:ind w:right="109"/>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en el caso de los buques incluidos en listas de OROP que no son de túnidos, no existe un nexo suficiente con la conservación y ordenación de especies de ICCAT que justifique la inclusión cruzada.</w:t>
      </w:r>
    </w:p>
    <w:p w14:paraId="6267B0D1"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38" w:right="109"/>
        <w:jc w:val="both"/>
        <w:rPr>
          <w:rFonts w:ascii="Cambria" w:eastAsia="Times New Roman" w:hAnsi="Cambria" w:cs="Times New Roman"/>
          <w:color w:val="000000"/>
        </w:rPr>
      </w:pPr>
    </w:p>
    <w:p w14:paraId="3EF73192" w14:textId="77777777" w:rsidR="009A4AC7" w:rsidRPr="005C06AB" w:rsidRDefault="009A4AC7" w:rsidP="009A4AC7">
      <w:pPr>
        <w:widowControl w:val="0"/>
        <w:pBdr>
          <w:top w:val="nil"/>
          <w:left w:val="nil"/>
          <w:bottom w:val="nil"/>
          <w:right w:val="nil"/>
          <w:between w:val="nil"/>
        </w:pBdr>
        <w:spacing w:after="0" w:line="240" w:lineRule="auto"/>
        <w:ind w:left="425"/>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En el caso de una objeción a que un buque incluido en la lista por otra OROP sea incluido en la lista final de buques IUU de ICCAT, de conformidad con este párrafo, el buque se incluirá en el proyecto de lista de buques IUU y será considerado por el GTP de conformidad con el párrafo 6.</w:t>
      </w:r>
    </w:p>
    <w:p w14:paraId="2C357A3E" w14:textId="77777777" w:rsidR="009A4AC7" w:rsidRPr="005C06AB" w:rsidRDefault="009A4AC7" w:rsidP="009A4AC7">
      <w:pPr>
        <w:widowControl w:val="0"/>
        <w:pBdr>
          <w:top w:val="nil"/>
          <w:left w:val="nil"/>
          <w:bottom w:val="nil"/>
          <w:right w:val="nil"/>
          <w:between w:val="nil"/>
        </w:pBdr>
        <w:spacing w:after="0" w:line="240" w:lineRule="auto"/>
        <w:ind w:left="478" w:right="111"/>
        <w:jc w:val="both"/>
        <w:rPr>
          <w:rFonts w:ascii="Cambria" w:eastAsia="Times New Roman" w:hAnsi="Cambria" w:cs="Times New Roman"/>
          <w:color w:val="000000"/>
          <w:sz w:val="20"/>
          <w:szCs w:val="20"/>
        </w:rPr>
      </w:pPr>
    </w:p>
    <w:p w14:paraId="1A9F6BF3" w14:textId="15FB61B8"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El </w:t>
      </w:r>
      <w:r w:rsidR="00E164EA"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de ICCAT implementará el párrafo 11 de conformidad con los siguientes procedimientos:</w:t>
      </w:r>
    </w:p>
    <w:p w14:paraId="70FD116E" w14:textId="77777777" w:rsidR="009A4AC7" w:rsidRPr="005C06AB"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  </w:t>
      </w:r>
    </w:p>
    <w:p w14:paraId="3792A618" w14:textId="0B31C7F6" w:rsidR="009A4AC7" w:rsidRPr="005C06AB"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La Secretaría de ICCAT mantendrá el contacto con las Secretarías de otras OROP con el fin de obtener copias de las listas de buques IUU de dichas OROP de forma oportuna tras su adopción o enmienda, lo que incluye solicitar</w:t>
      </w:r>
      <w:r w:rsidR="005C7627" w:rsidRPr="005C06AB">
        <w:rPr>
          <w:rFonts w:ascii="Cambria" w:eastAsia="Times New Roman" w:hAnsi="Cambria" w:cs="Times New Roman"/>
          <w:color w:val="000000"/>
          <w:sz w:val="20"/>
          <w:szCs w:val="20"/>
        </w:rPr>
        <w:t xml:space="preserve"> anualmente</w:t>
      </w:r>
      <w:r w:rsidRPr="005C06AB">
        <w:rPr>
          <w:rFonts w:ascii="Cambria" w:eastAsia="Times New Roman" w:hAnsi="Cambria" w:cs="Times New Roman"/>
          <w:color w:val="000000"/>
          <w:sz w:val="20"/>
          <w:szCs w:val="20"/>
        </w:rPr>
        <w:t xml:space="preserve"> una copia de las listas de buques de estas OROP tras finalizar la reunión de dichas OROP en la que se haya adoptado la lista IUU final.</w:t>
      </w:r>
    </w:p>
    <w:p w14:paraId="0FFAA763" w14:textId="77777777" w:rsidR="009A4AC7" w:rsidRPr="005C06AB"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  </w:t>
      </w:r>
    </w:p>
    <w:p w14:paraId="1DF42B14" w14:textId="77777777" w:rsidR="009A4AC7" w:rsidRPr="005C06AB"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Lo antes posible tras la adopción o enmienda de una lista de buques IUU por otra OROP, la Secretaría de ICCAT recopilará toda la documentación de apoyo disponible en dicha OROP relacionada con los motivos para la decisión de incluir o suprimir buques de las listas.</w:t>
      </w:r>
    </w:p>
    <w:p w14:paraId="3B2554E4" w14:textId="77777777" w:rsidR="009A4AC7" w:rsidRPr="005C06AB"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  </w:t>
      </w:r>
    </w:p>
    <w:p w14:paraId="22367244" w14:textId="30E0D40F" w:rsidR="009A4AC7" w:rsidRPr="005C06AB"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Cuando la Secretaría de ICCAT haya recibido/recopilado la información de los párrafos (a) y (b), circulará sin demora a todas las CPC, de conformidad con el párrafo 11 de esta Recomendación, la lista de buques IUU de otras OROP, la información de apoyo y cualquier otra información pertinente sobre los motivos de la decisión de inclusión en la lista. La circular</w:t>
      </w:r>
      <w:r w:rsidR="006165BF" w:rsidRPr="005C06AB">
        <w:rPr>
          <w:rFonts w:ascii="Cambria" w:eastAsia="Times New Roman" w:hAnsi="Cambria" w:cs="Times New Roman"/>
          <w:color w:val="000000"/>
          <w:sz w:val="20"/>
          <w:szCs w:val="20"/>
        </w:rPr>
        <w:t xml:space="preserve"> correspondiente</w:t>
      </w:r>
      <w:r w:rsidRPr="005C06AB">
        <w:rPr>
          <w:rFonts w:ascii="Cambria" w:eastAsia="Times New Roman" w:hAnsi="Cambria" w:cs="Times New Roman"/>
          <w:color w:val="000000"/>
          <w:sz w:val="20"/>
          <w:szCs w:val="20"/>
        </w:rPr>
        <w:t xml:space="preserve"> expondrá claramente la razón por la que se facilita la información, explicará que las Partes contratantes de ICCAT tienen un plazo de treinta días a contar desde </w:t>
      </w:r>
      <w:r w:rsidR="006165BF" w:rsidRPr="005C06AB">
        <w:rPr>
          <w:rFonts w:ascii="Cambria" w:eastAsia="Times New Roman" w:hAnsi="Cambria" w:cs="Times New Roman"/>
          <w:color w:val="000000"/>
          <w:sz w:val="20"/>
          <w:szCs w:val="20"/>
        </w:rPr>
        <w:t>la</w:t>
      </w:r>
      <w:r w:rsidRPr="005C06AB">
        <w:rPr>
          <w:rFonts w:ascii="Cambria" w:eastAsia="Times New Roman" w:hAnsi="Cambria" w:cs="Times New Roman"/>
          <w:color w:val="000000"/>
          <w:sz w:val="20"/>
          <w:szCs w:val="20"/>
        </w:rPr>
        <w:t xml:space="preserve"> fecha</w:t>
      </w:r>
      <w:r w:rsidR="006165BF" w:rsidRPr="005C06AB">
        <w:rPr>
          <w:rFonts w:ascii="Cambria" w:eastAsia="Times New Roman" w:hAnsi="Cambria" w:cs="Times New Roman"/>
          <w:color w:val="000000"/>
          <w:sz w:val="20"/>
          <w:szCs w:val="20"/>
        </w:rPr>
        <w:t xml:space="preserve"> de la circular</w:t>
      </w:r>
      <w:r w:rsidRPr="005C06AB">
        <w:rPr>
          <w:rFonts w:ascii="Cambria" w:eastAsia="Times New Roman" w:hAnsi="Cambria" w:cs="Times New Roman"/>
          <w:color w:val="000000"/>
          <w:sz w:val="20"/>
          <w:szCs w:val="20"/>
        </w:rPr>
        <w:t xml:space="preserve"> para objetar a la inclusión de los buques en la lista IUU de ICCAT y que, a falta de dicha objeción, el buque será añadido a la lista final de buques IUU tras finalizar el periodo de 30 días.</w:t>
      </w:r>
    </w:p>
    <w:p w14:paraId="1DCA6077" w14:textId="77777777" w:rsidR="009A4AC7" w:rsidRPr="005C06AB"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lastRenderedPageBreak/>
        <w:t xml:space="preserve">   </w:t>
      </w:r>
    </w:p>
    <w:p w14:paraId="77E36CD3" w14:textId="66D27EFE" w:rsidR="009A4AC7" w:rsidRPr="005C06AB"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La Secretaría de ICCAT deberá añadir cualquier nuevo buque incluido en la lista de buques IUU de otra</w:t>
      </w:r>
      <w:r w:rsidR="006165BF" w:rsidRPr="005C06AB">
        <w:rPr>
          <w:rFonts w:ascii="Cambria" w:eastAsia="Times New Roman" w:hAnsi="Cambria" w:cs="Times New Roman"/>
          <w:color w:val="000000"/>
          <w:sz w:val="20"/>
          <w:szCs w:val="20"/>
        </w:rPr>
        <w:t xml:space="preserve">s </w:t>
      </w:r>
      <w:r w:rsidRPr="005C06AB">
        <w:rPr>
          <w:rFonts w:ascii="Cambria" w:eastAsia="Times New Roman" w:hAnsi="Cambria" w:cs="Times New Roman"/>
          <w:color w:val="000000"/>
          <w:sz w:val="20"/>
          <w:szCs w:val="20"/>
        </w:rPr>
        <w:t>OROP en la lista final de buques IUU de ICCAT al final del periodo de 30 días, siempre que no se haya recibido ninguna objeción a dicha inclusión enviada por las Partes contratantes con arreglo al párrafo 11 de esta Recomendación.</w:t>
      </w:r>
    </w:p>
    <w:p w14:paraId="6AD2D24F" w14:textId="77777777" w:rsidR="009A4AC7" w:rsidRPr="005C06AB"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  </w:t>
      </w:r>
    </w:p>
    <w:p w14:paraId="34DB240D" w14:textId="2330FF3E" w:rsidR="009A4AC7" w:rsidRPr="005C06AB"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Cuando un buque haya sido incluido en la lista final de buques IUU de ICCAT únicamente debido a su inclusión en la lista de buques IUU de otra OROP, la Secretaría de ICCAT suprimirá inmediatamente al buque de la lista final de buques IUU de ICCAT cuando éste haya sido eliminado por la OROP que lo incluyó originalmente. </w:t>
      </w:r>
    </w:p>
    <w:p w14:paraId="5602CA3B" w14:textId="77777777" w:rsidR="009A4AC7" w:rsidRPr="005C06AB" w:rsidRDefault="009A4AC7" w:rsidP="009A4AC7">
      <w:pPr>
        <w:widowControl w:val="0"/>
        <w:pBdr>
          <w:top w:val="nil"/>
          <w:left w:val="nil"/>
          <w:bottom w:val="nil"/>
          <w:right w:val="nil"/>
          <w:between w:val="nil"/>
        </w:pBdr>
        <w:spacing w:after="0" w:line="240" w:lineRule="auto"/>
        <w:ind w:right="111"/>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  </w:t>
      </w:r>
    </w:p>
    <w:p w14:paraId="44152C86" w14:textId="4FBAA071" w:rsidR="009A4AC7" w:rsidRPr="005C06AB" w:rsidRDefault="009A4AC7" w:rsidP="009A4AC7">
      <w:pPr>
        <w:widowControl w:val="0"/>
        <w:numPr>
          <w:ilvl w:val="1"/>
          <w:numId w:val="7"/>
        </w:numPr>
        <w:pBdr>
          <w:top w:val="nil"/>
          <w:left w:val="nil"/>
          <w:bottom w:val="nil"/>
          <w:right w:val="nil"/>
          <w:between w:val="nil"/>
        </w:pBdr>
        <w:spacing w:after="0" w:line="240" w:lineRule="auto"/>
        <w:ind w:left="839" w:hanging="414"/>
        <w:contextualSpacing/>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Cuando se incluyan o se eliminen buques de la lista </w:t>
      </w:r>
      <w:r w:rsidR="00047E66" w:rsidRPr="005C06AB">
        <w:rPr>
          <w:rFonts w:ascii="Cambria" w:eastAsia="Times New Roman" w:hAnsi="Cambria" w:cs="Times New Roman"/>
          <w:color w:val="000000"/>
          <w:sz w:val="20"/>
          <w:szCs w:val="20"/>
        </w:rPr>
        <w:t xml:space="preserve">final </w:t>
      </w:r>
      <w:r w:rsidRPr="005C06AB">
        <w:rPr>
          <w:rFonts w:ascii="Cambria" w:eastAsia="Times New Roman" w:hAnsi="Cambria" w:cs="Times New Roman"/>
          <w:color w:val="000000"/>
          <w:sz w:val="20"/>
          <w:szCs w:val="20"/>
        </w:rPr>
        <w:t>de buques IUU de ICCAT con arreglo al párrafo 11 o 12 (e) de esta Recomendación, la Secretaría de ICCAT circulará sin demora a todas las CPC de ICCAT y a las no CPC afectadas la lista final de buques IUU de ICCAT, tal y como haya sido enmendada.</w:t>
      </w:r>
    </w:p>
    <w:p w14:paraId="7B59EA8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4386C1FD" w14:textId="77777777"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i/>
          <w:color w:val="000000"/>
          <w:sz w:val="20"/>
          <w:szCs w:val="20"/>
        </w:rPr>
      </w:pPr>
      <w:r w:rsidRPr="005C06AB">
        <w:rPr>
          <w:rFonts w:ascii="Cambria" w:eastAsia="Times New Roman" w:hAnsi="Cambria" w:cs="Times New Roman"/>
          <w:b/>
          <w:i/>
          <w:color w:val="000000"/>
          <w:sz w:val="20"/>
          <w:szCs w:val="20"/>
        </w:rPr>
        <w:t>Eliminación intersesiones de la lista final de buques IUU</w:t>
      </w:r>
    </w:p>
    <w:p w14:paraId="23CCE07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5CB77F1" w14:textId="654EE51A"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Una CPC o no CPC cuyo buque aparezca en la lista final de buques IUU de ICCAT que desee solicitar la eliminación de su buque de la lista final de buques IUU de ICCAT durante el periodo intersesiones deberá enviar dicha solicitud a</w:t>
      </w:r>
      <w:r w:rsidR="00E164EA" w:rsidRPr="005C06AB">
        <w:rPr>
          <w:rFonts w:ascii="Cambria" w:eastAsia="Times New Roman" w:hAnsi="Cambria" w:cs="Times New Roman"/>
          <w:color w:val="000000"/>
          <w:sz w:val="20"/>
          <w:szCs w:val="20"/>
        </w:rPr>
        <w:t>l secretario ejecutivo</w:t>
      </w:r>
      <w:r w:rsidRPr="005C06AB">
        <w:rPr>
          <w:rFonts w:ascii="Cambria" w:eastAsia="Times New Roman" w:hAnsi="Cambria" w:cs="Times New Roman"/>
          <w:color w:val="000000"/>
          <w:sz w:val="20"/>
          <w:szCs w:val="20"/>
        </w:rPr>
        <w:t xml:space="preserve"> de ICCAT antes del 15 de julio de cada año, junto con la información que demuestre que cumple uno o más de los motivos de eliminación de la lista especificados en el párrafo 6.</w:t>
      </w:r>
    </w:p>
    <w:p w14:paraId="69C51C0F"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szCs w:val="20"/>
        </w:rPr>
      </w:pPr>
    </w:p>
    <w:p w14:paraId="49D25E8A" w14:textId="31B30EF3"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rPr>
      </w:pPr>
      <w:r w:rsidRPr="005C06AB">
        <w:rPr>
          <w:rFonts w:ascii="Cambria" w:eastAsia="Times New Roman" w:hAnsi="Cambria" w:cs="Times New Roman"/>
          <w:color w:val="000000"/>
          <w:sz w:val="20"/>
        </w:rPr>
        <w:t>Basándose en la información recibida antes del plazo del 15 de julio, el</w:t>
      </w:r>
      <w:r w:rsidR="00E164EA" w:rsidRPr="005C06AB">
        <w:rPr>
          <w:rFonts w:ascii="Cambria" w:eastAsia="Times New Roman" w:hAnsi="Cambria" w:cs="Times New Roman"/>
          <w:color w:val="000000"/>
          <w:sz w:val="20"/>
        </w:rPr>
        <w:t xml:space="preserve"> secretario ejecutivo </w:t>
      </w:r>
      <w:r w:rsidRPr="005C06AB">
        <w:rPr>
          <w:rFonts w:ascii="Cambria" w:eastAsia="Times New Roman" w:hAnsi="Cambria" w:cs="Times New Roman"/>
          <w:color w:val="000000"/>
          <w:sz w:val="20"/>
          <w:szCs w:val="20"/>
        </w:rPr>
        <w:t>transmitirá</w:t>
      </w:r>
      <w:r w:rsidRPr="005C06AB">
        <w:rPr>
          <w:rFonts w:ascii="Cambria" w:eastAsia="Times New Roman" w:hAnsi="Cambria" w:cs="Times New Roman"/>
          <w:color w:val="000000"/>
          <w:sz w:val="20"/>
        </w:rPr>
        <w:t xml:space="preserve"> la solicitud de eliminación, con toda la información de apoyo, a las Partes contratantes en los 15 días posteriores a la recepción de la solicitud de eliminación de la lista.</w:t>
      </w:r>
    </w:p>
    <w:p w14:paraId="2681ADF9" w14:textId="77777777" w:rsidR="009A4AC7" w:rsidRPr="005C06AB" w:rsidRDefault="009A4AC7" w:rsidP="009A4AC7">
      <w:pPr>
        <w:widowControl w:val="0"/>
        <w:pBdr>
          <w:top w:val="nil"/>
          <w:left w:val="nil"/>
          <w:bottom w:val="nil"/>
          <w:right w:val="nil"/>
          <w:between w:val="nil"/>
        </w:pBdr>
        <w:spacing w:after="0" w:line="240" w:lineRule="auto"/>
        <w:ind w:left="720"/>
        <w:contextualSpacing/>
        <w:jc w:val="both"/>
        <w:rPr>
          <w:rFonts w:ascii="Cambria" w:eastAsia="Times New Roman" w:hAnsi="Cambria" w:cs="Times New Roman"/>
          <w:color w:val="000000"/>
          <w:sz w:val="20"/>
        </w:rPr>
      </w:pPr>
    </w:p>
    <w:p w14:paraId="57FBFB21" w14:textId="1EA81D28"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rPr>
      </w:pPr>
      <w:r w:rsidRPr="005C06AB">
        <w:rPr>
          <w:rFonts w:ascii="Cambria" w:eastAsia="Times New Roman" w:hAnsi="Cambria" w:cs="Times New Roman"/>
          <w:color w:val="000000"/>
          <w:sz w:val="20"/>
        </w:rPr>
        <w:t xml:space="preserve">Las </w:t>
      </w:r>
      <w:r w:rsidRPr="005C06AB">
        <w:rPr>
          <w:rFonts w:ascii="Cambria" w:eastAsia="Times New Roman" w:hAnsi="Cambria" w:cs="Times New Roman"/>
          <w:color w:val="000000"/>
          <w:sz w:val="20"/>
          <w:szCs w:val="20"/>
        </w:rPr>
        <w:t>Partes</w:t>
      </w:r>
      <w:r w:rsidRPr="005C06AB">
        <w:rPr>
          <w:rFonts w:ascii="Cambria" w:eastAsia="Times New Roman" w:hAnsi="Cambria" w:cs="Times New Roman"/>
          <w:color w:val="000000"/>
          <w:sz w:val="20"/>
        </w:rPr>
        <w:t xml:space="preserve"> contratantes examinarán la solicitud de eliminar al buque de la lista y responderán en los 30 días posteriores a la notificación del </w:t>
      </w:r>
      <w:r w:rsidR="00E164EA" w:rsidRPr="005C06AB">
        <w:rPr>
          <w:rFonts w:ascii="Cambria" w:eastAsia="Times New Roman" w:hAnsi="Cambria" w:cs="Times New Roman"/>
          <w:color w:val="000000"/>
          <w:sz w:val="20"/>
        </w:rPr>
        <w:t>secretario ejecutivo</w:t>
      </w:r>
      <w:r w:rsidRPr="005C06AB">
        <w:rPr>
          <w:rFonts w:ascii="Cambria" w:eastAsia="Times New Roman" w:hAnsi="Cambria" w:cs="Times New Roman"/>
          <w:color w:val="000000"/>
          <w:sz w:val="20"/>
        </w:rPr>
        <w:t xml:space="preserve"> si objetan a la eliminación del buque de la lista final de buques IUU.  </w:t>
      </w:r>
    </w:p>
    <w:p w14:paraId="78DDFA60"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rPr>
      </w:pPr>
    </w:p>
    <w:p w14:paraId="76DB2976" w14:textId="33F9B246"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rPr>
      </w:pPr>
      <w:r w:rsidRPr="005C06AB">
        <w:rPr>
          <w:rFonts w:ascii="Cambria" w:eastAsia="Times New Roman" w:hAnsi="Cambria" w:cs="Times New Roman"/>
          <w:color w:val="000000"/>
          <w:sz w:val="20"/>
        </w:rPr>
        <w:t xml:space="preserve">El resultado del examen por correo de la solicitud será comprobado por el </w:t>
      </w:r>
      <w:r w:rsidR="00E164EA" w:rsidRPr="005C06AB">
        <w:rPr>
          <w:rFonts w:ascii="Cambria" w:eastAsia="Times New Roman" w:hAnsi="Cambria" w:cs="Times New Roman"/>
          <w:color w:val="000000"/>
          <w:sz w:val="20"/>
        </w:rPr>
        <w:t>secretario ejecutivo</w:t>
      </w:r>
      <w:r w:rsidRPr="005C06AB">
        <w:rPr>
          <w:rFonts w:ascii="Cambria" w:eastAsia="Times New Roman" w:hAnsi="Cambria" w:cs="Times New Roman"/>
          <w:color w:val="000000"/>
          <w:sz w:val="20"/>
        </w:rPr>
        <w:t xml:space="preserve"> al final de </w:t>
      </w:r>
      <w:r w:rsidRPr="005C06AB">
        <w:rPr>
          <w:rFonts w:ascii="Cambria" w:eastAsia="Times New Roman" w:hAnsi="Cambria" w:cs="Times New Roman"/>
          <w:color w:val="000000"/>
          <w:sz w:val="20"/>
          <w:szCs w:val="20"/>
        </w:rPr>
        <w:t>este</w:t>
      </w:r>
      <w:r w:rsidRPr="005C06AB">
        <w:rPr>
          <w:rFonts w:ascii="Cambria" w:eastAsia="Times New Roman" w:hAnsi="Cambria" w:cs="Times New Roman"/>
          <w:color w:val="000000"/>
          <w:sz w:val="20"/>
        </w:rPr>
        <w:t xml:space="preserve"> periodo de 30 días posterior a la fecha de notificación d</w:t>
      </w:r>
      <w:r w:rsidR="00E164EA" w:rsidRPr="005C06AB">
        <w:rPr>
          <w:rFonts w:ascii="Cambria" w:eastAsia="Times New Roman" w:hAnsi="Cambria" w:cs="Times New Roman"/>
          <w:color w:val="000000"/>
          <w:sz w:val="20"/>
        </w:rPr>
        <w:t>el secretario ejecutivo m</w:t>
      </w:r>
      <w:r w:rsidRPr="005C06AB">
        <w:rPr>
          <w:rFonts w:ascii="Cambria" w:eastAsia="Times New Roman" w:hAnsi="Cambria" w:cs="Times New Roman"/>
          <w:color w:val="000000"/>
          <w:sz w:val="20"/>
        </w:rPr>
        <w:t>encionado en el párrafo 15.</w:t>
      </w:r>
    </w:p>
    <w:p w14:paraId="50D285FB"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rPr>
      </w:pPr>
    </w:p>
    <w:p w14:paraId="376AE09A" w14:textId="7E38556E" w:rsidR="009A4AC7" w:rsidRPr="005C06AB" w:rsidRDefault="009A4AC7" w:rsidP="009A4AC7">
      <w:pPr>
        <w:widowControl w:val="0"/>
        <w:pBdr>
          <w:top w:val="nil"/>
          <w:left w:val="nil"/>
          <w:bottom w:val="nil"/>
          <w:right w:val="nil"/>
          <w:between w:val="nil"/>
        </w:pBdr>
        <w:tabs>
          <w:tab w:val="left" w:pos="426"/>
        </w:tabs>
        <w:spacing w:after="0" w:line="240" w:lineRule="auto"/>
        <w:ind w:left="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Si una Parte contratante objeta a la solicitud de eliminación de la lista, el </w:t>
      </w:r>
      <w:r w:rsidR="00E164EA"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 xml:space="preserve">mantendrá el buque en la lista final de buques IUU de ICCAT y la solicitud de eliminación se remitirá al GTP para su consideración en la reunión anual, si lo </w:t>
      </w:r>
      <w:r w:rsidR="009017FA" w:rsidRPr="005C06AB">
        <w:rPr>
          <w:rFonts w:ascii="Cambria" w:eastAsia="Times New Roman" w:hAnsi="Cambria" w:cs="Times New Roman"/>
          <w:color w:val="000000"/>
          <w:sz w:val="20"/>
          <w:szCs w:val="20"/>
        </w:rPr>
        <w:t>pide</w:t>
      </w:r>
      <w:r w:rsidRPr="005C06AB">
        <w:rPr>
          <w:rFonts w:ascii="Cambria" w:eastAsia="Times New Roman" w:hAnsi="Cambria" w:cs="Times New Roman"/>
          <w:color w:val="000000"/>
          <w:sz w:val="20"/>
          <w:szCs w:val="20"/>
        </w:rPr>
        <w:t xml:space="preserve"> la CPC que solicita la eliminación intersesiones de la lista.  Si ninguna Parte contratante objeta a la solicitud de eliminar el buque de la lista, el </w:t>
      </w:r>
      <w:r w:rsidR="00E164EA" w:rsidRPr="005C06AB">
        <w:rPr>
          <w:rFonts w:ascii="Cambria" w:eastAsia="Times New Roman" w:hAnsi="Cambria" w:cs="Times New Roman"/>
          <w:color w:val="000000"/>
          <w:sz w:val="20"/>
          <w:szCs w:val="20"/>
        </w:rPr>
        <w:t xml:space="preserve">secretario ejecutivo </w:t>
      </w:r>
      <w:r w:rsidRPr="005C06AB">
        <w:rPr>
          <w:rFonts w:ascii="Cambria" w:eastAsia="Times New Roman" w:hAnsi="Cambria" w:cs="Times New Roman"/>
          <w:color w:val="000000"/>
          <w:sz w:val="20"/>
          <w:szCs w:val="20"/>
        </w:rPr>
        <w:t xml:space="preserve">eliminará sin demora el buque afectado de la lista final de buques IUU de ICCAT, publicada en el sitio web de ICCAT.  </w:t>
      </w:r>
    </w:p>
    <w:p w14:paraId="1A37356F" w14:textId="77777777" w:rsidR="009A4AC7" w:rsidRPr="005C06AB" w:rsidRDefault="009A4AC7" w:rsidP="009A4AC7">
      <w:pPr>
        <w:widowControl w:val="0"/>
        <w:pBdr>
          <w:top w:val="nil"/>
          <w:left w:val="nil"/>
          <w:bottom w:val="nil"/>
          <w:right w:val="nil"/>
          <w:between w:val="nil"/>
        </w:pBdr>
        <w:tabs>
          <w:tab w:val="left" w:pos="426"/>
        </w:tabs>
        <w:spacing w:after="0" w:line="240" w:lineRule="auto"/>
        <w:ind w:left="478"/>
        <w:contextualSpacing/>
        <w:jc w:val="both"/>
        <w:rPr>
          <w:rFonts w:ascii="Cambria" w:eastAsia="Times New Roman" w:hAnsi="Cambria" w:cs="Times New Roman"/>
          <w:color w:val="000000"/>
          <w:sz w:val="20"/>
        </w:rPr>
      </w:pPr>
    </w:p>
    <w:p w14:paraId="5309B3B9" w14:textId="427F4D0E" w:rsidR="009A4AC7" w:rsidRPr="005C06AB" w:rsidRDefault="009A4AC7" w:rsidP="009A4AC7">
      <w:pPr>
        <w:widowControl w:val="0"/>
        <w:numPr>
          <w:ilvl w:val="0"/>
          <w:numId w:val="7"/>
        </w:numPr>
        <w:pBdr>
          <w:top w:val="nil"/>
          <w:left w:val="nil"/>
          <w:bottom w:val="nil"/>
          <w:right w:val="nil"/>
          <w:between w:val="nil"/>
        </w:pBdr>
        <w:spacing w:after="0" w:line="240" w:lineRule="auto"/>
        <w:ind w:left="426" w:hanging="426"/>
        <w:contextualSpacing/>
        <w:jc w:val="both"/>
        <w:rPr>
          <w:rFonts w:ascii="Cambria" w:eastAsia="Times New Roman" w:hAnsi="Cambria" w:cs="Times New Roman"/>
          <w:color w:val="000000"/>
          <w:sz w:val="20"/>
        </w:rPr>
      </w:pPr>
      <w:r w:rsidRPr="005C06AB">
        <w:rPr>
          <w:rFonts w:ascii="Cambria" w:eastAsia="Times New Roman" w:hAnsi="Cambria" w:cs="Times New Roman"/>
          <w:color w:val="000000"/>
          <w:sz w:val="20"/>
        </w:rPr>
        <w:t xml:space="preserve">El </w:t>
      </w:r>
      <w:r w:rsidR="00E164EA" w:rsidRPr="005C06AB">
        <w:rPr>
          <w:rFonts w:ascii="Cambria" w:eastAsia="Times New Roman" w:hAnsi="Cambria" w:cs="Times New Roman"/>
          <w:color w:val="000000"/>
          <w:sz w:val="20"/>
        </w:rPr>
        <w:t xml:space="preserve">secretario ejecutivo </w:t>
      </w:r>
      <w:r w:rsidRPr="005C06AB">
        <w:rPr>
          <w:rFonts w:ascii="Cambria" w:eastAsia="Times New Roman" w:hAnsi="Cambria" w:cs="Times New Roman"/>
          <w:color w:val="000000"/>
          <w:sz w:val="20"/>
        </w:rPr>
        <w:t>comunicará el resultado del proceso de eliminación de la lista, sin demora, a todas las CPC, así como a las no CPC afectadas.  Además, el</w:t>
      </w:r>
      <w:r w:rsidR="00E164EA" w:rsidRPr="005C06AB">
        <w:rPr>
          <w:rFonts w:ascii="Cambria" w:eastAsia="Times New Roman" w:hAnsi="Cambria" w:cs="Times New Roman"/>
          <w:color w:val="000000"/>
          <w:sz w:val="20"/>
        </w:rPr>
        <w:t xml:space="preserve"> secretario ejecutivo </w:t>
      </w:r>
      <w:r w:rsidRPr="005C06AB">
        <w:rPr>
          <w:rFonts w:ascii="Cambria" w:eastAsia="Times New Roman" w:hAnsi="Cambria" w:cs="Times New Roman"/>
          <w:color w:val="000000"/>
          <w:sz w:val="20"/>
        </w:rPr>
        <w:t>de ICCAT comunicará a otras OROP la decisión de eliminar el buque de la lista.</w:t>
      </w:r>
    </w:p>
    <w:p w14:paraId="3640963A" w14:textId="77777777" w:rsidR="009A4AC7" w:rsidRPr="005C06AB" w:rsidRDefault="009A4AC7" w:rsidP="009A4AC7">
      <w:pPr>
        <w:widowControl w:val="0"/>
        <w:autoSpaceDE w:val="0"/>
        <w:autoSpaceDN w:val="0"/>
        <w:spacing w:after="0" w:line="240" w:lineRule="auto"/>
        <w:rPr>
          <w:rFonts w:ascii="Cambria" w:eastAsia="Times New Roman" w:hAnsi="Cambria" w:cs="Times New Roman"/>
          <w:sz w:val="20"/>
          <w:szCs w:val="20"/>
        </w:rPr>
      </w:pPr>
    </w:p>
    <w:p w14:paraId="66CFF6A0" w14:textId="77777777" w:rsidR="009A4AC7" w:rsidRPr="005C06AB" w:rsidRDefault="009A4AC7" w:rsidP="009A4AC7">
      <w:pPr>
        <w:widowControl w:val="0"/>
        <w:pBdr>
          <w:top w:val="nil"/>
          <w:left w:val="nil"/>
          <w:bottom w:val="nil"/>
          <w:right w:val="nil"/>
          <w:between w:val="nil"/>
        </w:pBdr>
        <w:spacing w:after="0" w:line="240" w:lineRule="auto"/>
        <w:outlineLvl w:val="0"/>
        <w:rPr>
          <w:rFonts w:ascii="Cambria" w:eastAsia="Times New Roman" w:hAnsi="Cambria" w:cs="Times New Roman"/>
          <w:b/>
          <w:color w:val="000000"/>
          <w:sz w:val="20"/>
          <w:szCs w:val="20"/>
        </w:rPr>
      </w:pPr>
      <w:r w:rsidRPr="005C06AB">
        <w:rPr>
          <w:rFonts w:ascii="Cambria" w:eastAsia="Times New Roman" w:hAnsi="Cambria" w:cs="Times New Roman"/>
          <w:b/>
          <w:color w:val="000000"/>
          <w:sz w:val="20"/>
          <w:szCs w:val="20"/>
        </w:rPr>
        <w:t>Disposiciones generales</w:t>
      </w:r>
    </w:p>
    <w:p w14:paraId="533543DF" w14:textId="77777777" w:rsidR="009A4AC7" w:rsidRPr="005C06AB" w:rsidRDefault="009A4AC7" w:rsidP="009A4AC7">
      <w:pPr>
        <w:spacing w:after="0" w:line="240" w:lineRule="auto"/>
        <w:ind w:right="111"/>
        <w:jc w:val="both"/>
        <w:textAlignment w:val="baseline"/>
        <w:rPr>
          <w:rFonts w:ascii="Cambria" w:eastAsia="Times New Roman" w:hAnsi="Cambria" w:cs="Times New Roman"/>
          <w:b/>
          <w:sz w:val="19"/>
          <w:szCs w:val="20"/>
        </w:rPr>
      </w:pPr>
    </w:p>
    <w:p w14:paraId="3D79A37E" w14:textId="77777777" w:rsidR="009A4AC7" w:rsidRPr="005C06AB" w:rsidRDefault="009A4AC7" w:rsidP="009A4AC7">
      <w:pPr>
        <w:widowControl w:val="0"/>
        <w:numPr>
          <w:ilvl w:val="0"/>
          <w:numId w:val="7"/>
        </w:numPr>
        <w:pBdr>
          <w:top w:val="nil"/>
          <w:left w:val="nil"/>
          <w:bottom w:val="nil"/>
          <w:right w:val="nil"/>
          <w:between w:val="nil"/>
        </w:pBdr>
        <w:tabs>
          <w:tab w:val="left" w:pos="426"/>
        </w:tabs>
        <w:spacing w:after="0" w:line="240" w:lineRule="auto"/>
        <w:ind w:left="426" w:hanging="426"/>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Esta Recomendación se aplicará, </w:t>
      </w:r>
      <w:r w:rsidRPr="005C06AB">
        <w:rPr>
          <w:rFonts w:ascii="Cambria" w:eastAsia="Times New Roman" w:hAnsi="Cambria" w:cs="Times New Roman"/>
          <w:i/>
          <w:color w:val="000000"/>
          <w:sz w:val="20"/>
          <w:szCs w:val="20"/>
        </w:rPr>
        <w:t>mutatis mutandis</w:t>
      </w:r>
      <w:r w:rsidRPr="005C06AB">
        <w:rPr>
          <w:rFonts w:ascii="Cambria" w:eastAsia="Times New Roman" w:hAnsi="Cambria" w:cs="Times New Roman"/>
          <w:color w:val="000000"/>
          <w:sz w:val="20"/>
          <w:szCs w:val="20"/>
        </w:rPr>
        <w:t>, a los buques de transformación de pescado, a los buques remolcadores, a los buques que participan en transbordos, a los buques de apoyo y a otros buques que participen en actividades relacionadas con la pesca que recaen bajo el mandato de ICCAT.</w:t>
      </w:r>
    </w:p>
    <w:p w14:paraId="7E81FEAC" w14:textId="77777777" w:rsidR="009A4AC7" w:rsidRPr="005C06AB" w:rsidRDefault="009A4AC7" w:rsidP="009A4AC7">
      <w:pPr>
        <w:spacing w:after="0" w:line="240" w:lineRule="auto"/>
        <w:ind w:left="478" w:right="111"/>
        <w:jc w:val="both"/>
        <w:textAlignment w:val="baseline"/>
        <w:rPr>
          <w:rFonts w:ascii="Cambria" w:eastAsia="Times New Roman" w:hAnsi="Cambria" w:cs="Times New Roman"/>
          <w:color w:val="000000"/>
          <w:sz w:val="20"/>
          <w:szCs w:val="20"/>
        </w:rPr>
      </w:pPr>
    </w:p>
    <w:p w14:paraId="40BCD402" w14:textId="09345039" w:rsidR="00FD433D" w:rsidRPr="005C06AB" w:rsidRDefault="009A4AC7" w:rsidP="00B71F2E">
      <w:pPr>
        <w:widowControl w:val="0"/>
        <w:numPr>
          <w:ilvl w:val="0"/>
          <w:numId w:val="7"/>
        </w:numPr>
        <w:pBdr>
          <w:top w:val="nil"/>
          <w:left w:val="nil"/>
          <w:bottom w:val="nil"/>
          <w:right w:val="nil"/>
          <w:between w:val="nil"/>
        </w:pBdr>
        <w:tabs>
          <w:tab w:val="left" w:pos="426"/>
        </w:tabs>
        <w:spacing w:after="0" w:line="240" w:lineRule="auto"/>
        <w:ind w:left="426" w:right="111" w:hanging="426"/>
        <w:jc w:val="both"/>
        <w:rPr>
          <w:rFonts w:ascii="Cambria" w:hAnsi="Cambria"/>
          <w:i/>
          <w:color w:val="000000"/>
          <w:sz w:val="20"/>
        </w:rPr>
      </w:pPr>
      <w:r w:rsidRPr="005C06AB">
        <w:rPr>
          <w:rFonts w:ascii="Cambria" w:eastAsia="Times New Roman" w:hAnsi="Cambria" w:cs="Times New Roman"/>
          <w:color w:val="000000"/>
          <w:sz w:val="20"/>
        </w:rPr>
        <w:t xml:space="preserve">Esta </w:t>
      </w:r>
      <w:r w:rsidRPr="005C06AB">
        <w:rPr>
          <w:rFonts w:ascii="Cambria" w:eastAsia="Times New Roman" w:hAnsi="Cambria" w:cs="Times New Roman"/>
          <w:color w:val="000000"/>
          <w:sz w:val="20"/>
          <w:szCs w:val="20"/>
        </w:rPr>
        <w:t>Recomendación</w:t>
      </w:r>
      <w:r w:rsidRPr="005C06AB">
        <w:rPr>
          <w:rFonts w:ascii="Cambria" w:eastAsia="Times New Roman" w:hAnsi="Cambria" w:cs="Times New Roman"/>
          <w:color w:val="000000"/>
          <w:sz w:val="20"/>
        </w:rPr>
        <w:t xml:space="preserve"> revoca la </w:t>
      </w:r>
      <w:r w:rsidR="00CC7611" w:rsidRPr="005C06AB">
        <w:rPr>
          <w:rFonts w:ascii="Cambria" w:eastAsia="Times New Roman" w:hAnsi="Cambria" w:cs="Times New Roman"/>
          <w:i/>
          <w:iCs/>
          <w:color w:val="000000"/>
          <w:sz w:val="20"/>
        </w:rPr>
        <w:t>Recomendación de ICCAT que enmienda la Recomendación 18-08 para establecer una lista de buques supuestamente implicados en actividades de pesca ilegal, no declarada y no reglamentada</w:t>
      </w:r>
      <w:r w:rsidR="00FD433D" w:rsidRPr="005C06AB">
        <w:rPr>
          <w:rFonts w:ascii="Cambria" w:hAnsi="Cambria"/>
          <w:i/>
          <w:color w:val="000000"/>
          <w:sz w:val="20"/>
        </w:rPr>
        <w:t xml:space="preserve"> </w:t>
      </w:r>
      <w:r w:rsidR="00FD433D" w:rsidRPr="005C06AB">
        <w:rPr>
          <w:rFonts w:ascii="Cambria" w:hAnsi="Cambria"/>
          <w:iCs/>
          <w:color w:val="000000"/>
          <w:sz w:val="20"/>
        </w:rPr>
        <w:t xml:space="preserve">(Rec. </w:t>
      </w:r>
      <w:r w:rsidR="00CC7611" w:rsidRPr="005C06AB">
        <w:rPr>
          <w:rFonts w:ascii="Cambria" w:hAnsi="Cambria"/>
          <w:iCs/>
          <w:color w:val="000000"/>
          <w:sz w:val="20"/>
        </w:rPr>
        <w:t>21</w:t>
      </w:r>
      <w:r w:rsidR="00FD433D" w:rsidRPr="005C06AB">
        <w:rPr>
          <w:rFonts w:ascii="Cambria" w:hAnsi="Cambria"/>
          <w:iCs/>
          <w:color w:val="000000"/>
          <w:sz w:val="20"/>
        </w:rPr>
        <w:t>-</w:t>
      </w:r>
      <w:r w:rsidR="00CC7611" w:rsidRPr="005C06AB">
        <w:rPr>
          <w:rFonts w:ascii="Cambria" w:hAnsi="Cambria"/>
          <w:iCs/>
          <w:color w:val="000000"/>
          <w:sz w:val="20"/>
        </w:rPr>
        <w:t>13</w:t>
      </w:r>
      <w:r w:rsidR="00FD433D" w:rsidRPr="005C06AB">
        <w:rPr>
          <w:rFonts w:ascii="Cambria" w:hAnsi="Cambria"/>
          <w:iCs/>
          <w:color w:val="000000"/>
          <w:sz w:val="20"/>
        </w:rPr>
        <w:t>)</w:t>
      </w:r>
      <w:r w:rsidR="009017FA" w:rsidRPr="005C06AB">
        <w:rPr>
          <w:rFonts w:ascii="Cambria" w:hAnsi="Cambria"/>
          <w:iCs/>
          <w:color w:val="000000"/>
          <w:sz w:val="20"/>
        </w:rPr>
        <w:t xml:space="preserve"> y la sustituye</w:t>
      </w:r>
      <w:r w:rsidR="00FD433D" w:rsidRPr="005C06AB">
        <w:rPr>
          <w:rFonts w:ascii="Cambria" w:hAnsi="Cambria"/>
          <w:iCs/>
          <w:color w:val="000000"/>
          <w:sz w:val="20"/>
        </w:rPr>
        <w:t>.</w:t>
      </w:r>
    </w:p>
    <w:p w14:paraId="2496682D" w14:textId="77777777" w:rsidR="009A4AC7" w:rsidRPr="005C06AB"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Cambria" w:hAnsi="Cambria" w:cs="Cambria"/>
          <w:b/>
          <w:sz w:val="20"/>
          <w:szCs w:val="20"/>
        </w:rPr>
      </w:pPr>
    </w:p>
    <w:p w14:paraId="3927407E" w14:textId="77777777" w:rsidR="009A4AC7" w:rsidRPr="005C06AB"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r w:rsidRPr="005C06AB">
        <w:rPr>
          <w:rFonts w:ascii="Cambria" w:eastAsia="Cambria" w:hAnsi="Cambria" w:cs="Cambria"/>
          <w:b/>
          <w:sz w:val="20"/>
          <w:szCs w:val="20"/>
        </w:rPr>
        <w:t xml:space="preserve">Adenda 1 </w:t>
      </w:r>
    </w:p>
    <w:p w14:paraId="31E1F9D1" w14:textId="77777777" w:rsidR="009A4AC7" w:rsidRPr="005C06AB"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p>
    <w:p w14:paraId="45398AD0" w14:textId="77777777" w:rsidR="009A4AC7" w:rsidRPr="005C06AB"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Cambria" w:hAnsi="Cambria" w:cs="Cambria"/>
          <w:b/>
          <w:sz w:val="20"/>
          <w:szCs w:val="20"/>
        </w:rPr>
      </w:pPr>
      <w:r w:rsidRPr="005C06AB">
        <w:rPr>
          <w:rFonts w:ascii="Cambria" w:eastAsia="Cambria" w:hAnsi="Cambria" w:cs="Cambria"/>
          <w:b/>
          <w:sz w:val="20"/>
          <w:szCs w:val="20"/>
        </w:rPr>
        <w:t>Formulario de comunicación de actividades IUU de ICCAT</w:t>
      </w:r>
    </w:p>
    <w:p w14:paraId="4B8F16C4" w14:textId="77777777" w:rsidR="009A4AC7" w:rsidRPr="005C06AB" w:rsidRDefault="009A4AC7" w:rsidP="009A4AC7">
      <w:pPr>
        <w:keepNext/>
        <w:keepLines/>
        <w:widowControl w:val="0"/>
        <w:pBdr>
          <w:top w:val="nil"/>
          <w:left w:val="nil"/>
          <w:bottom w:val="nil"/>
          <w:right w:val="nil"/>
          <w:between w:val="nil"/>
        </w:pBdr>
        <w:spacing w:after="0" w:line="240" w:lineRule="auto"/>
        <w:jc w:val="center"/>
        <w:outlineLvl w:val="2"/>
        <w:rPr>
          <w:rFonts w:ascii="Cambria" w:eastAsia="Times New Roman" w:hAnsi="Cambria" w:cs="Times New Roman"/>
          <w:b/>
          <w:sz w:val="20"/>
          <w:szCs w:val="20"/>
        </w:rPr>
      </w:pPr>
    </w:p>
    <w:p w14:paraId="4B6948CD" w14:textId="77777777" w:rsidR="009A4AC7" w:rsidRPr="005C06AB"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r w:rsidRPr="005C06AB">
        <w:rPr>
          <w:rFonts w:ascii="Cambria" w:eastAsia="Times New Roman" w:hAnsi="Cambria" w:cs="Times New Roman"/>
          <w:sz w:val="20"/>
          <w:szCs w:val="20"/>
        </w:rPr>
        <w:t>De conformidad con el párrafo 2 de la presente Recomendación se adjuntan los detalles de la supuesta actividad IUU e información disponible sobre el buque.</w:t>
      </w:r>
    </w:p>
    <w:p w14:paraId="211AB405"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sz w:val="20"/>
          <w:szCs w:val="20"/>
        </w:rPr>
      </w:pPr>
    </w:p>
    <w:p w14:paraId="1878EB9A" w14:textId="77777777" w:rsidR="009A4AC7" w:rsidRPr="005C06AB" w:rsidRDefault="009A4AC7" w:rsidP="009A4AC7">
      <w:pPr>
        <w:widowControl w:val="0"/>
        <w:numPr>
          <w:ilvl w:val="0"/>
          <w:numId w:val="6"/>
        </w:numPr>
        <w:pBdr>
          <w:top w:val="nil"/>
          <w:left w:val="nil"/>
          <w:bottom w:val="nil"/>
          <w:right w:val="nil"/>
          <w:between w:val="nil"/>
        </w:pBdr>
        <w:spacing w:after="0" w:line="240" w:lineRule="auto"/>
        <w:ind w:left="426" w:hanging="426"/>
        <w:jc w:val="both"/>
        <w:outlineLvl w:val="2"/>
        <w:rPr>
          <w:rFonts w:ascii="Cambria" w:eastAsia="Cambria" w:hAnsi="Cambria" w:cs="Cambria"/>
          <w:b/>
        </w:rPr>
      </w:pPr>
      <w:r w:rsidRPr="005C06AB">
        <w:rPr>
          <w:rFonts w:ascii="Cambria" w:eastAsia="Cambria" w:hAnsi="Cambria" w:cs="Cambria"/>
          <w:b/>
          <w:sz w:val="20"/>
          <w:szCs w:val="20"/>
        </w:rPr>
        <w:t>Detalles del buque</w:t>
      </w:r>
    </w:p>
    <w:p w14:paraId="71F326DE" w14:textId="77777777" w:rsidR="009A4AC7" w:rsidRPr="005C06AB"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i/>
          <w:iCs/>
          <w:color w:val="000000"/>
          <w:sz w:val="20"/>
          <w:szCs w:val="20"/>
        </w:rPr>
      </w:pPr>
      <w:r w:rsidRPr="005C06AB">
        <w:rPr>
          <w:rFonts w:ascii="Cambria" w:eastAsia="Times New Roman" w:hAnsi="Cambria" w:cs="Times New Roman"/>
          <w:i/>
          <w:color w:val="000000"/>
          <w:sz w:val="20"/>
          <w:szCs w:val="20"/>
        </w:rPr>
        <w:t>(Se ruega detallar la información sobre el buque y los incidentes en el siguiente formulario, cuando dicha información sea aplicable y esté disponible)</w:t>
      </w:r>
    </w:p>
    <w:p w14:paraId="18270E22"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i/>
          <w:iCs/>
          <w:color w:val="000000"/>
          <w:sz w:val="20"/>
          <w:szCs w:val="20"/>
        </w:rPr>
      </w:pPr>
    </w:p>
    <w:tbl>
      <w:tblPr>
        <w:tblW w:w="953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5103"/>
        <w:gridCol w:w="3153"/>
      </w:tblGrid>
      <w:tr w:rsidR="009A4AC7" w:rsidRPr="005C06AB" w14:paraId="277B686E" w14:textId="77777777" w:rsidTr="001F42EC">
        <w:trPr>
          <w:trHeight w:val="240"/>
        </w:trPr>
        <w:tc>
          <w:tcPr>
            <w:tcW w:w="1279" w:type="dxa"/>
          </w:tcPr>
          <w:p w14:paraId="2D55EF04" w14:textId="77777777" w:rsidR="009A4AC7" w:rsidRPr="005C06AB" w:rsidRDefault="009A4AC7" w:rsidP="009A4AC7">
            <w:pPr>
              <w:widowControl w:val="0"/>
              <w:pBdr>
                <w:top w:val="nil"/>
                <w:left w:val="nil"/>
                <w:bottom w:val="nil"/>
                <w:right w:val="nil"/>
                <w:between w:val="nil"/>
              </w:pBdr>
              <w:spacing w:after="0" w:line="240" w:lineRule="auto"/>
              <w:ind w:left="134" w:right="123"/>
              <w:jc w:val="center"/>
              <w:rPr>
                <w:rFonts w:ascii="Cambria" w:eastAsia="Times New Roman" w:hAnsi="Cambria" w:cs="Times New Roman"/>
                <w:bCs/>
                <w:i/>
                <w:iCs/>
                <w:color w:val="000000"/>
                <w:sz w:val="20"/>
                <w:szCs w:val="20"/>
              </w:rPr>
            </w:pPr>
            <w:r w:rsidRPr="005C06AB">
              <w:rPr>
                <w:rFonts w:ascii="Cambria" w:eastAsia="Times New Roman" w:hAnsi="Cambria" w:cs="Times New Roman"/>
                <w:bCs/>
                <w:i/>
                <w:iCs/>
                <w:color w:val="000000"/>
                <w:sz w:val="20"/>
                <w:szCs w:val="20"/>
              </w:rPr>
              <w:t>Punto</w:t>
            </w:r>
          </w:p>
        </w:tc>
        <w:tc>
          <w:tcPr>
            <w:tcW w:w="5103" w:type="dxa"/>
          </w:tcPr>
          <w:p w14:paraId="54BF3CE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Cs/>
                <w:i/>
                <w:iCs/>
                <w:color w:val="000000"/>
                <w:sz w:val="20"/>
                <w:szCs w:val="20"/>
              </w:rPr>
            </w:pPr>
          </w:p>
        </w:tc>
        <w:tc>
          <w:tcPr>
            <w:tcW w:w="3153" w:type="dxa"/>
          </w:tcPr>
          <w:p w14:paraId="47912D15"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bCs/>
                <w:i/>
                <w:iCs/>
                <w:color w:val="000000"/>
                <w:sz w:val="20"/>
                <w:szCs w:val="20"/>
              </w:rPr>
            </w:pPr>
            <w:r w:rsidRPr="005C06AB">
              <w:rPr>
                <w:rFonts w:ascii="Cambria" w:eastAsia="Times New Roman" w:hAnsi="Cambria" w:cs="Times New Roman"/>
                <w:bCs/>
                <w:i/>
                <w:iCs/>
                <w:color w:val="000000"/>
                <w:sz w:val="20"/>
                <w:szCs w:val="20"/>
              </w:rPr>
              <w:t>Información disponible</w:t>
            </w:r>
          </w:p>
        </w:tc>
      </w:tr>
      <w:tr w:rsidR="009A4AC7" w:rsidRPr="005C06AB" w14:paraId="0B730245" w14:textId="77777777" w:rsidTr="001F42EC">
        <w:trPr>
          <w:trHeight w:val="240"/>
        </w:trPr>
        <w:tc>
          <w:tcPr>
            <w:tcW w:w="1279" w:type="dxa"/>
          </w:tcPr>
          <w:p w14:paraId="446209B8" w14:textId="18C775C6" w:rsidR="009A4AC7" w:rsidRPr="005C06AB"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A</w:t>
            </w:r>
          </w:p>
        </w:tc>
        <w:tc>
          <w:tcPr>
            <w:tcW w:w="5103" w:type="dxa"/>
          </w:tcPr>
          <w:p w14:paraId="001BB5CF"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Nombre del buque y nombres previos</w:t>
            </w:r>
          </w:p>
        </w:tc>
        <w:tc>
          <w:tcPr>
            <w:tcW w:w="3153" w:type="dxa"/>
          </w:tcPr>
          <w:p w14:paraId="421A7122"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5D8201C3" w14:textId="77777777" w:rsidTr="001F42EC">
        <w:trPr>
          <w:trHeight w:val="240"/>
        </w:trPr>
        <w:tc>
          <w:tcPr>
            <w:tcW w:w="1279" w:type="dxa"/>
          </w:tcPr>
          <w:p w14:paraId="562AB58E" w14:textId="7AC8C3BE"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B</w:t>
            </w:r>
          </w:p>
        </w:tc>
        <w:tc>
          <w:tcPr>
            <w:tcW w:w="5103" w:type="dxa"/>
          </w:tcPr>
          <w:p w14:paraId="3F83F409"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Pabellón y pabellones previos</w:t>
            </w:r>
          </w:p>
        </w:tc>
        <w:tc>
          <w:tcPr>
            <w:tcW w:w="3153" w:type="dxa"/>
          </w:tcPr>
          <w:p w14:paraId="4435C2E1"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025A1931" w14:textId="77777777" w:rsidTr="001F42EC">
        <w:trPr>
          <w:trHeight w:val="255"/>
        </w:trPr>
        <w:tc>
          <w:tcPr>
            <w:tcW w:w="1279" w:type="dxa"/>
          </w:tcPr>
          <w:p w14:paraId="5F8A6F61" w14:textId="030A43F1" w:rsidR="009A4AC7" w:rsidRPr="005C06AB"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w:t>
            </w:r>
          </w:p>
        </w:tc>
        <w:tc>
          <w:tcPr>
            <w:tcW w:w="5103" w:type="dxa"/>
          </w:tcPr>
          <w:p w14:paraId="5CDFB866"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Armador y armador previo, incluido propietario real</w:t>
            </w:r>
          </w:p>
        </w:tc>
        <w:tc>
          <w:tcPr>
            <w:tcW w:w="3153" w:type="dxa"/>
          </w:tcPr>
          <w:p w14:paraId="0DB20AEF"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74F5CD48" w14:textId="77777777" w:rsidTr="001F42EC">
        <w:trPr>
          <w:trHeight w:val="240"/>
        </w:trPr>
        <w:tc>
          <w:tcPr>
            <w:tcW w:w="1279" w:type="dxa"/>
          </w:tcPr>
          <w:p w14:paraId="55852047" w14:textId="3BDD2807"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D</w:t>
            </w:r>
          </w:p>
        </w:tc>
        <w:tc>
          <w:tcPr>
            <w:tcW w:w="5103" w:type="dxa"/>
          </w:tcPr>
          <w:p w14:paraId="6F341577"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Lugar de registro del armador</w:t>
            </w:r>
          </w:p>
        </w:tc>
        <w:tc>
          <w:tcPr>
            <w:tcW w:w="3153" w:type="dxa"/>
          </w:tcPr>
          <w:p w14:paraId="3C2866A0"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2480CC4A" w14:textId="77777777" w:rsidTr="001F42EC">
        <w:trPr>
          <w:trHeight w:val="240"/>
        </w:trPr>
        <w:tc>
          <w:tcPr>
            <w:tcW w:w="1279" w:type="dxa"/>
          </w:tcPr>
          <w:p w14:paraId="14D13619" w14:textId="2E556638" w:rsidR="009A4AC7" w:rsidRPr="005C06AB"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E</w:t>
            </w:r>
          </w:p>
        </w:tc>
        <w:tc>
          <w:tcPr>
            <w:tcW w:w="5103" w:type="dxa"/>
          </w:tcPr>
          <w:p w14:paraId="39152923"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Operador y operadores previos </w:t>
            </w:r>
          </w:p>
        </w:tc>
        <w:tc>
          <w:tcPr>
            <w:tcW w:w="3153" w:type="dxa"/>
          </w:tcPr>
          <w:p w14:paraId="7BD7E533"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20835927" w14:textId="77777777" w:rsidTr="001F42EC">
        <w:trPr>
          <w:trHeight w:val="240"/>
        </w:trPr>
        <w:tc>
          <w:tcPr>
            <w:tcW w:w="1279" w:type="dxa"/>
          </w:tcPr>
          <w:p w14:paraId="7C2A08F9" w14:textId="1D3F3C60" w:rsidR="009A4AC7" w:rsidRPr="005C06AB" w:rsidRDefault="004319A2" w:rsidP="009A4AC7">
            <w:pPr>
              <w:widowControl w:val="0"/>
              <w:pBdr>
                <w:top w:val="nil"/>
                <w:left w:val="nil"/>
                <w:bottom w:val="nil"/>
                <w:right w:val="nil"/>
                <w:between w:val="nil"/>
              </w:pBdr>
              <w:spacing w:after="0" w:line="240" w:lineRule="auto"/>
              <w:ind w:left="17"/>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F</w:t>
            </w:r>
          </w:p>
        </w:tc>
        <w:tc>
          <w:tcPr>
            <w:tcW w:w="5103" w:type="dxa"/>
          </w:tcPr>
          <w:p w14:paraId="73A72D58"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lang w:val="pt-BR"/>
              </w:rPr>
            </w:pPr>
            <w:r w:rsidRPr="005C06AB">
              <w:rPr>
                <w:rFonts w:ascii="Cambria" w:eastAsia="Times New Roman" w:hAnsi="Cambria" w:cs="Times New Roman"/>
                <w:color w:val="000000"/>
                <w:sz w:val="20"/>
                <w:szCs w:val="20"/>
                <w:lang w:val="pt-BR"/>
              </w:rPr>
              <w:t>Indicativo de radio e indicativos de radio previos</w:t>
            </w:r>
          </w:p>
        </w:tc>
        <w:tc>
          <w:tcPr>
            <w:tcW w:w="3153" w:type="dxa"/>
          </w:tcPr>
          <w:p w14:paraId="6F837098"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lang w:val="pt-BR"/>
              </w:rPr>
            </w:pPr>
          </w:p>
        </w:tc>
      </w:tr>
      <w:tr w:rsidR="009A4AC7" w:rsidRPr="005C06AB" w14:paraId="61ADB0FF" w14:textId="77777777" w:rsidTr="001F42EC">
        <w:trPr>
          <w:trHeight w:val="240"/>
        </w:trPr>
        <w:tc>
          <w:tcPr>
            <w:tcW w:w="1279" w:type="dxa"/>
          </w:tcPr>
          <w:p w14:paraId="69FFF03A" w14:textId="1DFBF409"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G</w:t>
            </w:r>
          </w:p>
        </w:tc>
        <w:tc>
          <w:tcPr>
            <w:tcW w:w="5103" w:type="dxa"/>
          </w:tcPr>
          <w:p w14:paraId="1AAFD0B7"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Número OMI</w:t>
            </w:r>
          </w:p>
        </w:tc>
        <w:tc>
          <w:tcPr>
            <w:tcW w:w="3153" w:type="dxa"/>
          </w:tcPr>
          <w:p w14:paraId="65E6C8AE"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5D59FA24" w14:textId="77777777" w:rsidTr="001F42EC">
        <w:trPr>
          <w:trHeight w:val="500"/>
        </w:trPr>
        <w:tc>
          <w:tcPr>
            <w:tcW w:w="1279" w:type="dxa"/>
          </w:tcPr>
          <w:p w14:paraId="5F6C1528" w14:textId="65CDC9D8"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H</w:t>
            </w:r>
          </w:p>
        </w:tc>
        <w:tc>
          <w:tcPr>
            <w:tcW w:w="5103" w:type="dxa"/>
          </w:tcPr>
          <w:p w14:paraId="5074764C"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Identificador único del buque (UVI) o, si no procede,</w:t>
            </w:r>
          </w:p>
          <w:p w14:paraId="1EEB287D"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cualquier otro identificador del buque</w:t>
            </w:r>
          </w:p>
        </w:tc>
        <w:tc>
          <w:tcPr>
            <w:tcW w:w="3153" w:type="dxa"/>
          </w:tcPr>
          <w:p w14:paraId="3E7D05F2"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45EFC15A" w14:textId="77777777" w:rsidTr="001F42EC">
        <w:trPr>
          <w:trHeight w:val="240"/>
        </w:trPr>
        <w:tc>
          <w:tcPr>
            <w:tcW w:w="1279" w:type="dxa"/>
          </w:tcPr>
          <w:p w14:paraId="5FDE2020" w14:textId="22C555BD" w:rsidR="009A4AC7" w:rsidRPr="005C06AB" w:rsidRDefault="004319A2" w:rsidP="009A4AC7">
            <w:pPr>
              <w:widowControl w:val="0"/>
              <w:pBdr>
                <w:top w:val="nil"/>
                <w:left w:val="nil"/>
                <w:bottom w:val="nil"/>
                <w:right w:val="nil"/>
                <w:between w:val="nil"/>
              </w:pBdr>
              <w:spacing w:after="0" w:line="240" w:lineRule="auto"/>
              <w:ind w:left="13"/>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I</w:t>
            </w:r>
          </w:p>
        </w:tc>
        <w:tc>
          <w:tcPr>
            <w:tcW w:w="5103" w:type="dxa"/>
          </w:tcPr>
          <w:p w14:paraId="67835ECA"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Eslora total</w:t>
            </w:r>
          </w:p>
        </w:tc>
        <w:tc>
          <w:tcPr>
            <w:tcW w:w="3153" w:type="dxa"/>
          </w:tcPr>
          <w:p w14:paraId="35D84C31"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5C4E3512" w14:textId="77777777" w:rsidTr="001F42EC">
        <w:trPr>
          <w:trHeight w:val="240"/>
        </w:trPr>
        <w:tc>
          <w:tcPr>
            <w:tcW w:w="1279" w:type="dxa"/>
          </w:tcPr>
          <w:p w14:paraId="19D97376" w14:textId="0776E737" w:rsidR="009A4AC7" w:rsidRPr="005C06AB" w:rsidRDefault="004319A2" w:rsidP="009A4AC7">
            <w:pPr>
              <w:widowControl w:val="0"/>
              <w:pBdr>
                <w:top w:val="nil"/>
                <w:left w:val="nil"/>
                <w:bottom w:val="nil"/>
                <w:right w:val="nil"/>
                <w:between w:val="nil"/>
              </w:pBdr>
              <w:spacing w:after="0" w:line="240" w:lineRule="auto"/>
              <w:ind w:left="13"/>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J</w:t>
            </w:r>
          </w:p>
        </w:tc>
        <w:tc>
          <w:tcPr>
            <w:tcW w:w="5103" w:type="dxa"/>
          </w:tcPr>
          <w:p w14:paraId="462F4092"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Fotografías</w:t>
            </w:r>
          </w:p>
        </w:tc>
        <w:tc>
          <w:tcPr>
            <w:tcW w:w="3153" w:type="dxa"/>
          </w:tcPr>
          <w:p w14:paraId="1DCCFE8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7DDE41B8" w14:textId="77777777" w:rsidTr="001F42EC">
        <w:trPr>
          <w:trHeight w:val="500"/>
        </w:trPr>
        <w:tc>
          <w:tcPr>
            <w:tcW w:w="1279" w:type="dxa"/>
          </w:tcPr>
          <w:p w14:paraId="3F56E92D" w14:textId="7790DB41"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K</w:t>
            </w:r>
          </w:p>
        </w:tc>
        <w:tc>
          <w:tcPr>
            <w:tcW w:w="5103" w:type="dxa"/>
          </w:tcPr>
          <w:p w14:paraId="043C43EF"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Fecha de primera inclusión en la lista de buques IUU de ICCAT</w:t>
            </w:r>
          </w:p>
        </w:tc>
        <w:tc>
          <w:tcPr>
            <w:tcW w:w="3153" w:type="dxa"/>
          </w:tcPr>
          <w:p w14:paraId="1706E079"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3334639E" w14:textId="77777777" w:rsidTr="001F42EC">
        <w:trPr>
          <w:trHeight w:val="240"/>
        </w:trPr>
        <w:tc>
          <w:tcPr>
            <w:tcW w:w="1279" w:type="dxa"/>
          </w:tcPr>
          <w:p w14:paraId="528C1FC9" w14:textId="0B384840" w:rsidR="009A4AC7" w:rsidRPr="005C06AB" w:rsidRDefault="004319A2" w:rsidP="009A4AC7">
            <w:pPr>
              <w:widowControl w:val="0"/>
              <w:pBdr>
                <w:top w:val="nil"/>
                <w:left w:val="nil"/>
                <w:bottom w:val="nil"/>
                <w:right w:val="nil"/>
                <w:between w:val="nil"/>
              </w:pBdr>
              <w:spacing w:after="0" w:line="240" w:lineRule="auto"/>
              <w:ind w:left="13"/>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L</w:t>
            </w:r>
          </w:p>
        </w:tc>
        <w:tc>
          <w:tcPr>
            <w:tcW w:w="5103" w:type="dxa"/>
          </w:tcPr>
          <w:p w14:paraId="64AC4A3E"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Fecha de las presuntas actividades de pesca IUU</w:t>
            </w:r>
          </w:p>
        </w:tc>
        <w:tc>
          <w:tcPr>
            <w:tcW w:w="3153" w:type="dxa"/>
          </w:tcPr>
          <w:p w14:paraId="40A91FC3"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2A269E42" w14:textId="77777777" w:rsidTr="001F42EC">
        <w:trPr>
          <w:trHeight w:val="240"/>
        </w:trPr>
        <w:tc>
          <w:tcPr>
            <w:tcW w:w="1279" w:type="dxa"/>
          </w:tcPr>
          <w:p w14:paraId="7BDE6DD3" w14:textId="093867A4" w:rsidR="009A4AC7" w:rsidRPr="005C06AB" w:rsidRDefault="004319A2" w:rsidP="009A4AC7">
            <w:pPr>
              <w:widowControl w:val="0"/>
              <w:pBdr>
                <w:top w:val="nil"/>
                <w:left w:val="nil"/>
                <w:bottom w:val="nil"/>
                <w:right w:val="nil"/>
                <w:between w:val="nil"/>
              </w:pBdr>
              <w:spacing w:after="0" w:line="240" w:lineRule="auto"/>
              <w:ind w:left="11"/>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M</w:t>
            </w:r>
          </w:p>
        </w:tc>
        <w:tc>
          <w:tcPr>
            <w:tcW w:w="5103" w:type="dxa"/>
          </w:tcPr>
          <w:p w14:paraId="1F283828"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Posición de las presuntas actividades de pesca IUU</w:t>
            </w:r>
          </w:p>
        </w:tc>
        <w:tc>
          <w:tcPr>
            <w:tcW w:w="3153" w:type="dxa"/>
          </w:tcPr>
          <w:p w14:paraId="64FF1DC9"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21A2B029" w14:textId="77777777" w:rsidTr="001F42EC">
        <w:trPr>
          <w:trHeight w:val="240"/>
        </w:trPr>
        <w:tc>
          <w:tcPr>
            <w:tcW w:w="1279" w:type="dxa"/>
          </w:tcPr>
          <w:p w14:paraId="26921595" w14:textId="53ECAE62"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N</w:t>
            </w:r>
          </w:p>
        </w:tc>
        <w:tc>
          <w:tcPr>
            <w:tcW w:w="5103" w:type="dxa"/>
          </w:tcPr>
          <w:p w14:paraId="4D52B32B"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Resumen de las presuntas actividades IUU (véase también la sección B)</w:t>
            </w:r>
          </w:p>
        </w:tc>
        <w:tc>
          <w:tcPr>
            <w:tcW w:w="3153" w:type="dxa"/>
          </w:tcPr>
          <w:p w14:paraId="78B061BE"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4F76A54F" w14:textId="77777777" w:rsidTr="001F42EC">
        <w:trPr>
          <w:trHeight w:val="500"/>
        </w:trPr>
        <w:tc>
          <w:tcPr>
            <w:tcW w:w="1279" w:type="dxa"/>
          </w:tcPr>
          <w:p w14:paraId="794CCB5D" w14:textId="39EABB18"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O</w:t>
            </w:r>
          </w:p>
        </w:tc>
        <w:tc>
          <w:tcPr>
            <w:tcW w:w="5103" w:type="dxa"/>
          </w:tcPr>
          <w:p w14:paraId="1222B103"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Resumen de cualquier acción conocida que se haya emprendido en respuesta a las actividades</w:t>
            </w:r>
          </w:p>
        </w:tc>
        <w:tc>
          <w:tcPr>
            <w:tcW w:w="3153" w:type="dxa"/>
          </w:tcPr>
          <w:p w14:paraId="57ED8E3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30D178F0" w14:textId="77777777" w:rsidTr="001F42EC">
        <w:trPr>
          <w:trHeight w:val="240"/>
        </w:trPr>
        <w:tc>
          <w:tcPr>
            <w:tcW w:w="1279" w:type="dxa"/>
          </w:tcPr>
          <w:p w14:paraId="15B097CD" w14:textId="7D186B38"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P</w:t>
            </w:r>
          </w:p>
        </w:tc>
        <w:tc>
          <w:tcPr>
            <w:tcW w:w="5103" w:type="dxa"/>
          </w:tcPr>
          <w:p w14:paraId="32BC4D9E"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Resultados de cualquier acción emprendida</w:t>
            </w:r>
          </w:p>
        </w:tc>
        <w:tc>
          <w:tcPr>
            <w:tcW w:w="3153" w:type="dxa"/>
          </w:tcPr>
          <w:p w14:paraId="7CFA7E70"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6AEF93DE" w14:textId="77777777" w:rsidTr="001F42EC">
        <w:trPr>
          <w:trHeight w:val="240"/>
        </w:trPr>
        <w:tc>
          <w:tcPr>
            <w:tcW w:w="1279" w:type="dxa"/>
          </w:tcPr>
          <w:p w14:paraId="6F19588A" w14:textId="1A33256C" w:rsidR="009A4AC7" w:rsidRPr="005C06AB" w:rsidRDefault="004319A2" w:rsidP="009A4AC7">
            <w:pPr>
              <w:widowControl w:val="0"/>
              <w:pBdr>
                <w:top w:val="nil"/>
                <w:left w:val="nil"/>
                <w:bottom w:val="nil"/>
                <w:right w:val="nil"/>
                <w:between w:val="nil"/>
              </w:pBdr>
              <w:spacing w:after="0" w:line="240" w:lineRule="auto"/>
              <w:ind w:left="14"/>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Q</w:t>
            </w:r>
          </w:p>
        </w:tc>
        <w:tc>
          <w:tcPr>
            <w:tcW w:w="5103" w:type="dxa"/>
          </w:tcPr>
          <w:p w14:paraId="3A669FAB" w14:textId="77777777" w:rsidR="009A4AC7" w:rsidRPr="005C06AB" w:rsidRDefault="009A4AC7" w:rsidP="009A4AC7">
            <w:pPr>
              <w:widowControl w:val="0"/>
              <w:pBdr>
                <w:top w:val="nil"/>
                <w:left w:val="nil"/>
                <w:bottom w:val="nil"/>
                <w:right w:val="nil"/>
                <w:between w:val="nil"/>
              </w:pBdr>
              <w:spacing w:after="0" w:line="240" w:lineRule="auto"/>
              <w:ind w:left="108"/>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Otra información pertinente, cuando proceda (por ejemplo, posibles pabellones o nombres del buque falsos utilizados, modus operandi, etc.)</w:t>
            </w:r>
          </w:p>
        </w:tc>
        <w:tc>
          <w:tcPr>
            <w:tcW w:w="3153" w:type="dxa"/>
          </w:tcPr>
          <w:p w14:paraId="0E082E9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bl>
    <w:p w14:paraId="04089D05"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97C758C"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sectPr w:rsidR="009A4AC7" w:rsidRPr="005C06AB" w:rsidSect="00FC0D3D">
          <w:type w:val="continuous"/>
          <w:pgSz w:w="11910" w:h="16840"/>
          <w:pgMar w:top="1418" w:right="1418" w:bottom="1418" w:left="1418" w:header="851" w:footer="1134" w:gutter="0"/>
          <w:cols w:space="720"/>
          <w:docGrid w:linePitch="299"/>
        </w:sectPr>
      </w:pPr>
      <w:r w:rsidRPr="005C06AB">
        <w:rPr>
          <w:rFonts w:ascii="Cambria" w:eastAsia="Times New Roman" w:hAnsi="Cambria" w:cs="Times New Roman"/>
          <w:color w:val="000000"/>
        </w:rPr>
        <w:br w:type="page"/>
      </w:r>
    </w:p>
    <w:p w14:paraId="16B6668F" w14:textId="77777777" w:rsidR="009A4AC7" w:rsidRPr="005C06AB" w:rsidRDefault="009A4AC7" w:rsidP="009A4AC7">
      <w:pPr>
        <w:widowControl w:val="0"/>
        <w:numPr>
          <w:ilvl w:val="0"/>
          <w:numId w:val="6"/>
        </w:numPr>
        <w:pBdr>
          <w:top w:val="nil"/>
          <w:left w:val="nil"/>
          <w:bottom w:val="nil"/>
          <w:right w:val="nil"/>
          <w:between w:val="nil"/>
        </w:pBdr>
        <w:spacing w:after="0" w:line="240" w:lineRule="auto"/>
        <w:ind w:left="426" w:hanging="426"/>
        <w:jc w:val="both"/>
        <w:outlineLvl w:val="2"/>
        <w:rPr>
          <w:rFonts w:ascii="Cambria" w:eastAsia="Cambria" w:hAnsi="Cambria" w:cs="Cambria"/>
          <w:b/>
          <w:sz w:val="20"/>
          <w:szCs w:val="20"/>
        </w:rPr>
      </w:pPr>
      <w:r w:rsidRPr="005C06AB">
        <w:rPr>
          <w:rFonts w:ascii="Cambria" w:eastAsia="Cambria" w:hAnsi="Cambria" w:cs="Cambria"/>
          <w:b/>
          <w:sz w:val="20"/>
          <w:szCs w:val="20"/>
        </w:rPr>
        <w:lastRenderedPageBreak/>
        <w:t>Detalles de las presuntas actividades IUU</w:t>
      </w:r>
    </w:p>
    <w:p w14:paraId="6E894899"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rPr>
      </w:pPr>
    </w:p>
    <w:p w14:paraId="23B30ED1" w14:textId="77777777" w:rsidR="009A4AC7" w:rsidRPr="005C06AB" w:rsidRDefault="009A4AC7" w:rsidP="009A4AC7">
      <w:pPr>
        <w:widowControl w:val="0"/>
        <w:pBdr>
          <w:top w:val="nil"/>
          <w:left w:val="nil"/>
          <w:bottom w:val="nil"/>
          <w:right w:val="nil"/>
          <w:between w:val="nil"/>
        </w:pBdr>
        <w:spacing w:after="0" w:line="240" w:lineRule="auto"/>
        <w:jc w:val="both"/>
        <w:rPr>
          <w:rFonts w:ascii="Cambria" w:eastAsia="Times New Roman" w:hAnsi="Cambria" w:cs="Times New Roman"/>
          <w:i/>
          <w:color w:val="000000"/>
          <w:sz w:val="20"/>
          <w:szCs w:val="20"/>
        </w:rPr>
      </w:pPr>
      <w:r w:rsidRPr="005C06AB">
        <w:rPr>
          <w:rFonts w:ascii="Cambria" w:eastAsia="Times New Roman" w:hAnsi="Cambria" w:cs="Times New Roman"/>
          <w:i/>
          <w:color w:val="000000"/>
          <w:sz w:val="20"/>
          <w:szCs w:val="20"/>
        </w:rPr>
        <w:t>(Indicar con una "X" los elementos aplicables de las actividades y aportar detalles pertinentes incluidos la fecha, ubicación y la fuente de información. Si dispone de información extra puede aportarla como documento adjunto).</w:t>
      </w:r>
    </w:p>
    <w:p w14:paraId="274C3DDF"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i/>
          <w:color w:val="000000"/>
          <w:sz w:val="20"/>
          <w:szCs w:val="20"/>
        </w:rPr>
      </w:pPr>
    </w:p>
    <w:tbl>
      <w:tblPr>
        <w:tblW w:w="91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1"/>
        <w:gridCol w:w="4656"/>
        <w:gridCol w:w="3270"/>
      </w:tblGrid>
      <w:tr w:rsidR="009A4AC7" w:rsidRPr="005C06AB" w14:paraId="05E01C88" w14:textId="77777777" w:rsidTr="009017FA">
        <w:trPr>
          <w:trHeight w:val="760"/>
          <w:jc w:val="center"/>
        </w:trPr>
        <w:tc>
          <w:tcPr>
            <w:tcW w:w="1271" w:type="dxa"/>
            <w:tcBorders>
              <w:left w:val="single" w:sz="4" w:space="0" w:color="000000"/>
            </w:tcBorders>
          </w:tcPr>
          <w:p w14:paraId="32EE549A" w14:textId="3BE53FCD" w:rsidR="009A4AC7" w:rsidRPr="005C06AB" w:rsidRDefault="009A4AC7" w:rsidP="009A4AC7">
            <w:pPr>
              <w:widowControl w:val="0"/>
              <w:pBdr>
                <w:top w:val="nil"/>
                <w:left w:val="nil"/>
                <w:bottom w:val="nil"/>
                <w:right w:val="nil"/>
                <w:between w:val="nil"/>
              </w:pBdr>
              <w:spacing w:after="0" w:line="240" w:lineRule="auto"/>
              <w:ind w:left="26"/>
              <w:rPr>
                <w:rFonts w:ascii="Cambria" w:eastAsia="Times New Roman" w:hAnsi="Cambria" w:cs="Times New Roman"/>
                <w:i/>
                <w:iCs/>
                <w:color w:val="000000"/>
                <w:sz w:val="20"/>
                <w:szCs w:val="20"/>
              </w:rPr>
            </w:pPr>
            <w:bookmarkStart w:id="0" w:name="_Hlk89082879"/>
            <w:r w:rsidRPr="005C06AB">
              <w:rPr>
                <w:rFonts w:ascii="Cambria" w:eastAsia="Times New Roman" w:hAnsi="Cambria" w:cs="Times New Roman"/>
                <w:b/>
                <w:i/>
                <w:iCs/>
                <w:color w:val="000000"/>
                <w:sz w:val="20"/>
                <w:szCs w:val="20"/>
              </w:rPr>
              <w:t xml:space="preserve">Rec. </w:t>
            </w:r>
            <w:r w:rsidR="00FD433D" w:rsidRPr="005C06AB">
              <w:rPr>
                <w:rFonts w:ascii="Cambria" w:eastAsia="Times New Roman" w:hAnsi="Cambria" w:cs="Times New Roman"/>
                <w:b/>
                <w:i/>
                <w:iCs/>
                <w:color w:val="000000"/>
                <w:sz w:val="20"/>
                <w:szCs w:val="20"/>
              </w:rPr>
              <w:t>2</w:t>
            </w:r>
            <w:r w:rsidR="00CC7611" w:rsidRPr="005C06AB">
              <w:rPr>
                <w:rFonts w:ascii="Cambria" w:eastAsia="Times New Roman" w:hAnsi="Cambria" w:cs="Times New Roman"/>
                <w:b/>
                <w:i/>
                <w:iCs/>
                <w:color w:val="000000"/>
                <w:sz w:val="20"/>
                <w:szCs w:val="20"/>
              </w:rPr>
              <w:t>3</w:t>
            </w:r>
            <w:r w:rsidR="00FD433D" w:rsidRPr="005C06AB">
              <w:rPr>
                <w:rFonts w:ascii="Cambria" w:eastAsia="Times New Roman" w:hAnsi="Cambria" w:cs="Times New Roman"/>
                <w:b/>
                <w:i/>
                <w:iCs/>
                <w:color w:val="000000"/>
                <w:sz w:val="20"/>
                <w:szCs w:val="20"/>
              </w:rPr>
              <w:t>-</w:t>
            </w:r>
            <w:r w:rsidR="009017FA" w:rsidRPr="005C06AB">
              <w:rPr>
                <w:rFonts w:ascii="Cambria" w:eastAsia="Times New Roman" w:hAnsi="Cambria" w:cs="Times New Roman"/>
                <w:b/>
                <w:i/>
                <w:iCs/>
                <w:color w:val="000000"/>
                <w:sz w:val="20"/>
                <w:szCs w:val="20"/>
              </w:rPr>
              <w:t>16</w:t>
            </w:r>
            <w:r w:rsidRPr="005C06AB">
              <w:rPr>
                <w:rFonts w:ascii="Cambria" w:eastAsia="Times New Roman" w:hAnsi="Cambria" w:cs="Times New Roman"/>
                <w:b/>
                <w:i/>
                <w:iCs/>
                <w:color w:val="000000"/>
                <w:sz w:val="20"/>
                <w:szCs w:val="20"/>
              </w:rPr>
              <w:t xml:space="preserve"> párr. </w:t>
            </w:r>
            <w:r w:rsidR="00FD433D" w:rsidRPr="005C06AB">
              <w:rPr>
                <w:rFonts w:ascii="Cambria" w:eastAsia="Times New Roman" w:hAnsi="Cambria" w:cs="Times New Roman"/>
                <w:b/>
                <w:i/>
                <w:iCs/>
                <w:color w:val="000000"/>
                <w:sz w:val="20"/>
                <w:szCs w:val="20"/>
              </w:rPr>
              <w:t>1</w:t>
            </w:r>
          </w:p>
        </w:tc>
        <w:tc>
          <w:tcPr>
            <w:tcW w:w="4656" w:type="dxa"/>
            <w:tcBorders>
              <w:right w:val="single" w:sz="4" w:space="0" w:color="000000"/>
            </w:tcBorders>
          </w:tcPr>
          <w:p w14:paraId="7C306172" w14:textId="669FF3B6" w:rsidR="009A4AC7" w:rsidRPr="005C06AB" w:rsidRDefault="009A4AC7" w:rsidP="009A4AC7">
            <w:pPr>
              <w:widowControl w:val="0"/>
              <w:pBdr>
                <w:top w:val="nil"/>
                <w:left w:val="nil"/>
                <w:bottom w:val="nil"/>
                <w:right w:val="nil"/>
                <w:between w:val="nil"/>
              </w:pBdr>
              <w:spacing w:after="0" w:line="240" w:lineRule="auto"/>
              <w:ind w:left="98" w:right="309"/>
              <w:rPr>
                <w:rFonts w:ascii="Cambria" w:eastAsia="Times New Roman" w:hAnsi="Cambria" w:cs="Times New Roman"/>
                <w:b/>
                <w:i/>
                <w:iCs/>
                <w:color w:val="000000"/>
                <w:sz w:val="20"/>
                <w:szCs w:val="20"/>
              </w:rPr>
            </w:pPr>
            <w:r w:rsidRPr="005C06AB">
              <w:rPr>
                <w:rFonts w:ascii="Cambria" w:eastAsia="Times New Roman" w:hAnsi="Cambria" w:cs="Times New Roman"/>
                <w:b/>
                <w:i/>
                <w:iCs/>
                <w:color w:val="000000"/>
                <w:sz w:val="20"/>
                <w:szCs w:val="20"/>
              </w:rPr>
              <w:t>Los buques que hayan pescado especies cubiertas por el Convenio de ICCAT dentro de la zona del Convenio y</w:t>
            </w:r>
          </w:p>
        </w:tc>
        <w:tc>
          <w:tcPr>
            <w:tcW w:w="3270" w:type="dxa"/>
            <w:tcBorders>
              <w:left w:val="single" w:sz="4" w:space="0" w:color="000000"/>
              <w:right w:val="single" w:sz="4" w:space="0" w:color="000000"/>
            </w:tcBorders>
          </w:tcPr>
          <w:p w14:paraId="671759E2" w14:textId="77777777" w:rsidR="009A4AC7" w:rsidRPr="005C06AB" w:rsidRDefault="009A4AC7" w:rsidP="009A4AC7">
            <w:pPr>
              <w:widowControl w:val="0"/>
              <w:pBdr>
                <w:top w:val="nil"/>
                <w:left w:val="nil"/>
                <w:bottom w:val="nil"/>
                <w:right w:val="nil"/>
                <w:between w:val="nil"/>
              </w:pBdr>
              <w:spacing w:after="0" w:line="240" w:lineRule="auto"/>
              <w:ind w:left="106"/>
              <w:rPr>
                <w:rFonts w:ascii="Cambria" w:eastAsia="Times New Roman" w:hAnsi="Cambria" w:cs="Times New Roman"/>
                <w:b/>
                <w:i/>
                <w:iCs/>
                <w:color w:val="000000"/>
                <w:sz w:val="20"/>
                <w:szCs w:val="20"/>
              </w:rPr>
            </w:pPr>
            <w:r w:rsidRPr="005C06AB">
              <w:rPr>
                <w:rFonts w:ascii="Cambria" w:eastAsia="Times New Roman" w:hAnsi="Cambria" w:cs="Times New Roman"/>
                <w:b/>
                <w:i/>
                <w:iCs/>
                <w:color w:val="000000"/>
                <w:sz w:val="20"/>
                <w:szCs w:val="20"/>
              </w:rPr>
              <w:t>Indicar y aportar detalles</w:t>
            </w:r>
          </w:p>
        </w:tc>
      </w:tr>
      <w:tr w:rsidR="009A4AC7" w:rsidRPr="005C06AB" w14:paraId="22C2EA35" w14:textId="77777777" w:rsidTr="009017FA">
        <w:trPr>
          <w:trHeight w:val="340"/>
          <w:jc w:val="center"/>
        </w:trPr>
        <w:tc>
          <w:tcPr>
            <w:tcW w:w="1271" w:type="dxa"/>
            <w:tcBorders>
              <w:left w:val="single" w:sz="4" w:space="0" w:color="000000"/>
            </w:tcBorders>
          </w:tcPr>
          <w:p w14:paraId="01B33054" w14:textId="372F6DF0" w:rsidR="009A4AC7" w:rsidRPr="005C06AB" w:rsidRDefault="009A4AC7" w:rsidP="009A4AC7">
            <w:pPr>
              <w:widowControl w:val="0"/>
              <w:pBdr>
                <w:top w:val="nil"/>
                <w:left w:val="nil"/>
                <w:bottom w:val="nil"/>
                <w:right w:val="nil"/>
                <w:between w:val="nil"/>
              </w:pBdr>
              <w:spacing w:after="0" w:line="240" w:lineRule="auto"/>
              <w:ind w:left="10"/>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a</w:t>
            </w:r>
          </w:p>
        </w:tc>
        <w:tc>
          <w:tcPr>
            <w:tcW w:w="4656" w:type="dxa"/>
            <w:tcBorders>
              <w:right w:val="single" w:sz="4" w:space="0" w:color="000000"/>
            </w:tcBorders>
          </w:tcPr>
          <w:p w14:paraId="5251AC5B" w14:textId="013115AE"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Capturan túnidos y especies afines en la zona del Convenio de ICCAT y no están registrados en la lista pertinente de ICCAT de buques autorizados a pescar túnidos y especies afines en la zona del Convenio ICCAT</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224DEE7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bookmarkEnd w:id="0"/>
      <w:tr w:rsidR="009A4AC7" w:rsidRPr="005C06AB" w14:paraId="18043C39" w14:textId="77777777" w:rsidTr="009017FA">
        <w:trPr>
          <w:trHeight w:val="1116"/>
          <w:jc w:val="center"/>
        </w:trPr>
        <w:tc>
          <w:tcPr>
            <w:tcW w:w="1271" w:type="dxa"/>
            <w:tcBorders>
              <w:left w:val="single" w:sz="4" w:space="0" w:color="000000"/>
            </w:tcBorders>
          </w:tcPr>
          <w:p w14:paraId="2A9FC0F5" w14:textId="31995187" w:rsidR="009A4AC7" w:rsidRPr="005C06AB"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b</w:t>
            </w:r>
          </w:p>
        </w:tc>
        <w:tc>
          <w:tcPr>
            <w:tcW w:w="4656" w:type="dxa"/>
            <w:tcBorders>
              <w:right w:val="single" w:sz="4" w:space="0" w:color="000000"/>
            </w:tcBorders>
          </w:tcPr>
          <w:p w14:paraId="4DBA3857" w14:textId="124C69DD" w:rsidR="009A4AC7" w:rsidRPr="005C06AB"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Capturan túnidos y especies afines en la zona del Convenio y el Estado del pabellón del buque no cuenta con cuota, límite de captura o </w:t>
            </w:r>
            <w:r w:rsidR="008376E6" w:rsidRPr="005C06AB">
              <w:rPr>
                <w:rFonts w:ascii="Cambria" w:eastAsia="Times New Roman" w:hAnsi="Cambria" w:cs="Times New Roman"/>
                <w:color w:val="000000"/>
                <w:sz w:val="20"/>
                <w:szCs w:val="20"/>
              </w:rPr>
              <w:t>asignación</w:t>
            </w:r>
            <w:r w:rsidRPr="005C06AB">
              <w:rPr>
                <w:rFonts w:ascii="Cambria" w:eastAsia="Times New Roman" w:hAnsi="Cambria" w:cs="Times New Roman"/>
                <w:color w:val="000000"/>
                <w:sz w:val="20"/>
                <w:szCs w:val="20"/>
              </w:rPr>
              <w:t xml:space="preserve"> de esfuerzo de conformidad con las medidas pertinentes de conservación y ordenación de ICCAT</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7C104A6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14095AFB" w14:textId="77777777" w:rsidTr="009017FA">
        <w:trPr>
          <w:trHeight w:val="500"/>
          <w:jc w:val="center"/>
        </w:trPr>
        <w:tc>
          <w:tcPr>
            <w:tcW w:w="1271" w:type="dxa"/>
            <w:tcBorders>
              <w:left w:val="single" w:sz="4" w:space="0" w:color="000000"/>
            </w:tcBorders>
          </w:tcPr>
          <w:p w14:paraId="75871DA9" w14:textId="61D96A81" w:rsidR="009A4AC7" w:rsidRPr="005C06AB" w:rsidRDefault="009A4AC7" w:rsidP="009A4AC7">
            <w:pPr>
              <w:widowControl w:val="0"/>
              <w:pBdr>
                <w:top w:val="nil"/>
                <w:left w:val="nil"/>
                <w:bottom w:val="nil"/>
                <w:right w:val="nil"/>
                <w:between w:val="nil"/>
              </w:pBdr>
              <w:spacing w:after="0" w:line="240" w:lineRule="auto"/>
              <w:ind w:left="10"/>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w:t>
            </w:r>
          </w:p>
        </w:tc>
        <w:tc>
          <w:tcPr>
            <w:tcW w:w="4656" w:type="dxa"/>
            <w:tcBorders>
              <w:right w:val="single" w:sz="4" w:space="0" w:color="000000"/>
            </w:tcBorders>
          </w:tcPr>
          <w:p w14:paraId="5B89DD1F" w14:textId="64AEFBA6"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No consignan o comunican sus capturas realizadas en la zona del Convenio de ICCAT, o realizan declaraciones falsas</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52F4CA7F"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1560AA15" w14:textId="77777777" w:rsidTr="009017FA">
        <w:trPr>
          <w:trHeight w:val="500"/>
          <w:jc w:val="center"/>
        </w:trPr>
        <w:tc>
          <w:tcPr>
            <w:tcW w:w="1271" w:type="dxa"/>
            <w:tcBorders>
              <w:left w:val="single" w:sz="4" w:space="0" w:color="000000"/>
            </w:tcBorders>
          </w:tcPr>
          <w:p w14:paraId="45F417CA" w14:textId="6CD7B51F" w:rsidR="009A4AC7" w:rsidRPr="005C06AB"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d</w:t>
            </w:r>
          </w:p>
        </w:tc>
        <w:tc>
          <w:tcPr>
            <w:tcW w:w="4656" w:type="dxa"/>
            <w:tcBorders>
              <w:right w:val="single" w:sz="4" w:space="0" w:color="000000"/>
            </w:tcBorders>
          </w:tcPr>
          <w:p w14:paraId="40417A99" w14:textId="182E0767" w:rsidR="009A4AC7" w:rsidRPr="005C06AB"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Capturan o desembarcan peces de talla inferior a la regulada contraviniendo las medidas de conservación de ICCAT</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2B090DBC"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788B0895" w14:textId="77777777" w:rsidTr="009017FA">
        <w:trPr>
          <w:trHeight w:val="280"/>
          <w:jc w:val="center"/>
        </w:trPr>
        <w:tc>
          <w:tcPr>
            <w:tcW w:w="1271" w:type="dxa"/>
            <w:tcBorders>
              <w:left w:val="single" w:sz="4" w:space="0" w:color="000000"/>
            </w:tcBorders>
          </w:tcPr>
          <w:p w14:paraId="3869B7BA" w14:textId="2A4C536F" w:rsidR="009A4AC7" w:rsidRPr="005C06AB" w:rsidRDefault="009A4AC7" w:rsidP="009A4AC7">
            <w:pPr>
              <w:widowControl w:val="0"/>
              <w:pBdr>
                <w:top w:val="nil"/>
                <w:left w:val="nil"/>
                <w:bottom w:val="nil"/>
                <w:right w:val="nil"/>
                <w:between w:val="nil"/>
              </w:pBdr>
              <w:spacing w:after="0" w:line="240" w:lineRule="auto"/>
              <w:ind w:left="10"/>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e</w:t>
            </w:r>
          </w:p>
        </w:tc>
        <w:tc>
          <w:tcPr>
            <w:tcW w:w="4656" w:type="dxa"/>
            <w:tcBorders>
              <w:right w:val="single" w:sz="4" w:space="0" w:color="000000"/>
            </w:tcBorders>
          </w:tcPr>
          <w:p w14:paraId="4ABA3B14" w14:textId="77777777"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Pescan durante los periodos de veda o en zonas vedadas contraviniendo las medidas de conservación de ICCAT;</w:t>
            </w:r>
          </w:p>
        </w:tc>
        <w:tc>
          <w:tcPr>
            <w:tcW w:w="3270" w:type="dxa"/>
            <w:tcBorders>
              <w:left w:val="single" w:sz="4" w:space="0" w:color="000000"/>
              <w:right w:val="single" w:sz="4" w:space="0" w:color="000000"/>
            </w:tcBorders>
          </w:tcPr>
          <w:p w14:paraId="6579464E"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61A1AE23" w14:textId="77777777" w:rsidTr="009017FA">
        <w:trPr>
          <w:trHeight w:val="470"/>
          <w:jc w:val="center"/>
        </w:trPr>
        <w:tc>
          <w:tcPr>
            <w:tcW w:w="1271" w:type="dxa"/>
            <w:tcBorders>
              <w:left w:val="single" w:sz="4" w:space="0" w:color="000000"/>
            </w:tcBorders>
          </w:tcPr>
          <w:p w14:paraId="08D52BB3" w14:textId="4D2995D3" w:rsidR="009A4AC7" w:rsidRPr="005C06AB" w:rsidRDefault="009A4AC7" w:rsidP="009A4AC7">
            <w:pPr>
              <w:widowControl w:val="0"/>
              <w:pBdr>
                <w:top w:val="nil"/>
                <w:left w:val="nil"/>
                <w:bottom w:val="nil"/>
                <w:right w:val="nil"/>
                <w:between w:val="nil"/>
              </w:pBdr>
              <w:spacing w:after="0" w:line="240" w:lineRule="auto"/>
              <w:ind w:left="1"/>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f</w:t>
            </w:r>
          </w:p>
        </w:tc>
        <w:tc>
          <w:tcPr>
            <w:tcW w:w="4656" w:type="dxa"/>
            <w:tcBorders>
              <w:right w:val="single" w:sz="4" w:space="0" w:color="000000"/>
            </w:tcBorders>
          </w:tcPr>
          <w:p w14:paraId="74FA3755" w14:textId="5303ED61"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Utilizan artes de pesca o métodos de pesca prohibidos contraviniendo las medidas de conservación de ICCAT</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3E29B8C2"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0C09269C" w14:textId="77777777" w:rsidTr="009017FA">
        <w:trPr>
          <w:trHeight w:val="1000"/>
          <w:jc w:val="center"/>
        </w:trPr>
        <w:tc>
          <w:tcPr>
            <w:tcW w:w="1271" w:type="dxa"/>
            <w:tcBorders>
              <w:left w:val="single" w:sz="4" w:space="0" w:color="000000"/>
            </w:tcBorders>
          </w:tcPr>
          <w:p w14:paraId="12A24F62" w14:textId="4F65AAF3" w:rsidR="009A4AC7" w:rsidRPr="005C06AB"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g</w:t>
            </w:r>
          </w:p>
        </w:tc>
        <w:tc>
          <w:tcPr>
            <w:tcW w:w="4656" w:type="dxa"/>
            <w:tcBorders>
              <w:right w:val="single" w:sz="4" w:space="0" w:color="000000"/>
            </w:tcBorders>
          </w:tcPr>
          <w:p w14:paraId="77CC0DD5" w14:textId="6B839FC8" w:rsidR="009A4AC7" w:rsidRPr="005C06AB"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Realizan operaciones de transbordo, o participan en otras operaciones como buques de reavituallamiento o reabastecimiento de combustible, con buques incluidos en las listas IUU</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6A3B9D29"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362ADF36" w14:textId="77777777" w:rsidTr="009017FA">
        <w:trPr>
          <w:trHeight w:val="280"/>
          <w:jc w:val="center"/>
        </w:trPr>
        <w:tc>
          <w:tcPr>
            <w:tcW w:w="1271" w:type="dxa"/>
            <w:tcBorders>
              <w:left w:val="single" w:sz="4" w:space="0" w:color="000000"/>
            </w:tcBorders>
          </w:tcPr>
          <w:p w14:paraId="561AD3AF" w14:textId="0A5C0A51" w:rsidR="009A4AC7" w:rsidRPr="005C06AB" w:rsidRDefault="009A4AC7" w:rsidP="009A4AC7">
            <w:pPr>
              <w:widowControl w:val="0"/>
              <w:pBdr>
                <w:top w:val="nil"/>
                <w:left w:val="nil"/>
                <w:bottom w:val="nil"/>
                <w:right w:val="nil"/>
                <w:between w:val="nil"/>
              </w:pBdr>
              <w:spacing w:after="0" w:line="240" w:lineRule="auto"/>
              <w:ind w:left="6"/>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h</w:t>
            </w:r>
          </w:p>
        </w:tc>
        <w:tc>
          <w:tcPr>
            <w:tcW w:w="4656" w:type="dxa"/>
            <w:tcBorders>
              <w:right w:val="single" w:sz="4" w:space="0" w:color="000000"/>
            </w:tcBorders>
          </w:tcPr>
          <w:p w14:paraId="5E37D66F" w14:textId="0E9A639C" w:rsidR="009A4AC7" w:rsidRPr="005C06AB" w:rsidRDefault="009A4AC7" w:rsidP="009A4AC7">
            <w:pPr>
              <w:widowControl w:val="0"/>
              <w:pBdr>
                <w:top w:val="nil"/>
                <w:left w:val="nil"/>
                <w:bottom w:val="nil"/>
                <w:right w:val="nil"/>
                <w:between w:val="nil"/>
              </w:pBdr>
              <w:tabs>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Capturan túnidos o especies afines en las aguas bajo la jurisdicción nacional de</w:t>
            </w:r>
            <w:r w:rsidR="00B514FC" w:rsidRPr="005C06AB">
              <w:rPr>
                <w:rFonts w:ascii="Cambria" w:eastAsia="Times New Roman" w:hAnsi="Cambria" w:cs="Times New Roman"/>
                <w:color w:val="000000"/>
                <w:sz w:val="20"/>
                <w:szCs w:val="20"/>
              </w:rPr>
              <w:t xml:space="preserve"> un</w:t>
            </w:r>
            <w:r w:rsidRPr="005C06AB">
              <w:rPr>
                <w:rFonts w:ascii="Cambria" w:eastAsia="Times New Roman" w:hAnsi="Cambria" w:cs="Times New Roman"/>
                <w:color w:val="000000"/>
                <w:sz w:val="20"/>
                <w:szCs w:val="20"/>
              </w:rPr>
              <w:t xml:space="preserve"> Estado costero en la zona del Convenio sin autorización y/o infringen las legislaciones y regulaciones de dicho Estado, sin perjuicio de los derechos soberanos de los Estados costeros de emprender acciones en relación con dichos buques</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1F2A55D0"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481D165D" w14:textId="77777777" w:rsidTr="009017FA">
        <w:trPr>
          <w:trHeight w:val="571"/>
          <w:jc w:val="center"/>
        </w:trPr>
        <w:tc>
          <w:tcPr>
            <w:tcW w:w="1271" w:type="dxa"/>
            <w:tcBorders>
              <w:left w:val="single" w:sz="4" w:space="0" w:color="000000"/>
            </w:tcBorders>
          </w:tcPr>
          <w:p w14:paraId="25C1DB82" w14:textId="08047755" w:rsidR="009A4AC7" w:rsidRPr="005C06AB" w:rsidRDefault="009A4AC7" w:rsidP="009A4AC7">
            <w:pPr>
              <w:widowControl w:val="0"/>
              <w:pBdr>
                <w:top w:val="nil"/>
                <w:left w:val="nil"/>
                <w:bottom w:val="nil"/>
                <w:right w:val="nil"/>
                <w:between w:val="nil"/>
              </w:pBdr>
              <w:spacing w:after="0" w:line="240" w:lineRule="auto"/>
              <w:ind w:left="5"/>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i</w:t>
            </w:r>
          </w:p>
        </w:tc>
        <w:tc>
          <w:tcPr>
            <w:tcW w:w="4656" w:type="dxa"/>
            <w:tcBorders>
              <w:right w:val="single" w:sz="4" w:space="0" w:color="000000"/>
            </w:tcBorders>
          </w:tcPr>
          <w:p w14:paraId="190EC93E" w14:textId="705D3300"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No tienen nacionalidad </w:t>
            </w:r>
            <w:r w:rsidR="00C340EF" w:rsidRPr="005C06AB">
              <w:rPr>
                <w:rFonts w:ascii="Cambria" w:eastAsia="Times New Roman" w:hAnsi="Cambria" w:cs="Times New Roman"/>
                <w:color w:val="000000"/>
                <w:sz w:val="20"/>
                <w:szCs w:val="20"/>
              </w:rPr>
              <w:t>y está</w:t>
            </w:r>
            <w:r w:rsidR="009017FA" w:rsidRPr="005C06AB">
              <w:rPr>
                <w:rFonts w:ascii="Cambria" w:eastAsia="Times New Roman" w:hAnsi="Cambria" w:cs="Times New Roman"/>
                <w:color w:val="000000"/>
                <w:sz w:val="20"/>
                <w:szCs w:val="20"/>
              </w:rPr>
              <w:t>n</w:t>
            </w:r>
            <w:r w:rsidR="00C340EF" w:rsidRPr="005C06AB">
              <w:rPr>
                <w:rFonts w:ascii="Cambria" w:eastAsia="Times New Roman" w:hAnsi="Cambria" w:cs="Times New Roman"/>
                <w:color w:val="000000"/>
                <w:sz w:val="20"/>
                <w:szCs w:val="20"/>
              </w:rPr>
              <w:t xml:space="preserve"> pescando o realizando actividades de apoyo a la pesca </w:t>
            </w:r>
            <w:r w:rsidRPr="005C06AB">
              <w:rPr>
                <w:rFonts w:ascii="Cambria" w:eastAsia="Times New Roman" w:hAnsi="Cambria" w:cs="Times New Roman"/>
                <w:color w:val="000000"/>
                <w:sz w:val="20"/>
                <w:szCs w:val="20"/>
              </w:rPr>
              <w:t>en la zona del Convenio de ICCAT</w:t>
            </w:r>
            <w:r w:rsidR="009017FA" w:rsidRPr="005C06AB">
              <w:rPr>
                <w:rFonts w:ascii="Cambria" w:eastAsia="Times New Roman" w:hAnsi="Cambria" w:cs="Times New Roman"/>
                <w:color w:val="000000"/>
                <w:sz w:val="20"/>
                <w:szCs w:val="20"/>
              </w:rPr>
              <w:t>.</w:t>
            </w:r>
          </w:p>
        </w:tc>
        <w:tc>
          <w:tcPr>
            <w:tcW w:w="3270" w:type="dxa"/>
            <w:tcBorders>
              <w:left w:val="single" w:sz="4" w:space="0" w:color="000000"/>
              <w:right w:val="single" w:sz="4" w:space="0" w:color="000000"/>
            </w:tcBorders>
          </w:tcPr>
          <w:p w14:paraId="674B2025"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r w:rsidR="009A4AC7" w:rsidRPr="005C06AB" w14:paraId="2165669D" w14:textId="77777777" w:rsidTr="009017FA">
        <w:trPr>
          <w:trHeight w:val="500"/>
          <w:jc w:val="center"/>
        </w:trPr>
        <w:tc>
          <w:tcPr>
            <w:tcW w:w="1271" w:type="dxa"/>
            <w:tcBorders>
              <w:left w:val="single" w:sz="4" w:space="0" w:color="000000"/>
            </w:tcBorders>
          </w:tcPr>
          <w:p w14:paraId="1EEFCF58" w14:textId="2E62AA4F" w:rsidR="009A4AC7" w:rsidRPr="005C06AB" w:rsidRDefault="009A4AC7" w:rsidP="009A4AC7">
            <w:pPr>
              <w:widowControl w:val="0"/>
              <w:pBdr>
                <w:top w:val="nil"/>
                <w:left w:val="nil"/>
                <w:bottom w:val="nil"/>
                <w:right w:val="nil"/>
                <w:between w:val="nil"/>
              </w:pBdr>
              <w:spacing w:after="0" w:line="240" w:lineRule="auto"/>
              <w:ind w:left="5"/>
              <w:jc w:val="center"/>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j</w:t>
            </w:r>
          </w:p>
        </w:tc>
        <w:tc>
          <w:tcPr>
            <w:tcW w:w="4656" w:type="dxa"/>
            <w:tcBorders>
              <w:right w:val="single" w:sz="4" w:space="0" w:color="000000"/>
            </w:tcBorders>
          </w:tcPr>
          <w:p w14:paraId="70F22979" w14:textId="77777777"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63" w:right="114"/>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 xml:space="preserve">Realizan actividades de pesca o relacionadas con la pesca contrarias a cualquier otra medida de conservación y ordenación de ICCAT. </w:t>
            </w:r>
          </w:p>
        </w:tc>
        <w:tc>
          <w:tcPr>
            <w:tcW w:w="3270" w:type="dxa"/>
            <w:tcBorders>
              <w:left w:val="single" w:sz="4" w:space="0" w:color="000000"/>
              <w:right w:val="single" w:sz="4" w:space="0" w:color="000000"/>
            </w:tcBorders>
          </w:tcPr>
          <w:p w14:paraId="152E043D"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tc>
      </w:tr>
    </w:tbl>
    <w:p w14:paraId="4A1E4F54"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07D62F7F"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sectPr w:rsidR="009A4AC7" w:rsidRPr="005C06AB" w:rsidSect="00116D43">
          <w:type w:val="continuous"/>
          <w:pgSz w:w="11910" w:h="16840"/>
          <w:pgMar w:top="1420" w:right="1300" w:bottom="1340" w:left="1300" w:header="850" w:footer="1134" w:gutter="0"/>
          <w:cols w:space="720"/>
          <w:docGrid w:linePitch="299"/>
        </w:sectPr>
      </w:pPr>
      <w:r w:rsidRPr="005C06AB">
        <w:rPr>
          <w:rFonts w:ascii="Cambria" w:eastAsia="Times New Roman" w:hAnsi="Cambria" w:cs="Times New Roman"/>
          <w:color w:val="000000"/>
        </w:rPr>
        <w:br w:type="page"/>
      </w:r>
    </w:p>
    <w:p w14:paraId="3EE8D6C8" w14:textId="77777777" w:rsidR="009A4AC7" w:rsidRPr="005C06AB"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r w:rsidRPr="005C06AB">
        <w:rPr>
          <w:rFonts w:ascii="Cambria" w:eastAsia="Cambria" w:hAnsi="Cambria" w:cs="Cambria"/>
          <w:b/>
          <w:sz w:val="20"/>
          <w:szCs w:val="20"/>
        </w:rPr>
        <w:lastRenderedPageBreak/>
        <w:t>Adenda 2</w:t>
      </w:r>
    </w:p>
    <w:p w14:paraId="0584809D" w14:textId="77777777" w:rsidR="009A4AC7" w:rsidRPr="005C06AB" w:rsidRDefault="009A4AC7" w:rsidP="009A4AC7">
      <w:pPr>
        <w:keepNext/>
        <w:keepLines/>
        <w:widowControl w:val="0"/>
        <w:pBdr>
          <w:top w:val="nil"/>
          <w:left w:val="nil"/>
          <w:bottom w:val="nil"/>
          <w:right w:val="nil"/>
          <w:between w:val="nil"/>
        </w:pBdr>
        <w:spacing w:after="0" w:line="240" w:lineRule="auto"/>
        <w:jc w:val="right"/>
        <w:outlineLvl w:val="2"/>
        <w:rPr>
          <w:rFonts w:ascii="Cambria" w:eastAsia="Cambria" w:hAnsi="Cambria" w:cs="Cambria"/>
          <w:b/>
          <w:sz w:val="20"/>
          <w:szCs w:val="20"/>
        </w:rPr>
      </w:pPr>
    </w:p>
    <w:p w14:paraId="4746C53A" w14:textId="5A7FEF4D" w:rsidR="009A4AC7" w:rsidRPr="005C06AB" w:rsidRDefault="00711D55" w:rsidP="009A4AC7">
      <w:pPr>
        <w:widowControl w:val="0"/>
        <w:pBdr>
          <w:top w:val="nil"/>
          <w:left w:val="nil"/>
          <w:bottom w:val="nil"/>
          <w:right w:val="nil"/>
          <w:between w:val="nil"/>
        </w:pBdr>
        <w:spacing w:after="0" w:line="240" w:lineRule="auto"/>
        <w:jc w:val="center"/>
        <w:rPr>
          <w:rFonts w:ascii="Cambria" w:eastAsia="Times New Roman" w:hAnsi="Cambria" w:cs="Times New Roman"/>
          <w:b/>
          <w:color w:val="000000"/>
          <w:sz w:val="18"/>
          <w:szCs w:val="20"/>
        </w:rPr>
      </w:pPr>
      <w:r w:rsidRPr="005C06AB">
        <w:rPr>
          <w:rFonts w:ascii="Cambria" w:eastAsia="Times New Roman" w:hAnsi="Cambria" w:cs="Times New Roman"/>
          <w:b/>
          <w:color w:val="000000"/>
          <w:sz w:val="18"/>
          <w:szCs w:val="20"/>
        </w:rPr>
        <w:t>Información que se debe incluir</w:t>
      </w:r>
      <w:r w:rsidR="009A4AC7" w:rsidRPr="005C06AB">
        <w:rPr>
          <w:rFonts w:ascii="Cambria" w:eastAsia="Times New Roman" w:hAnsi="Cambria" w:cs="Times New Roman"/>
          <w:b/>
          <w:color w:val="000000"/>
          <w:sz w:val="18"/>
          <w:szCs w:val="20"/>
        </w:rPr>
        <w:t xml:space="preserve"> en todas las listas IUU (proyecto y final)</w:t>
      </w:r>
    </w:p>
    <w:p w14:paraId="010912C6"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b/>
          <w:color w:val="000000"/>
          <w:sz w:val="20"/>
          <w:szCs w:val="20"/>
        </w:rPr>
      </w:pPr>
    </w:p>
    <w:p w14:paraId="5421DB18" w14:textId="77777777" w:rsidR="009A4AC7" w:rsidRPr="005C06AB" w:rsidRDefault="009A4AC7" w:rsidP="009A4AC7">
      <w:pPr>
        <w:widowControl w:val="0"/>
        <w:pBdr>
          <w:top w:val="nil"/>
          <w:left w:val="nil"/>
          <w:bottom w:val="nil"/>
          <w:right w:val="nil"/>
          <w:between w:val="nil"/>
        </w:pBdr>
        <w:spacing w:after="0" w:line="240" w:lineRule="auto"/>
        <w:ind w:left="118"/>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El proyecto de lista IUU incluirá información sobre los buques incluidos en la lista final IUU de ICCAT, así como información sobre los nuevos buques enviados por las CPC para su inclusión en la lista. El proyecto de lista IUU deberá incluir los siguientes detalles cuando estén disponibles y sea aplicable:</w:t>
      </w:r>
    </w:p>
    <w:p w14:paraId="31DF0528" w14:textId="77777777" w:rsidR="009A4AC7" w:rsidRPr="005C06AB" w:rsidRDefault="009A4AC7" w:rsidP="009A4AC7">
      <w:pPr>
        <w:widowControl w:val="0"/>
        <w:pBdr>
          <w:top w:val="nil"/>
          <w:left w:val="nil"/>
          <w:bottom w:val="nil"/>
          <w:right w:val="nil"/>
          <w:between w:val="nil"/>
        </w:pBdr>
        <w:spacing w:after="0" w:line="240" w:lineRule="auto"/>
        <w:rPr>
          <w:rFonts w:ascii="Cambria" w:eastAsia="Times New Roman" w:hAnsi="Cambria" w:cs="Times New Roman"/>
          <w:color w:val="000000"/>
          <w:sz w:val="20"/>
          <w:szCs w:val="20"/>
        </w:rPr>
      </w:pPr>
    </w:p>
    <w:p w14:paraId="53D5A1E0" w14:textId="77777777" w:rsidR="009A4AC7" w:rsidRPr="005C06AB" w:rsidRDefault="009A4AC7" w:rsidP="009A4AC7">
      <w:pPr>
        <w:widowControl w:val="0"/>
        <w:numPr>
          <w:ilvl w:val="0"/>
          <w:numId w:val="8"/>
        </w:numPr>
        <w:pBdr>
          <w:top w:val="nil"/>
          <w:left w:val="nil"/>
          <w:bottom w:val="nil"/>
          <w:right w:val="nil"/>
          <w:between w:val="nil"/>
        </w:pBdr>
        <w:tabs>
          <w:tab w:val="left" w:pos="838"/>
          <w:tab w:val="left" w:pos="839"/>
        </w:tabs>
        <w:spacing w:after="0" w:line="240" w:lineRule="auto"/>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nombre del buque y nombres previos,</w:t>
      </w:r>
    </w:p>
    <w:p w14:paraId="45B0001E" w14:textId="77777777" w:rsidR="009A4AC7" w:rsidRPr="005C06AB" w:rsidRDefault="009A4AC7" w:rsidP="009A4AC7">
      <w:pPr>
        <w:widowControl w:val="0"/>
        <w:pBdr>
          <w:top w:val="nil"/>
          <w:left w:val="nil"/>
          <w:bottom w:val="nil"/>
          <w:right w:val="nil"/>
          <w:between w:val="nil"/>
        </w:pBdr>
        <w:tabs>
          <w:tab w:val="left" w:pos="838"/>
          <w:tab w:val="left" w:pos="839"/>
        </w:tabs>
        <w:spacing w:after="0" w:line="240" w:lineRule="auto"/>
        <w:ind w:left="838"/>
        <w:rPr>
          <w:rFonts w:ascii="Cambria" w:eastAsia="Times New Roman" w:hAnsi="Cambria" w:cs="Times New Roman"/>
          <w:color w:val="000000"/>
        </w:rPr>
      </w:pPr>
    </w:p>
    <w:p w14:paraId="0C014E67" w14:textId="777777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pabellón del buque y pabellones previos,</w:t>
      </w:r>
    </w:p>
    <w:p w14:paraId="29296E2E"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3574AD5C" w14:textId="777777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nombre y dirección del armador del buque y armadores previos, incluyendo a los propietarios reales, y lugar de registro del armador,</w:t>
      </w:r>
    </w:p>
    <w:p w14:paraId="582B634F"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138DB315" w14:textId="777777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operador del buque y operadores previos,</w:t>
      </w:r>
    </w:p>
    <w:p w14:paraId="3E1BD6E4"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4D0FAD63" w14:textId="777777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lang w:val="pt-BR"/>
        </w:rPr>
      </w:pPr>
      <w:r w:rsidRPr="005C06AB">
        <w:rPr>
          <w:rFonts w:ascii="Cambria" w:eastAsia="Times New Roman" w:hAnsi="Cambria" w:cs="Times New Roman"/>
          <w:color w:val="000000"/>
          <w:sz w:val="20"/>
          <w:szCs w:val="20"/>
          <w:lang w:val="pt-BR"/>
        </w:rPr>
        <w:t>indicativo de radio e indicativo de radio previo,</w:t>
      </w:r>
    </w:p>
    <w:p w14:paraId="6D7B9085"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lang w:val="pt-BR"/>
        </w:rPr>
      </w:pPr>
    </w:p>
    <w:p w14:paraId="38642B30" w14:textId="777777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número </w:t>
      </w:r>
      <w:proofErr w:type="spellStart"/>
      <w:r w:rsidRPr="005C06AB">
        <w:rPr>
          <w:rFonts w:ascii="Cambria" w:eastAsia="Times New Roman" w:hAnsi="Cambria" w:cs="Times New Roman"/>
          <w:color w:val="000000"/>
          <w:sz w:val="20"/>
          <w:szCs w:val="20"/>
        </w:rPr>
        <w:t>Lloyds</w:t>
      </w:r>
      <w:proofErr w:type="spellEnd"/>
      <w:r w:rsidRPr="005C06AB">
        <w:rPr>
          <w:rFonts w:ascii="Cambria" w:eastAsia="Times New Roman" w:hAnsi="Cambria" w:cs="Times New Roman"/>
          <w:color w:val="000000"/>
          <w:sz w:val="20"/>
          <w:szCs w:val="20"/>
        </w:rPr>
        <w:t>/OMI,</w:t>
      </w:r>
    </w:p>
    <w:p w14:paraId="75D9A76D"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39F8FC61" w14:textId="77777777" w:rsidR="009A4AC7" w:rsidRPr="005C06AB" w:rsidRDefault="009A4AC7" w:rsidP="009A4AC7">
      <w:pPr>
        <w:widowControl w:val="0"/>
        <w:numPr>
          <w:ilvl w:val="0"/>
          <w:numId w:val="8"/>
        </w:numPr>
        <w:pBdr>
          <w:top w:val="nil"/>
          <w:left w:val="nil"/>
          <w:bottom w:val="nil"/>
          <w:right w:val="nil"/>
          <w:between w:val="nil"/>
        </w:pBdr>
        <w:tabs>
          <w:tab w:val="left" w:pos="807"/>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 xml:space="preserve"> fotografías del buque,</w:t>
      </w:r>
    </w:p>
    <w:p w14:paraId="1FF6F1C7" w14:textId="77777777" w:rsidR="009A4AC7" w:rsidRPr="005C06AB" w:rsidRDefault="009A4AC7" w:rsidP="009A4AC7">
      <w:pPr>
        <w:widowControl w:val="0"/>
        <w:pBdr>
          <w:top w:val="nil"/>
          <w:left w:val="nil"/>
          <w:bottom w:val="nil"/>
          <w:right w:val="nil"/>
          <w:between w:val="nil"/>
        </w:pBdr>
        <w:tabs>
          <w:tab w:val="left" w:pos="807"/>
        </w:tabs>
        <w:spacing w:after="0" w:line="240" w:lineRule="auto"/>
        <w:ind w:left="851"/>
        <w:rPr>
          <w:rFonts w:ascii="Cambria" w:eastAsia="Times New Roman" w:hAnsi="Cambria" w:cs="Times New Roman"/>
          <w:color w:val="000000"/>
        </w:rPr>
      </w:pPr>
    </w:p>
    <w:p w14:paraId="5FA61F48" w14:textId="77777777" w:rsidR="009A4AC7" w:rsidRPr="005C06AB" w:rsidRDefault="009A4AC7" w:rsidP="009A4AC7">
      <w:pPr>
        <w:widowControl w:val="0"/>
        <w:numPr>
          <w:ilvl w:val="0"/>
          <w:numId w:val="8"/>
        </w:numPr>
        <w:pBdr>
          <w:top w:val="nil"/>
          <w:left w:val="nil"/>
          <w:bottom w:val="nil"/>
          <w:right w:val="nil"/>
          <w:between w:val="nil"/>
        </w:pBdr>
        <w:tabs>
          <w:tab w:val="left" w:pos="863"/>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fecha en la que el buque fue incluido por primera vez en la lista IUU,</w:t>
      </w:r>
    </w:p>
    <w:p w14:paraId="030AEBA5" w14:textId="77777777" w:rsidR="009A4AC7" w:rsidRPr="005C06AB" w:rsidRDefault="009A4AC7" w:rsidP="009A4AC7">
      <w:pPr>
        <w:widowControl w:val="0"/>
        <w:pBdr>
          <w:top w:val="nil"/>
          <w:left w:val="nil"/>
          <w:bottom w:val="nil"/>
          <w:right w:val="nil"/>
          <w:between w:val="nil"/>
        </w:pBdr>
        <w:tabs>
          <w:tab w:val="left" w:pos="863"/>
        </w:tabs>
        <w:spacing w:after="0" w:line="240" w:lineRule="auto"/>
        <w:ind w:left="851"/>
        <w:rPr>
          <w:rFonts w:ascii="Cambria" w:eastAsia="Times New Roman" w:hAnsi="Cambria" w:cs="Times New Roman"/>
          <w:color w:val="000000"/>
        </w:rPr>
      </w:pPr>
    </w:p>
    <w:p w14:paraId="54FECE4A" w14:textId="230876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rPr>
      </w:pPr>
      <w:r w:rsidRPr="005C06AB">
        <w:rPr>
          <w:rFonts w:ascii="Cambria" w:eastAsia="Times New Roman" w:hAnsi="Cambria" w:cs="Times New Roman"/>
          <w:color w:val="000000"/>
          <w:sz w:val="20"/>
          <w:szCs w:val="20"/>
        </w:rPr>
        <w:t>resumen de las actividades que justifican la inclusión del buque en la lista, junto con referencias a todos los documentos pertinentes que contengan pruebas e inform</w:t>
      </w:r>
      <w:r w:rsidR="00C340EF" w:rsidRPr="005C06AB">
        <w:rPr>
          <w:rFonts w:ascii="Cambria" w:eastAsia="Times New Roman" w:hAnsi="Cambria" w:cs="Times New Roman"/>
          <w:color w:val="000000"/>
          <w:sz w:val="20"/>
          <w:szCs w:val="20"/>
        </w:rPr>
        <w:t>e</w:t>
      </w:r>
      <w:r w:rsidRPr="005C06AB">
        <w:rPr>
          <w:rFonts w:ascii="Cambria" w:eastAsia="Times New Roman" w:hAnsi="Cambria" w:cs="Times New Roman"/>
          <w:color w:val="000000"/>
          <w:sz w:val="20"/>
          <w:szCs w:val="20"/>
        </w:rPr>
        <w:t>n sobre estas actividades,</w:t>
      </w:r>
    </w:p>
    <w:p w14:paraId="4E3CD350" w14:textId="77777777" w:rsidR="009A4AC7" w:rsidRPr="005C06AB" w:rsidRDefault="009A4AC7" w:rsidP="009A4AC7">
      <w:pPr>
        <w:widowControl w:val="0"/>
        <w:pBdr>
          <w:top w:val="nil"/>
          <w:left w:val="nil"/>
          <w:bottom w:val="nil"/>
          <w:right w:val="nil"/>
          <w:between w:val="nil"/>
        </w:pBdr>
        <w:tabs>
          <w:tab w:val="left" w:pos="839"/>
        </w:tabs>
        <w:spacing w:after="0" w:line="240" w:lineRule="auto"/>
        <w:ind w:left="851"/>
        <w:rPr>
          <w:rFonts w:ascii="Cambria" w:eastAsia="Times New Roman" w:hAnsi="Cambria" w:cs="Times New Roman"/>
          <w:color w:val="000000"/>
        </w:rPr>
      </w:pPr>
    </w:p>
    <w:p w14:paraId="0E837A29" w14:textId="77777777" w:rsidR="009A4AC7" w:rsidRPr="005C06AB" w:rsidRDefault="009A4AC7" w:rsidP="009A4AC7">
      <w:pPr>
        <w:widowControl w:val="0"/>
        <w:numPr>
          <w:ilvl w:val="0"/>
          <w:numId w:val="8"/>
        </w:numPr>
        <w:pBdr>
          <w:top w:val="nil"/>
          <w:left w:val="nil"/>
          <w:bottom w:val="nil"/>
          <w:right w:val="nil"/>
          <w:between w:val="nil"/>
        </w:pBdr>
        <w:tabs>
          <w:tab w:val="left" w:pos="839"/>
        </w:tabs>
        <w:spacing w:after="0" w:line="240" w:lineRule="auto"/>
        <w:ind w:left="851" w:hanging="425"/>
        <w:jc w:val="both"/>
        <w:rPr>
          <w:rFonts w:ascii="Cambria" w:eastAsia="Times New Roman" w:hAnsi="Cambria" w:cs="Times New Roman"/>
          <w:color w:val="000000"/>
          <w:sz w:val="20"/>
          <w:szCs w:val="20"/>
        </w:rPr>
      </w:pPr>
      <w:r w:rsidRPr="005C06AB">
        <w:rPr>
          <w:rFonts w:ascii="Cambria" w:eastAsia="Times New Roman" w:hAnsi="Cambria" w:cs="Times New Roman"/>
          <w:color w:val="000000"/>
          <w:sz w:val="20"/>
          <w:szCs w:val="20"/>
        </w:rPr>
        <w:t>otra información relevante.</w:t>
      </w:r>
    </w:p>
    <w:p w14:paraId="64F21F0E" w14:textId="77777777" w:rsidR="009A4AC7" w:rsidRPr="005C06AB" w:rsidRDefault="009A4AC7" w:rsidP="009A4AC7">
      <w:pPr>
        <w:widowControl w:val="0"/>
        <w:pBdr>
          <w:top w:val="nil"/>
          <w:left w:val="nil"/>
          <w:bottom w:val="nil"/>
          <w:right w:val="nil"/>
          <w:between w:val="nil"/>
        </w:pBdr>
        <w:spacing w:after="0" w:line="240" w:lineRule="auto"/>
        <w:jc w:val="center"/>
        <w:rPr>
          <w:rFonts w:ascii="Cambria" w:eastAsia="Times New Roman" w:hAnsi="Cambria" w:cs="Arial"/>
          <w:i/>
          <w:sz w:val="20"/>
          <w:szCs w:val="20"/>
          <w:lang w:val="es-ES_tradnl" w:eastAsia="es-ES_tradnl"/>
        </w:rPr>
      </w:pPr>
    </w:p>
    <w:p w14:paraId="379E43B6" w14:textId="77777777" w:rsidR="009A4AC7" w:rsidRPr="005C06AB" w:rsidRDefault="009A4AC7" w:rsidP="009A4AC7">
      <w:pPr>
        <w:widowControl w:val="0"/>
        <w:autoSpaceDE w:val="0"/>
        <w:autoSpaceDN w:val="0"/>
        <w:adjustRightInd w:val="0"/>
        <w:spacing w:after="0" w:line="240" w:lineRule="auto"/>
        <w:jc w:val="both"/>
        <w:rPr>
          <w:rFonts w:ascii="Cambria" w:eastAsia="Times New Roman" w:hAnsi="Cambria" w:cs="Times New Roman"/>
          <w:i/>
          <w:sz w:val="20"/>
          <w:szCs w:val="20"/>
          <w:lang w:val="es-ES_tradnl" w:eastAsia="es-ES_tradnl"/>
        </w:rPr>
      </w:pPr>
    </w:p>
    <w:p w14:paraId="2A838365" w14:textId="75DC6F98" w:rsidR="006E560A" w:rsidRPr="005C06AB" w:rsidRDefault="006E560A" w:rsidP="00570F33">
      <w:pPr>
        <w:pStyle w:val="NoSpacing"/>
        <w:jc w:val="both"/>
        <w:rPr>
          <w:rFonts w:ascii="Cambria" w:hAnsi="Cambria"/>
          <w:sz w:val="20"/>
          <w:szCs w:val="20"/>
        </w:rPr>
      </w:pPr>
    </w:p>
    <w:p w14:paraId="24B20BF6" w14:textId="5D81AC04" w:rsidR="0054773B" w:rsidRPr="005C06AB" w:rsidRDefault="0054773B" w:rsidP="0054773B"/>
    <w:p w14:paraId="52B0F283" w14:textId="69547C5B" w:rsidR="0054773B" w:rsidRPr="005C06AB" w:rsidRDefault="0054773B" w:rsidP="0054773B"/>
    <w:p w14:paraId="6933970F" w14:textId="7B36F8C8" w:rsidR="0054773B" w:rsidRPr="005C06AB" w:rsidRDefault="0054773B" w:rsidP="0054773B"/>
    <w:p w14:paraId="06F304CD" w14:textId="340BCE91" w:rsidR="0054773B" w:rsidRPr="005C06AB" w:rsidRDefault="0054773B" w:rsidP="0054773B"/>
    <w:p w14:paraId="44005CF4" w14:textId="5CFAD308" w:rsidR="0054773B" w:rsidRPr="005C06AB" w:rsidRDefault="0054773B" w:rsidP="0054773B"/>
    <w:p w14:paraId="1D7EC44F" w14:textId="233DBB7B" w:rsidR="0054773B" w:rsidRPr="005C06AB" w:rsidRDefault="0054773B" w:rsidP="0054773B"/>
    <w:p w14:paraId="124E1AAE" w14:textId="59623324" w:rsidR="0054773B" w:rsidRPr="005C06AB" w:rsidRDefault="0054773B" w:rsidP="0054773B"/>
    <w:p w14:paraId="2750D32E" w14:textId="62C26327" w:rsidR="0054773B" w:rsidRPr="005C06AB" w:rsidRDefault="0054773B" w:rsidP="0054773B"/>
    <w:p w14:paraId="5662A808" w14:textId="21D52515" w:rsidR="0054773B" w:rsidRPr="005C06AB" w:rsidRDefault="0054773B" w:rsidP="0054773B"/>
    <w:p w14:paraId="08FC58DF" w14:textId="53EA0601" w:rsidR="0054773B" w:rsidRPr="005C06AB" w:rsidRDefault="0054773B" w:rsidP="0054773B"/>
    <w:p w14:paraId="53F52788" w14:textId="7EFA7E12" w:rsidR="0054773B" w:rsidRPr="005C06AB" w:rsidRDefault="0054773B" w:rsidP="0054773B"/>
    <w:p w14:paraId="6AC3676E" w14:textId="6563E091" w:rsidR="0054773B" w:rsidRPr="005C06AB" w:rsidRDefault="0054773B" w:rsidP="0054773B"/>
    <w:p w14:paraId="43AB134F" w14:textId="1510A87A" w:rsidR="0054773B" w:rsidRPr="005C06AB" w:rsidRDefault="0054773B" w:rsidP="0054773B">
      <w:pPr>
        <w:rPr>
          <w:rFonts w:ascii="Cambria" w:hAnsi="Cambria"/>
          <w:sz w:val="20"/>
          <w:szCs w:val="20"/>
        </w:rPr>
      </w:pPr>
    </w:p>
    <w:p w14:paraId="3B1BFD94" w14:textId="1510A87A" w:rsidR="0054773B" w:rsidRPr="005C06AB" w:rsidRDefault="0054773B" w:rsidP="0054773B"/>
    <w:sectPr w:rsidR="0054773B" w:rsidRPr="005C06AB" w:rsidSect="00570F33">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CC12" w14:textId="77777777" w:rsidR="00F27FE1" w:rsidRDefault="00F27FE1" w:rsidP="00835936">
      <w:pPr>
        <w:spacing w:after="0" w:line="240" w:lineRule="auto"/>
      </w:pPr>
      <w:r>
        <w:separator/>
      </w:r>
    </w:p>
  </w:endnote>
  <w:endnote w:type="continuationSeparator" w:id="0">
    <w:p w14:paraId="1FA265F6" w14:textId="77777777" w:rsidR="00F27FE1" w:rsidRDefault="00F27FE1" w:rsidP="0083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5550"/>
      <w:docPartObj>
        <w:docPartGallery w:val="Page Numbers (Bottom of Page)"/>
        <w:docPartUnique/>
      </w:docPartObj>
    </w:sdtPr>
    <w:sdtEndPr>
      <w:rPr>
        <w:rFonts w:asciiTheme="majorHAnsi" w:hAnsiTheme="majorHAnsi"/>
        <w:szCs w:val="20"/>
      </w:rPr>
    </w:sdtEndPr>
    <w:sdtContent>
      <w:sdt>
        <w:sdtPr>
          <w:id w:val="-1705238520"/>
          <w:docPartObj>
            <w:docPartGallery w:val="Page Numbers (Top of Page)"/>
            <w:docPartUnique/>
          </w:docPartObj>
        </w:sdtPr>
        <w:sdtEndPr>
          <w:rPr>
            <w:rFonts w:asciiTheme="majorHAnsi" w:hAnsiTheme="majorHAnsi"/>
            <w:szCs w:val="20"/>
          </w:rPr>
        </w:sdtEndPr>
        <w:sdtContent>
          <w:p w14:paraId="73961689" w14:textId="3F3179E4" w:rsidR="009A4AC7" w:rsidRPr="002E48F6" w:rsidRDefault="00CC7611" w:rsidP="002E48F6">
            <w:pPr>
              <w:pStyle w:val="Footer"/>
              <w:jc w:val="center"/>
              <w:rPr>
                <w:rFonts w:ascii="Cambria" w:hAnsi="Cambria"/>
                <w:szCs w:val="20"/>
              </w:rPr>
            </w:pPr>
            <w:r w:rsidRPr="00CC7611">
              <w:rPr>
                <w:rFonts w:ascii="Cambria" w:hAnsi="Cambria"/>
                <w:szCs w:val="20"/>
                <w:lang w:val="es-ES_tradnl"/>
              </w:rPr>
              <w:fldChar w:fldCharType="begin"/>
            </w:r>
            <w:r w:rsidRPr="00CC7611">
              <w:rPr>
                <w:rFonts w:ascii="Cambria" w:hAnsi="Cambria"/>
                <w:szCs w:val="20"/>
                <w:lang w:val="es-ES_tradnl"/>
              </w:rPr>
              <w:instrText xml:space="preserve"> PAGE </w:instrText>
            </w:r>
            <w:r w:rsidRPr="00CC7611">
              <w:rPr>
                <w:rFonts w:ascii="Cambria" w:hAnsi="Cambria"/>
                <w:szCs w:val="20"/>
                <w:lang w:val="es-ES_tradnl"/>
              </w:rPr>
              <w:fldChar w:fldCharType="separate"/>
            </w:r>
            <w:r w:rsidRPr="00CC7611">
              <w:rPr>
                <w:rFonts w:ascii="Cambria" w:hAnsi="Cambria"/>
                <w:szCs w:val="20"/>
                <w:lang w:val="es-ES_tradnl"/>
              </w:rPr>
              <w:t>1</w:t>
            </w:r>
            <w:r w:rsidRPr="00CC7611">
              <w:rPr>
                <w:rFonts w:ascii="Cambria" w:hAnsi="Cambria"/>
                <w:szCs w:val="20"/>
                <w:lang w:val="es-ES_tradnl"/>
              </w:rPr>
              <w:fldChar w:fldCharType="end"/>
            </w:r>
            <w:r w:rsidRPr="00CC7611">
              <w:rPr>
                <w:rFonts w:ascii="Cambria" w:hAnsi="Cambria"/>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759138"/>
      <w:docPartObj>
        <w:docPartGallery w:val="Page Numbers (Bottom of Page)"/>
        <w:docPartUnique/>
      </w:docPartObj>
    </w:sdtPr>
    <w:sdtEndPr/>
    <w:sdtContent>
      <w:sdt>
        <w:sdtPr>
          <w:id w:val="1728636285"/>
          <w:docPartObj>
            <w:docPartGallery w:val="Page Numbers (Top of Page)"/>
            <w:docPartUnique/>
          </w:docPartObj>
        </w:sdtPr>
        <w:sdtEndPr/>
        <w:sdtContent>
          <w:p w14:paraId="392B41A0" w14:textId="22CBF8F1" w:rsidR="00566513" w:rsidRPr="0054773B" w:rsidRDefault="00301638" w:rsidP="0054773B">
            <w:pPr>
              <w:pStyle w:val="Footer"/>
              <w:jc w:val="center"/>
              <w:rPr>
                <w:rFonts w:ascii="Cambria" w:hAnsi="Cambria"/>
                <w:sz w:val="20"/>
                <w:szCs w:val="20"/>
              </w:rPr>
            </w:pPr>
            <w:r w:rsidRPr="00D35466">
              <w:rPr>
                <w:rFonts w:ascii="Cambria" w:hAnsi="Cambria"/>
                <w:sz w:val="20"/>
                <w:szCs w:val="20"/>
                <w:lang w:val="es-ES_tradnl"/>
              </w:rPr>
              <w:fldChar w:fldCharType="begin"/>
            </w:r>
            <w:r w:rsidRPr="00D35466">
              <w:rPr>
                <w:rFonts w:ascii="Cambria" w:hAnsi="Cambria"/>
                <w:sz w:val="20"/>
                <w:szCs w:val="20"/>
                <w:lang w:val="es-ES_tradnl"/>
              </w:rPr>
              <w:instrText xml:space="preserve"> PAGE </w:instrText>
            </w:r>
            <w:r w:rsidRPr="00D35466">
              <w:rPr>
                <w:rFonts w:ascii="Cambria" w:hAnsi="Cambria"/>
                <w:sz w:val="20"/>
                <w:szCs w:val="20"/>
                <w:lang w:val="es-ES_tradnl"/>
              </w:rPr>
              <w:fldChar w:fldCharType="separate"/>
            </w:r>
            <w:r>
              <w:rPr>
                <w:rFonts w:ascii="Cambria" w:hAnsi="Cambria"/>
                <w:noProof/>
                <w:sz w:val="20"/>
                <w:szCs w:val="20"/>
                <w:lang w:val="es-ES_tradnl"/>
              </w:rPr>
              <w:t>1</w:t>
            </w:r>
            <w:r w:rsidRPr="00D35466">
              <w:rPr>
                <w:rFonts w:ascii="Cambria" w:hAnsi="Cambria"/>
                <w:sz w:val="20"/>
                <w:szCs w:val="20"/>
                <w:lang w:val="es-ES_tradnl"/>
              </w:rPr>
              <w:fldChar w:fldCharType="end"/>
            </w:r>
            <w:r w:rsidRPr="00D35466">
              <w:rPr>
                <w:rFonts w:ascii="Cambria" w:hAnsi="Cambria"/>
                <w:sz w:val="20"/>
                <w:szCs w:val="20"/>
                <w:lang w:val="es-ES_tradn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5EAA" w14:textId="77777777" w:rsidR="00F27FE1" w:rsidRDefault="00F27FE1" w:rsidP="00835936">
      <w:pPr>
        <w:spacing w:after="0" w:line="240" w:lineRule="auto"/>
      </w:pPr>
      <w:r>
        <w:separator/>
      </w:r>
    </w:p>
  </w:footnote>
  <w:footnote w:type="continuationSeparator" w:id="0">
    <w:p w14:paraId="7E61EC1F" w14:textId="77777777" w:rsidR="00F27FE1" w:rsidRDefault="00F27FE1" w:rsidP="00835936">
      <w:pPr>
        <w:spacing w:after="0" w:line="240" w:lineRule="auto"/>
      </w:pPr>
      <w:r>
        <w:continuationSeparator/>
      </w:r>
    </w:p>
  </w:footnote>
  <w:footnote w:id="1">
    <w:p w14:paraId="4D987EF9" w14:textId="54EE78A1" w:rsidR="009A4AC7" w:rsidRPr="00F65141" w:rsidRDefault="009A4AC7" w:rsidP="009A4AC7">
      <w:pPr>
        <w:pStyle w:val="FootnoteText"/>
        <w:ind w:left="142" w:hanging="142"/>
        <w:rPr>
          <w:rFonts w:cs="Calibri"/>
          <w:sz w:val="16"/>
          <w:szCs w:val="16"/>
          <w:lang w:eastAsia="en-GB"/>
        </w:rPr>
      </w:pPr>
      <w:r w:rsidRPr="00F65141">
        <w:rPr>
          <w:rStyle w:val="FootnoteReference"/>
          <w:sz w:val="16"/>
          <w:szCs w:val="16"/>
        </w:rPr>
        <w:footnoteRef/>
      </w:r>
      <w:r w:rsidRPr="00F65141">
        <w:rPr>
          <w:rFonts w:cs="Calibri"/>
          <w:sz w:val="16"/>
          <w:szCs w:val="16"/>
          <w:lang w:eastAsia="en-GB"/>
        </w:rPr>
        <w:t xml:space="preserve">  La Comisión para la Conservación de los Recursos Marinos Vivos del Antártico (CCAMLR), la Comisión para la conservación del atún rojo del Sur (CCSBT), la Comisión General de Pesca del Mediterráneo (</w:t>
      </w:r>
      <w:r w:rsidR="00AD209F">
        <w:rPr>
          <w:rFonts w:cs="Calibri"/>
          <w:sz w:val="16"/>
          <w:szCs w:val="16"/>
          <w:lang w:eastAsia="en-GB"/>
        </w:rPr>
        <w:t>GFCM</w:t>
      </w:r>
      <w:r w:rsidRPr="00F65141">
        <w:rPr>
          <w:rFonts w:cs="Calibri"/>
          <w:sz w:val="16"/>
          <w:szCs w:val="16"/>
          <w:lang w:eastAsia="en-GB"/>
        </w:rPr>
        <w:t>), la Comisión del Atún para el Océano Índico (IOTC), la Comisión Interamericana del Atún Tropical (IATTC), la Organización de la Pesca del Atlántico noroccidental (NAFO), la Comisión de Pesca del Atlántico nordeste (</w:t>
      </w:r>
      <w:r w:rsidR="00AD209F">
        <w:rPr>
          <w:rFonts w:cs="Calibri"/>
          <w:sz w:val="16"/>
          <w:szCs w:val="16"/>
          <w:lang w:eastAsia="en-GB"/>
        </w:rPr>
        <w:t>NEAFC</w:t>
      </w:r>
      <w:r w:rsidRPr="00F65141">
        <w:rPr>
          <w:rFonts w:cs="Calibri"/>
          <w:sz w:val="16"/>
          <w:szCs w:val="16"/>
          <w:lang w:eastAsia="en-GB"/>
        </w:rPr>
        <w:t xml:space="preserve">), la Organización de Pesca del Atlántico Suroriental (SEAFO) y la Comisión de Pesca del Pacífico occidental y central (WCPFC). </w:t>
      </w:r>
    </w:p>
    <w:p w14:paraId="6E4BF8D6" w14:textId="77777777" w:rsidR="009A4AC7" w:rsidRPr="000B1C6A" w:rsidRDefault="009A4AC7" w:rsidP="009A4A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C3F2" w14:textId="77777777" w:rsidR="00566513" w:rsidRPr="00F65141" w:rsidRDefault="00566513" w:rsidP="00F65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AB1"/>
    <w:multiLevelType w:val="hybridMultilevel"/>
    <w:tmpl w:val="000079D0"/>
    <w:lvl w:ilvl="0" w:tplc="D72A0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64C90"/>
    <w:multiLevelType w:val="hybridMultilevel"/>
    <w:tmpl w:val="1C8EC2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572FE"/>
    <w:multiLevelType w:val="multilevel"/>
    <w:tmpl w:val="BBDA514C"/>
    <w:lvl w:ilvl="0">
      <w:start w:val="1"/>
      <w:numFmt w:val="upperLetter"/>
      <w:lvlText w:val="%1."/>
      <w:lvlJc w:val="left"/>
      <w:pPr>
        <w:ind w:left="504" w:hanging="272"/>
      </w:pPr>
      <w:rPr>
        <w:rFonts w:asciiTheme="minorHAnsi" w:eastAsia="Times New Roman" w:hAnsiTheme="minorHAnsi" w:cs="Times New Roman" w:hint="default"/>
        <w:b/>
        <w:sz w:val="22"/>
        <w:szCs w:val="22"/>
      </w:rPr>
    </w:lvl>
    <w:lvl w:ilvl="1">
      <w:start w:val="1"/>
      <w:numFmt w:val="bullet"/>
      <w:lvlText w:val="•"/>
      <w:lvlJc w:val="left"/>
      <w:pPr>
        <w:ind w:left="1438" w:hanging="272"/>
      </w:pPr>
    </w:lvl>
    <w:lvl w:ilvl="2">
      <w:start w:val="1"/>
      <w:numFmt w:val="bullet"/>
      <w:lvlText w:val="•"/>
      <w:lvlJc w:val="left"/>
      <w:pPr>
        <w:ind w:left="2376" w:hanging="272"/>
      </w:pPr>
    </w:lvl>
    <w:lvl w:ilvl="3">
      <w:start w:val="1"/>
      <w:numFmt w:val="bullet"/>
      <w:lvlText w:val="•"/>
      <w:lvlJc w:val="left"/>
      <w:pPr>
        <w:ind w:left="3314" w:hanging="272"/>
      </w:pPr>
    </w:lvl>
    <w:lvl w:ilvl="4">
      <w:start w:val="1"/>
      <w:numFmt w:val="bullet"/>
      <w:lvlText w:val="•"/>
      <w:lvlJc w:val="left"/>
      <w:pPr>
        <w:ind w:left="4252" w:hanging="272"/>
      </w:pPr>
    </w:lvl>
    <w:lvl w:ilvl="5">
      <w:start w:val="1"/>
      <w:numFmt w:val="bullet"/>
      <w:lvlText w:val="•"/>
      <w:lvlJc w:val="left"/>
      <w:pPr>
        <w:ind w:left="5190" w:hanging="272"/>
      </w:pPr>
    </w:lvl>
    <w:lvl w:ilvl="6">
      <w:start w:val="1"/>
      <w:numFmt w:val="bullet"/>
      <w:lvlText w:val="•"/>
      <w:lvlJc w:val="left"/>
      <w:pPr>
        <w:ind w:left="6128" w:hanging="272"/>
      </w:pPr>
    </w:lvl>
    <w:lvl w:ilvl="7">
      <w:start w:val="1"/>
      <w:numFmt w:val="bullet"/>
      <w:lvlText w:val="•"/>
      <w:lvlJc w:val="left"/>
      <w:pPr>
        <w:ind w:left="7066" w:hanging="272"/>
      </w:pPr>
    </w:lvl>
    <w:lvl w:ilvl="8">
      <w:start w:val="1"/>
      <w:numFmt w:val="bullet"/>
      <w:lvlText w:val="•"/>
      <w:lvlJc w:val="left"/>
      <w:pPr>
        <w:ind w:left="8004" w:hanging="272"/>
      </w:pPr>
    </w:lvl>
  </w:abstractNum>
  <w:abstractNum w:abstractNumId="3" w15:restartNumberingAfterBreak="0">
    <w:nsid w:val="11CB3F8C"/>
    <w:multiLevelType w:val="multilevel"/>
    <w:tmpl w:val="7422C04E"/>
    <w:lvl w:ilvl="0">
      <w:start w:val="1"/>
      <w:numFmt w:val="bullet"/>
      <w:lvlText w:val=""/>
      <w:lvlJc w:val="left"/>
      <w:pPr>
        <w:ind w:left="838" w:hanging="180"/>
      </w:pPr>
      <w:rPr>
        <w:rFonts w:ascii="Symbol" w:hAnsi="Symbol" w:hint="default"/>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4"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5" w15:restartNumberingAfterBreak="0">
    <w:nsid w:val="3C321C3D"/>
    <w:multiLevelType w:val="hybridMultilevel"/>
    <w:tmpl w:val="DE90E52E"/>
    <w:lvl w:ilvl="0" w:tplc="4E6AB17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402162F1"/>
    <w:multiLevelType w:val="multilevel"/>
    <w:tmpl w:val="E14CD1DA"/>
    <w:lvl w:ilvl="0">
      <w:start w:val="1"/>
      <w:numFmt w:val="bullet"/>
      <w:lvlText w:val="−"/>
      <w:lvlJc w:val="left"/>
      <w:pPr>
        <w:ind w:left="838" w:hanging="180"/>
      </w:pPr>
      <w:rPr>
        <w:rFonts w:ascii="Times New Roman" w:eastAsia="Times New Roman" w:hAnsi="Times New Roman" w:cs="Times New Roman"/>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7" w15:restartNumberingAfterBreak="0">
    <w:nsid w:val="599A2194"/>
    <w:multiLevelType w:val="multilevel"/>
    <w:tmpl w:val="6430F532"/>
    <w:lvl w:ilvl="0">
      <w:start w:val="1"/>
      <w:numFmt w:val="lowerLetter"/>
      <w:lvlText w:val="%1)"/>
      <w:lvlJc w:val="left"/>
      <w:pPr>
        <w:ind w:left="838" w:hanging="382"/>
      </w:pPr>
      <w:rPr>
        <w:sz w:val="20"/>
        <w:szCs w:val="20"/>
      </w:rPr>
    </w:lvl>
    <w:lvl w:ilvl="1">
      <w:start w:val="1"/>
      <w:numFmt w:val="lowerRoman"/>
      <w:lvlText w:val="%2."/>
      <w:lvlJc w:val="right"/>
      <w:pPr>
        <w:ind w:left="838" w:hanging="181"/>
      </w:pPr>
      <w:rPr>
        <w:sz w:val="20"/>
        <w:szCs w:val="20"/>
      </w:rPr>
    </w:lvl>
    <w:lvl w:ilvl="2">
      <w:start w:val="1"/>
      <w:numFmt w:val="bullet"/>
      <w:lvlText w:val="•"/>
      <w:lvlJc w:val="left"/>
      <w:pPr>
        <w:ind w:left="2532" w:hanging="181"/>
      </w:pPr>
    </w:lvl>
    <w:lvl w:ilvl="3">
      <w:start w:val="1"/>
      <w:numFmt w:val="bullet"/>
      <w:lvlText w:val="•"/>
      <w:lvlJc w:val="left"/>
      <w:pPr>
        <w:ind w:left="3379" w:hanging="181"/>
      </w:pPr>
    </w:lvl>
    <w:lvl w:ilvl="4">
      <w:start w:val="1"/>
      <w:numFmt w:val="bullet"/>
      <w:lvlText w:val="•"/>
      <w:lvlJc w:val="left"/>
      <w:pPr>
        <w:ind w:left="4225" w:hanging="181"/>
      </w:pPr>
    </w:lvl>
    <w:lvl w:ilvl="5">
      <w:start w:val="1"/>
      <w:numFmt w:val="bullet"/>
      <w:lvlText w:val="•"/>
      <w:lvlJc w:val="left"/>
      <w:pPr>
        <w:ind w:left="5072" w:hanging="181"/>
      </w:pPr>
    </w:lvl>
    <w:lvl w:ilvl="6">
      <w:start w:val="1"/>
      <w:numFmt w:val="bullet"/>
      <w:lvlText w:val="•"/>
      <w:lvlJc w:val="left"/>
      <w:pPr>
        <w:ind w:left="5918" w:hanging="181"/>
      </w:pPr>
    </w:lvl>
    <w:lvl w:ilvl="7">
      <w:start w:val="1"/>
      <w:numFmt w:val="bullet"/>
      <w:lvlText w:val="•"/>
      <w:lvlJc w:val="left"/>
      <w:pPr>
        <w:ind w:left="6765" w:hanging="181"/>
      </w:pPr>
    </w:lvl>
    <w:lvl w:ilvl="8">
      <w:start w:val="1"/>
      <w:numFmt w:val="bullet"/>
      <w:lvlText w:val="•"/>
      <w:lvlJc w:val="left"/>
      <w:pPr>
        <w:ind w:left="7611" w:hanging="181"/>
      </w:pPr>
    </w:lvl>
  </w:abstractNum>
  <w:abstractNum w:abstractNumId="8" w15:restartNumberingAfterBreak="0">
    <w:nsid w:val="67F1580E"/>
    <w:multiLevelType w:val="hybridMultilevel"/>
    <w:tmpl w:val="58009188"/>
    <w:lvl w:ilvl="0" w:tplc="87B21B3A">
      <w:start w:val="1"/>
      <w:numFmt w:val="bullet"/>
      <w:lvlText w:val=""/>
      <w:lvlJc w:val="left"/>
      <w:pPr>
        <w:ind w:left="923" w:hanging="356"/>
      </w:pPr>
      <w:rPr>
        <w:rFonts w:ascii="Symbol" w:hAnsi="Symbol"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9A86768"/>
    <w:multiLevelType w:val="multilevel"/>
    <w:tmpl w:val="2D6A941C"/>
    <w:lvl w:ilvl="0">
      <w:start w:val="1"/>
      <w:numFmt w:val="lowerRoman"/>
      <w:lvlText w:val="%1)"/>
      <w:lvlJc w:val="left"/>
      <w:pPr>
        <w:ind w:left="838" w:hanging="361"/>
      </w:pPr>
      <w:rPr>
        <w:rFonts w:ascii="Cambria" w:eastAsia="Times New Roman" w:hAnsi="Cambria" w:cs="Times New Roman" w:hint="default"/>
        <w:sz w:val="20"/>
        <w:szCs w:val="20"/>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num w:numId="1" w16cid:durableId="1358510160">
    <w:abstractNumId w:val="0"/>
  </w:num>
  <w:num w:numId="2" w16cid:durableId="1168911521">
    <w:abstractNumId w:val="1"/>
  </w:num>
  <w:num w:numId="3" w16cid:durableId="1349913945">
    <w:abstractNumId w:val="5"/>
  </w:num>
  <w:num w:numId="4" w16cid:durableId="1158037779">
    <w:abstractNumId w:val="6"/>
  </w:num>
  <w:num w:numId="5" w16cid:durableId="215092955">
    <w:abstractNumId w:val="3"/>
  </w:num>
  <w:num w:numId="6" w16cid:durableId="179978192">
    <w:abstractNumId w:val="2"/>
  </w:num>
  <w:num w:numId="7" w16cid:durableId="1851943844">
    <w:abstractNumId w:val="4"/>
  </w:num>
  <w:num w:numId="8" w16cid:durableId="1010528668">
    <w:abstractNumId w:val="9"/>
  </w:num>
  <w:num w:numId="9" w16cid:durableId="1027490902">
    <w:abstractNumId w:val="7"/>
  </w:num>
  <w:num w:numId="10" w16cid:durableId="232395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36"/>
    <w:rsid w:val="000013EF"/>
    <w:rsid w:val="00047E66"/>
    <w:rsid w:val="00061E6A"/>
    <w:rsid w:val="00075682"/>
    <w:rsid w:val="000B5579"/>
    <w:rsid w:val="001018E0"/>
    <w:rsid w:val="00126617"/>
    <w:rsid w:val="00146E03"/>
    <w:rsid w:val="0015049B"/>
    <w:rsid w:val="001628D2"/>
    <w:rsid w:val="001907C5"/>
    <w:rsid w:val="00190AF6"/>
    <w:rsid w:val="00193EB8"/>
    <w:rsid w:val="00194F79"/>
    <w:rsid w:val="001F6D13"/>
    <w:rsid w:val="001F7FA2"/>
    <w:rsid w:val="002019C7"/>
    <w:rsid w:val="00205395"/>
    <w:rsid w:val="00212E54"/>
    <w:rsid w:val="00256E41"/>
    <w:rsid w:val="00261E8A"/>
    <w:rsid w:val="002844D9"/>
    <w:rsid w:val="00285A7F"/>
    <w:rsid w:val="00290B1F"/>
    <w:rsid w:val="00295CB3"/>
    <w:rsid w:val="002C3C7E"/>
    <w:rsid w:val="002D3878"/>
    <w:rsid w:val="002E48F6"/>
    <w:rsid w:val="002E5C38"/>
    <w:rsid w:val="002F3F3C"/>
    <w:rsid w:val="00301638"/>
    <w:rsid w:val="00317031"/>
    <w:rsid w:val="00320592"/>
    <w:rsid w:val="00337945"/>
    <w:rsid w:val="0034039A"/>
    <w:rsid w:val="00381DA7"/>
    <w:rsid w:val="00387A35"/>
    <w:rsid w:val="003A3B92"/>
    <w:rsid w:val="003C07D7"/>
    <w:rsid w:val="003F2D59"/>
    <w:rsid w:val="00427FEF"/>
    <w:rsid w:val="004319A2"/>
    <w:rsid w:val="00444137"/>
    <w:rsid w:val="00444F74"/>
    <w:rsid w:val="0048652C"/>
    <w:rsid w:val="004D64CC"/>
    <w:rsid w:val="004F00D1"/>
    <w:rsid w:val="00541DAB"/>
    <w:rsid w:val="0054773B"/>
    <w:rsid w:val="00566513"/>
    <w:rsid w:val="00570F33"/>
    <w:rsid w:val="005C06AB"/>
    <w:rsid w:val="005C7627"/>
    <w:rsid w:val="00604210"/>
    <w:rsid w:val="006165BF"/>
    <w:rsid w:val="00677B29"/>
    <w:rsid w:val="00694023"/>
    <w:rsid w:val="00697B1D"/>
    <w:rsid w:val="006C7D92"/>
    <w:rsid w:val="006E4D1C"/>
    <w:rsid w:val="006E560A"/>
    <w:rsid w:val="00711D55"/>
    <w:rsid w:val="007635CD"/>
    <w:rsid w:val="007C357D"/>
    <w:rsid w:val="0080129E"/>
    <w:rsid w:val="00820984"/>
    <w:rsid w:val="00835936"/>
    <w:rsid w:val="008376E6"/>
    <w:rsid w:val="008C5550"/>
    <w:rsid w:val="008F2CFE"/>
    <w:rsid w:val="009017FA"/>
    <w:rsid w:val="009709EC"/>
    <w:rsid w:val="0099450B"/>
    <w:rsid w:val="00996F96"/>
    <w:rsid w:val="009A4AC7"/>
    <w:rsid w:val="009E57DC"/>
    <w:rsid w:val="00A62A0E"/>
    <w:rsid w:val="00A72767"/>
    <w:rsid w:val="00A93711"/>
    <w:rsid w:val="00AC2632"/>
    <w:rsid w:val="00AD209F"/>
    <w:rsid w:val="00AE2DFC"/>
    <w:rsid w:val="00AE7982"/>
    <w:rsid w:val="00AF6E5C"/>
    <w:rsid w:val="00B12023"/>
    <w:rsid w:val="00B514FC"/>
    <w:rsid w:val="00BB0543"/>
    <w:rsid w:val="00BD4528"/>
    <w:rsid w:val="00BE569E"/>
    <w:rsid w:val="00BE66FD"/>
    <w:rsid w:val="00C0318C"/>
    <w:rsid w:val="00C340EF"/>
    <w:rsid w:val="00C35086"/>
    <w:rsid w:val="00CA49B2"/>
    <w:rsid w:val="00CA6A4B"/>
    <w:rsid w:val="00CB4C66"/>
    <w:rsid w:val="00CC2B48"/>
    <w:rsid w:val="00CC63D9"/>
    <w:rsid w:val="00CC7611"/>
    <w:rsid w:val="00DE0FAC"/>
    <w:rsid w:val="00E164EA"/>
    <w:rsid w:val="00E67DED"/>
    <w:rsid w:val="00E80963"/>
    <w:rsid w:val="00E840D1"/>
    <w:rsid w:val="00EC279E"/>
    <w:rsid w:val="00EC6E3C"/>
    <w:rsid w:val="00F07385"/>
    <w:rsid w:val="00F27FE1"/>
    <w:rsid w:val="00F3712D"/>
    <w:rsid w:val="00F65141"/>
    <w:rsid w:val="00F67E7E"/>
    <w:rsid w:val="00F75FBD"/>
    <w:rsid w:val="00FA293F"/>
    <w:rsid w:val="00FB5D4C"/>
    <w:rsid w:val="00FD433D"/>
    <w:rsid w:val="00FF2D6A"/>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80AC4"/>
  <w15:chartTrackingRefBased/>
  <w15:docId w15:val="{213C8C1C-92BE-4C75-984C-4DAB0E0D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77B29"/>
    <w:pPr>
      <w:keepNext/>
      <w:spacing w:after="0" w:line="240" w:lineRule="auto"/>
      <w:jc w:val="center"/>
      <w:outlineLvl w:val="4"/>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936"/>
    <w:pPr>
      <w:spacing w:after="0" w:line="240" w:lineRule="auto"/>
    </w:pPr>
  </w:style>
  <w:style w:type="paragraph" w:styleId="Header">
    <w:name w:val="header"/>
    <w:basedOn w:val="Normal"/>
    <w:link w:val="HeaderChar"/>
    <w:uiPriority w:val="99"/>
    <w:unhideWhenUsed/>
    <w:rsid w:val="00835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936"/>
  </w:style>
  <w:style w:type="paragraph" w:styleId="Footer">
    <w:name w:val="footer"/>
    <w:basedOn w:val="Normal"/>
    <w:link w:val="FooterChar"/>
    <w:uiPriority w:val="99"/>
    <w:unhideWhenUsed/>
    <w:rsid w:val="0083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36"/>
  </w:style>
  <w:style w:type="character" w:styleId="CommentReference">
    <w:name w:val="annotation reference"/>
    <w:basedOn w:val="DefaultParagraphFont"/>
    <w:uiPriority w:val="99"/>
    <w:semiHidden/>
    <w:unhideWhenUsed/>
    <w:rsid w:val="00F75FBD"/>
    <w:rPr>
      <w:sz w:val="16"/>
      <w:szCs w:val="16"/>
    </w:rPr>
  </w:style>
  <w:style w:type="paragraph" w:styleId="CommentText">
    <w:name w:val="annotation text"/>
    <w:basedOn w:val="Normal"/>
    <w:link w:val="CommentTextChar"/>
    <w:uiPriority w:val="99"/>
    <w:semiHidden/>
    <w:unhideWhenUsed/>
    <w:rsid w:val="00F75FBD"/>
    <w:pPr>
      <w:spacing w:line="240" w:lineRule="auto"/>
    </w:pPr>
    <w:rPr>
      <w:sz w:val="20"/>
      <w:szCs w:val="20"/>
    </w:rPr>
  </w:style>
  <w:style w:type="character" w:customStyle="1" w:styleId="CommentTextChar">
    <w:name w:val="Comment Text Char"/>
    <w:basedOn w:val="DefaultParagraphFont"/>
    <w:link w:val="CommentText"/>
    <w:uiPriority w:val="99"/>
    <w:semiHidden/>
    <w:rsid w:val="00F75FBD"/>
    <w:rPr>
      <w:sz w:val="20"/>
      <w:szCs w:val="20"/>
    </w:rPr>
  </w:style>
  <w:style w:type="paragraph" w:styleId="CommentSubject">
    <w:name w:val="annotation subject"/>
    <w:basedOn w:val="CommentText"/>
    <w:next w:val="CommentText"/>
    <w:link w:val="CommentSubjectChar"/>
    <w:uiPriority w:val="99"/>
    <w:semiHidden/>
    <w:unhideWhenUsed/>
    <w:rsid w:val="00F75FBD"/>
    <w:rPr>
      <w:b/>
      <w:bCs/>
    </w:rPr>
  </w:style>
  <w:style w:type="character" w:customStyle="1" w:styleId="CommentSubjectChar">
    <w:name w:val="Comment Subject Char"/>
    <w:basedOn w:val="CommentTextChar"/>
    <w:link w:val="CommentSubject"/>
    <w:uiPriority w:val="99"/>
    <w:semiHidden/>
    <w:rsid w:val="00F75FBD"/>
    <w:rPr>
      <w:b/>
      <w:bCs/>
      <w:sz w:val="20"/>
      <w:szCs w:val="20"/>
    </w:rPr>
  </w:style>
  <w:style w:type="paragraph" w:styleId="BalloonText">
    <w:name w:val="Balloon Text"/>
    <w:basedOn w:val="Normal"/>
    <w:link w:val="BalloonTextChar"/>
    <w:uiPriority w:val="99"/>
    <w:semiHidden/>
    <w:unhideWhenUsed/>
    <w:rsid w:val="00F7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BD"/>
    <w:rPr>
      <w:rFonts w:ascii="Segoe UI" w:hAnsi="Segoe UI" w:cs="Segoe UI"/>
      <w:sz w:val="18"/>
      <w:szCs w:val="18"/>
    </w:rPr>
  </w:style>
  <w:style w:type="paragraph" w:styleId="ListParagraph">
    <w:name w:val="List Paragraph"/>
    <w:basedOn w:val="Normal"/>
    <w:uiPriority w:val="34"/>
    <w:qFormat/>
    <w:rsid w:val="00570F33"/>
    <w:pPr>
      <w:ind w:left="720"/>
      <w:contextualSpacing/>
    </w:pPr>
  </w:style>
  <w:style w:type="paragraph" w:styleId="FootnoteText">
    <w:name w:val="footnote text"/>
    <w:basedOn w:val="Normal"/>
    <w:link w:val="FootnoteTextChar"/>
    <w:uiPriority w:val="99"/>
    <w:semiHidden/>
    <w:rsid w:val="009A4AC7"/>
    <w:pPr>
      <w:spacing w:after="0" w:line="240" w:lineRule="auto"/>
      <w:jc w:val="both"/>
    </w:pPr>
    <w:rPr>
      <w:rFonts w:ascii="Cambria" w:eastAsia="Times New Roman" w:hAnsi="Cambria" w:cs="Times New Roman"/>
      <w:sz w:val="20"/>
      <w:szCs w:val="20"/>
      <w:lang w:eastAsia="es-ES_tradnl"/>
    </w:rPr>
  </w:style>
  <w:style w:type="character" w:customStyle="1" w:styleId="FootnoteTextChar">
    <w:name w:val="Footnote Text Char"/>
    <w:basedOn w:val="DefaultParagraphFont"/>
    <w:link w:val="FootnoteText"/>
    <w:uiPriority w:val="99"/>
    <w:semiHidden/>
    <w:rsid w:val="009A4AC7"/>
    <w:rPr>
      <w:rFonts w:ascii="Cambria" w:eastAsia="Times New Roman" w:hAnsi="Cambria" w:cs="Times New Roman"/>
      <w:sz w:val="20"/>
      <w:szCs w:val="20"/>
      <w:lang w:eastAsia="es-ES_tradnl"/>
    </w:rPr>
  </w:style>
  <w:style w:type="character" w:styleId="FootnoteReference">
    <w:name w:val="footnote reference"/>
    <w:basedOn w:val="DefaultParagraphFont"/>
    <w:uiPriority w:val="99"/>
    <w:semiHidden/>
    <w:rsid w:val="009A4AC7"/>
    <w:rPr>
      <w:vertAlign w:val="superscript"/>
    </w:rPr>
  </w:style>
  <w:style w:type="character" w:customStyle="1" w:styleId="Heading5Char">
    <w:name w:val="Heading 5 Char"/>
    <w:basedOn w:val="DefaultParagraphFont"/>
    <w:link w:val="Heading5"/>
    <w:rsid w:val="00677B29"/>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CC7611"/>
    <w:pPr>
      <w:spacing w:after="120"/>
    </w:pPr>
  </w:style>
  <w:style w:type="character" w:customStyle="1" w:styleId="BodyTextChar">
    <w:name w:val="Body Text Char"/>
    <w:basedOn w:val="DefaultParagraphFont"/>
    <w:link w:val="BodyText"/>
    <w:uiPriority w:val="99"/>
    <w:rsid w:val="00CC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4002</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Lise</dc:creator>
  <cp:keywords/>
  <dc:description/>
  <cp:lastModifiedBy>autor</cp:lastModifiedBy>
  <cp:revision>14</cp:revision>
  <dcterms:created xsi:type="dcterms:W3CDTF">2023-11-19T11:34:00Z</dcterms:created>
  <dcterms:modified xsi:type="dcterms:W3CDTF">2023-12-15T10:48:00Z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2021-04-13T18:43:40Z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8a78951b-7f9a-49df-91d7-00007bf39f22</vt:lpwstr>
  </property>
</Properties>
</file>