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4742A" w:rsidRDefault="00000000" w:rsidP="0054290E">
      <w:pPr>
        <w:pBdr>
          <w:top w:val="double" w:sz="4" w:space="1" w:color="000000"/>
          <w:left w:val="double" w:sz="4" w:space="4" w:color="000000"/>
          <w:bottom w:val="double" w:sz="4" w:space="1" w:color="000000"/>
          <w:right w:val="double" w:sz="4" w:space="4" w:color="000000"/>
        </w:pBdr>
        <w:spacing w:after="0"/>
        <w:ind w:left="8222" w:hanging="8222"/>
        <w:jc w:val="center"/>
        <w:rPr>
          <w:rFonts w:ascii="Cambria" w:eastAsia="Cambria" w:hAnsi="Cambria" w:cs="Cambria"/>
          <w:b/>
        </w:rPr>
      </w:pPr>
      <w:r>
        <w:rPr>
          <w:rFonts w:ascii="Cambria" w:eastAsia="Cambria" w:hAnsi="Cambria" w:cs="Cambria"/>
          <w:b/>
        </w:rPr>
        <w:t>23-15</w:t>
      </w:r>
      <w:r>
        <w:rPr>
          <w:rFonts w:ascii="Cambria" w:eastAsia="Cambria" w:hAnsi="Cambria" w:cs="Cambria"/>
          <w:b/>
        </w:rPr>
        <w:tab/>
        <w:t xml:space="preserve">   BYC</w:t>
      </w:r>
    </w:p>
    <w:p w14:paraId="00000002" w14:textId="4DF9FC6C" w:rsidR="0064742A" w:rsidRDefault="00000000" w:rsidP="0054290E">
      <w:pPr>
        <w:widowControl/>
        <w:pBdr>
          <w:top w:val="double" w:sz="4" w:space="1" w:color="000000"/>
          <w:left w:val="double" w:sz="4" w:space="4" w:color="000000"/>
          <w:bottom w:val="double" w:sz="4" w:space="1" w:color="000000"/>
          <w:right w:val="double" w:sz="4" w:space="4" w:color="000000"/>
        </w:pBdr>
        <w:spacing w:after="0"/>
        <w:jc w:val="center"/>
        <w:rPr>
          <w:rFonts w:ascii="Cambria" w:eastAsia="Cambria" w:hAnsi="Cambria" w:cs="Cambria"/>
          <w:b/>
        </w:rPr>
      </w:pPr>
      <w:r>
        <w:rPr>
          <w:rFonts w:ascii="Cambria" w:eastAsia="Cambria" w:hAnsi="Cambria" w:cs="Cambria"/>
          <w:b/>
        </w:rPr>
        <w:t>RESOLUTION BY ICCAT ON CETACEA</w:t>
      </w:r>
      <w:r w:rsidRPr="00D55DEC">
        <w:rPr>
          <w:rFonts w:ascii="Cambria" w:eastAsia="Cambria" w:hAnsi="Cambria" w:cs="Cambria"/>
          <w:b/>
        </w:rPr>
        <w:t xml:space="preserve">N </w:t>
      </w:r>
      <w:r>
        <w:rPr>
          <w:rFonts w:ascii="Cambria" w:eastAsia="Cambria" w:hAnsi="Cambria" w:cs="Cambria"/>
          <w:b/>
        </w:rPr>
        <w:t>ENCIRCLEMENT</w:t>
      </w:r>
    </w:p>
    <w:p w14:paraId="00000003" w14:textId="77777777" w:rsidR="0064742A" w:rsidRDefault="0064742A">
      <w:pPr>
        <w:spacing w:after="0" w:line="240" w:lineRule="auto"/>
        <w:jc w:val="center"/>
        <w:rPr>
          <w:rFonts w:ascii="Cambria" w:eastAsia="Cambria" w:hAnsi="Cambria" w:cs="Cambria"/>
          <w:b/>
          <w:smallCaps/>
        </w:rPr>
      </w:pPr>
    </w:p>
    <w:p w14:paraId="00000004" w14:textId="77777777" w:rsidR="0064742A" w:rsidRDefault="0064742A">
      <w:pPr>
        <w:spacing w:after="0" w:line="240" w:lineRule="auto"/>
        <w:ind w:firstLine="284"/>
        <w:rPr>
          <w:rFonts w:ascii="Cambria" w:eastAsia="Cambria" w:hAnsi="Cambria" w:cs="Cambria"/>
          <w:i/>
        </w:rPr>
      </w:pPr>
    </w:p>
    <w:p w14:paraId="00000005" w14:textId="77777777" w:rsidR="0064742A" w:rsidRDefault="00000000">
      <w:pPr>
        <w:spacing w:after="0" w:line="240" w:lineRule="auto"/>
        <w:ind w:firstLine="426"/>
        <w:rPr>
          <w:rFonts w:ascii="Cambria" w:eastAsia="Cambria" w:hAnsi="Cambria" w:cs="Cambria"/>
        </w:rPr>
      </w:pPr>
      <w:r>
        <w:rPr>
          <w:rFonts w:ascii="Cambria" w:eastAsia="Cambria" w:hAnsi="Cambria" w:cs="Cambria"/>
          <w:i/>
        </w:rPr>
        <w:t>RECOGNIZING</w:t>
      </w:r>
      <w:r>
        <w:rPr>
          <w:rFonts w:ascii="Cambria" w:eastAsia="Cambria" w:hAnsi="Cambria" w:cs="Cambria"/>
        </w:rPr>
        <w:t xml:space="preserve"> the potential for interactions between cetaceans and ICCAT </w:t>
      </w:r>
      <w:proofErr w:type="gramStart"/>
      <w:r>
        <w:rPr>
          <w:rFonts w:ascii="Cambria" w:eastAsia="Cambria" w:hAnsi="Cambria" w:cs="Cambria"/>
        </w:rPr>
        <w:t>fisheries;</w:t>
      </w:r>
      <w:proofErr w:type="gramEnd"/>
    </w:p>
    <w:p w14:paraId="00000006" w14:textId="77777777" w:rsidR="0064742A" w:rsidRDefault="0064742A">
      <w:pPr>
        <w:spacing w:after="0" w:line="240" w:lineRule="auto"/>
        <w:rPr>
          <w:rFonts w:ascii="Cambria" w:eastAsia="Cambria" w:hAnsi="Cambria" w:cs="Cambria"/>
        </w:rPr>
      </w:pPr>
    </w:p>
    <w:p w14:paraId="00000007" w14:textId="77777777" w:rsidR="0064742A" w:rsidRDefault="00000000">
      <w:pPr>
        <w:spacing w:after="0" w:line="240" w:lineRule="auto"/>
        <w:ind w:firstLine="426"/>
        <w:rPr>
          <w:rFonts w:ascii="Cambria" w:eastAsia="Cambria" w:hAnsi="Cambria" w:cs="Cambria"/>
        </w:rPr>
      </w:pPr>
      <w:r>
        <w:rPr>
          <w:rFonts w:ascii="Cambria" w:eastAsia="Cambria" w:hAnsi="Cambria" w:cs="Cambria"/>
          <w:i/>
        </w:rPr>
        <w:t>CONCERNED</w:t>
      </w:r>
      <w:r>
        <w:rPr>
          <w:rFonts w:ascii="Cambria" w:eastAsia="Cambria" w:hAnsi="Cambria" w:cs="Cambria"/>
        </w:rPr>
        <w:t xml:space="preserve"> about the incidental mortality or serious injury to cetaceans that may occur in ICCAT </w:t>
      </w:r>
      <w:proofErr w:type="gramStart"/>
      <w:r>
        <w:rPr>
          <w:rFonts w:ascii="Cambria" w:eastAsia="Cambria" w:hAnsi="Cambria" w:cs="Cambria"/>
        </w:rPr>
        <w:t>fisheries;</w:t>
      </w:r>
      <w:proofErr w:type="gramEnd"/>
    </w:p>
    <w:p w14:paraId="00000008" w14:textId="77777777" w:rsidR="0064742A" w:rsidRDefault="0064742A">
      <w:pPr>
        <w:spacing w:after="0" w:line="240" w:lineRule="auto"/>
        <w:rPr>
          <w:rFonts w:ascii="Cambria" w:eastAsia="Cambria" w:hAnsi="Cambria" w:cs="Cambria"/>
        </w:rPr>
      </w:pPr>
    </w:p>
    <w:p w14:paraId="00000009" w14:textId="77777777" w:rsidR="0064742A" w:rsidRDefault="00000000">
      <w:pPr>
        <w:spacing w:after="0" w:line="240" w:lineRule="auto"/>
        <w:ind w:firstLine="426"/>
        <w:rPr>
          <w:rFonts w:ascii="Cambria" w:eastAsia="Cambria" w:hAnsi="Cambria" w:cs="Cambria"/>
        </w:rPr>
      </w:pPr>
      <w:r>
        <w:rPr>
          <w:rFonts w:ascii="Cambria" w:eastAsia="Cambria" w:hAnsi="Cambria" w:cs="Cambria"/>
          <w:i/>
        </w:rPr>
        <w:t>RECALLING</w:t>
      </w:r>
      <w:r>
        <w:rPr>
          <w:rFonts w:ascii="Cambria" w:eastAsia="Cambria" w:hAnsi="Cambria" w:cs="Cambria"/>
        </w:rPr>
        <w:t xml:space="preserve"> that under the </w:t>
      </w:r>
      <w:r>
        <w:rPr>
          <w:rFonts w:ascii="Cambria" w:eastAsia="Cambria" w:hAnsi="Cambria" w:cs="Cambria"/>
          <w:i/>
        </w:rPr>
        <w:t xml:space="preserve">Recommendation by ICCAT to Establish Minimum Standards for Fishing Vessel Scientific Observer </w:t>
      </w:r>
      <w:proofErr w:type="spellStart"/>
      <w:r>
        <w:rPr>
          <w:rFonts w:ascii="Cambria" w:eastAsia="Cambria" w:hAnsi="Cambria" w:cs="Cambria"/>
          <w:i/>
        </w:rPr>
        <w:t>Programmes</w:t>
      </w:r>
      <w:proofErr w:type="spellEnd"/>
      <w:r>
        <w:rPr>
          <w:rFonts w:ascii="Cambria" w:eastAsia="Cambria" w:hAnsi="Cambria" w:cs="Cambria"/>
        </w:rPr>
        <w:t xml:space="preserve"> (Rec. 16-14), Contracting Parties, non-Contracting Parties, Entities and Fishing Entities (CPCs) shall require observers in their domestic scientific observer </w:t>
      </w:r>
      <w:proofErr w:type="spellStart"/>
      <w:r>
        <w:rPr>
          <w:rFonts w:ascii="Cambria" w:eastAsia="Cambria" w:hAnsi="Cambria" w:cs="Cambria"/>
        </w:rPr>
        <w:t>programmes</w:t>
      </w:r>
      <w:proofErr w:type="spellEnd"/>
      <w:r>
        <w:rPr>
          <w:rFonts w:ascii="Cambria" w:eastAsia="Cambria" w:hAnsi="Cambria" w:cs="Cambria"/>
        </w:rPr>
        <w:t xml:space="preserve"> to record and report on, </w:t>
      </w:r>
      <w:r>
        <w:rPr>
          <w:rFonts w:ascii="Cambria" w:eastAsia="Cambria" w:hAnsi="Cambria" w:cs="Cambria"/>
          <w:i/>
        </w:rPr>
        <w:t>inter alia</w:t>
      </w:r>
      <w:r>
        <w:rPr>
          <w:rFonts w:ascii="Cambria" w:eastAsia="Cambria" w:hAnsi="Cambria" w:cs="Cambria"/>
        </w:rPr>
        <w:t xml:space="preserve">, the bycatch of marine mammals, including </w:t>
      </w:r>
      <w:proofErr w:type="gramStart"/>
      <w:r>
        <w:rPr>
          <w:rFonts w:ascii="Cambria" w:eastAsia="Cambria" w:hAnsi="Cambria" w:cs="Cambria"/>
        </w:rPr>
        <w:t>cetaceans;</w:t>
      </w:r>
      <w:proofErr w:type="gramEnd"/>
    </w:p>
    <w:p w14:paraId="0000000A" w14:textId="77777777" w:rsidR="0064742A" w:rsidRDefault="0064742A">
      <w:pPr>
        <w:spacing w:after="0" w:line="240" w:lineRule="auto"/>
        <w:jc w:val="center"/>
        <w:rPr>
          <w:rFonts w:ascii="Cambria" w:eastAsia="Cambria" w:hAnsi="Cambria" w:cs="Cambria"/>
        </w:rPr>
      </w:pPr>
    </w:p>
    <w:p w14:paraId="0000000B" w14:textId="77777777" w:rsidR="0064742A" w:rsidRDefault="0064742A">
      <w:pPr>
        <w:spacing w:after="0" w:line="240" w:lineRule="auto"/>
        <w:jc w:val="center"/>
        <w:rPr>
          <w:rFonts w:ascii="Cambria" w:eastAsia="Cambria" w:hAnsi="Cambria" w:cs="Cambria"/>
          <w:smallCaps/>
        </w:rPr>
      </w:pPr>
    </w:p>
    <w:p w14:paraId="0000000C" w14:textId="77777777" w:rsidR="0064742A" w:rsidRDefault="00000000">
      <w:pPr>
        <w:spacing w:after="0" w:line="240" w:lineRule="auto"/>
        <w:jc w:val="center"/>
        <w:rPr>
          <w:rFonts w:ascii="Cambria" w:eastAsia="Cambria" w:hAnsi="Cambria" w:cs="Cambria"/>
          <w:smallCaps/>
        </w:rPr>
      </w:pPr>
      <w:r>
        <w:rPr>
          <w:rFonts w:ascii="Cambria" w:eastAsia="Cambria" w:hAnsi="Cambria" w:cs="Cambria"/>
          <w:smallCaps/>
        </w:rPr>
        <w:t>THE INTERNATIONAL COMMISSION FOR THE CONSERVATION</w:t>
      </w:r>
    </w:p>
    <w:p w14:paraId="0000000D" w14:textId="77777777" w:rsidR="0064742A" w:rsidRDefault="00000000">
      <w:pPr>
        <w:spacing w:after="0" w:line="240" w:lineRule="auto"/>
        <w:jc w:val="center"/>
        <w:rPr>
          <w:rFonts w:ascii="Cambria" w:eastAsia="Cambria" w:hAnsi="Cambria" w:cs="Cambria"/>
        </w:rPr>
      </w:pPr>
      <w:r>
        <w:rPr>
          <w:rFonts w:ascii="Cambria" w:eastAsia="Cambria" w:hAnsi="Cambria" w:cs="Cambria"/>
          <w:smallCaps/>
        </w:rPr>
        <w:t>OF ATLANTIC TUNAS (ICCAT) RESOLVES AS FOLLOWS:</w:t>
      </w:r>
    </w:p>
    <w:p w14:paraId="0000000E" w14:textId="77777777" w:rsidR="0064742A" w:rsidRDefault="0064742A">
      <w:pPr>
        <w:spacing w:after="0" w:line="240" w:lineRule="auto"/>
        <w:jc w:val="center"/>
        <w:rPr>
          <w:rFonts w:ascii="Cambria" w:eastAsia="Cambria" w:hAnsi="Cambria" w:cs="Cambria"/>
        </w:rPr>
      </w:pPr>
    </w:p>
    <w:p w14:paraId="0000000F" w14:textId="77777777" w:rsidR="0064742A" w:rsidRDefault="00000000">
      <w:pPr>
        <w:numPr>
          <w:ilvl w:val="0"/>
          <w:numId w:val="1"/>
        </w:numPr>
        <w:pBdr>
          <w:top w:val="nil"/>
          <w:left w:val="nil"/>
          <w:bottom w:val="nil"/>
          <w:right w:val="nil"/>
          <w:between w:val="nil"/>
        </w:pBdr>
        <w:spacing w:after="0" w:line="240" w:lineRule="auto"/>
        <w:ind w:left="426" w:hanging="426"/>
        <w:rPr>
          <w:rFonts w:ascii="Cambria" w:eastAsia="Cambria" w:hAnsi="Cambria" w:cs="Cambria"/>
          <w:color w:val="000000"/>
        </w:rPr>
      </w:pPr>
      <w:r>
        <w:rPr>
          <w:rFonts w:ascii="Cambria" w:eastAsia="Cambria" w:hAnsi="Cambria" w:cs="Cambria"/>
          <w:color w:val="000000"/>
        </w:rPr>
        <w:t>Contracting Parties and Cooperating non-Contracting Parties, Entities, and Fishing Entities (CPCs) are strongly encouraged to prohibit their flag vessels from intentionally setting purse seine nets on a school of tunas in the ICCAT Convention area if a cetacean is sighted in or above the tuna school.</w:t>
      </w:r>
    </w:p>
    <w:p w14:paraId="00000010" w14:textId="77777777" w:rsidR="0064742A" w:rsidRDefault="0064742A">
      <w:pPr>
        <w:pBdr>
          <w:top w:val="nil"/>
          <w:left w:val="nil"/>
          <w:bottom w:val="nil"/>
          <w:right w:val="nil"/>
          <w:between w:val="nil"/>
        </w:pBdr>
        <w:spacing w:after="0" w:line="240" w:lineRule="auto"/>
        <w:ind w:left="426"/>
        <w:rPr>
          <w:rFonts w:ascii="Cambria" w:eastAsia="Cambria" w:hAnsi="Cambria" w:cs="Cambria"/>
          <w:color w:val="000000"/>
        </w:rPr>
      </w:pPr>
    </w:p>
    <w:p w14:paraId="00000011" w14:textId="77777777" w:rsidR="0064742A" w:rsidRDefault="00000000">
      <w:pPr>
        <w:numPr>
          <w:ilvl w:val="0"/>
          <w:numId w:val="1"/>
        </w:numPr>
        <w:pBdr>
          <w:top w:val="nil"/>
          <w:left w:val="nil"/>
          <w:bottom w:val="nil"/>
          <w:right w:val="nil"/>
          <w:between w:val="nil"/>
        </w:pBdr>
        <w:spacing w:after="0" w:line="240" w:lineRule="auto"/>
        <w:ind w:left="426" w:hanging="426"/>
        <w:rPr>
          <w:rFonts w:ascii="Cambria" w:eastAsia="Cambria" w:hAnsi="Cambria" w:cs="Cambria"/>
          <w:color w:val="000000"/>
        </w:rPr>
      </w:pPr>
      <w:proofErr w:type="gramStart"/>
      <w:r>
        <w:rPr>
          <w:rFonts w:ascii="Cambria" w:eastAsia="Cambria" w:hAnsi="Cambria" w:cs="Cambria"/>
          <w:color w:val="000000"/>
        </w:rPr>
        <w:t>In the event that</w:t>
      </w:r>
      <w:proofErr w:type="gramEnd"/>
      <w:r>
        <w:rPr>
          <w:rFonts w:ascii="Cambria" w:eastAsia="Cambria" w:hAnsi="Cambria" w:cs="Cambria"/>
          <w:color w:val="000000"/>
        </w:rPr>
        <w:t xml:space="preserve"> a cetacean is unintentionally encircled in the purse seine net, CPCs are encouraged to require the master of the vessel:</w:t>
      </w:r>
    </w:p>
    <w:p w14:paraId="00000012" w14:textId="77777777" w:rsidR="0064742A" w:rsidRDefault="0064742A">
      <w:pPr>
        <w:pBdr>
          <w:top w:val="nil"/>
          <w:left w:val="nil"/>
          <w:bottom w:val="nil"/>
          <w:right w:val="nil"/>
          <w:between w:val="nil"/>
        </w:pBdr>
        <w:spacing w:after="0" w:line="240" w:lineRule="auto"/>
        <w:ind w:left="800"/>
        <w:rPr>
          <w:rFonts w:ascii="Cambria" w:eastAsia="Cambria" w:hAnsi="Cambria" w:cs="Cambria"/>
          <w:color w:val="000000"/>
        </w:rPr>
      </w:pPr>
    </w:p>
    <w:p w14:paraId="00000013" w14:textId="77777777" w:rsidR="0064742A" w:rsidRDefault="00000000">
      <w:pPr>
        <w:numPr>
          <w:ilvl w:val="0"/>
          <w:numId w:val="2"/>
        </w:numPr>
        <w:pBdr>
          <w:top w:val="nil"/>
          <w:left w:val="nil"/>
          <w:bottom w:val="nil"/>
          <w:right w:val="nil"/>
          <w:between w:val="nil"/>
        </w:pBdr>
        <w:spacing w:after="0" w:line="240" w:lineRule="auto"/>
        <w:ind w:left="851" w:hanging="425"/>
        <w:rPr>
          <w:rFonts w:ascii="Cambria" w:eastAsia="Cambria" w:hAnsi="Cambria" w:cs="Cambria"/>
          <w:color w:val="000000"/>
        </w:rPr>
      </w:pPr>
      <w:r>
        <w:rPr>
          <w:rFonts w:ascii="Cambria" w:eastAsia="Cambria" w:hAnsi="Cambria" w:cs="Cambria"/>
          <w:color w:val="000000"/>
        </w:rPr>
        <w:t xml:space="preserve">to ensure that all reasonable steps are taken to ensure its safe release while taking into consideration the safety of the </w:t>
      </w:r>
      <w:proofErr w:type="gramStart"/>
      <w:r>
        <w:rPr>
          <w:rFonts w:ascii="Cambria" w:eastAsia="Cambria" w:hAnsi="Cambria" w:cs="Cambria"/>
          <w:color w:val="000000"/>
        </w:rPr>
        <w:t>crew;</w:t>
      </w:r>
      <w:proofErr w:type="gramEnd"/>
    </w:p>
    <w:p w14:paraId="00000014" w14:textId="77777777" w:rsidR="0064742A" w:rsidRDefault="0064742A">
      <w:pPr>
        <w:pBdr>
          <w:top w:val="nil"/>
          <w:left w:val="nil"/>
          <w:bottom w:val="nil"/>
          <w:right w:val="nil"/>
          <w:between w:val="nil"/>
        </w:pBdr>
        <w:spacing w:after="0" w:line="240" w:lineRule="auto"/>
        <w:ind w:left="851"/>
        <w:rPr>
          <w:rFonts w:ascii="Cambria" w:eastAsia="Cambria" w:hAnsi="Cambria" w:cs="Cambria"/>
          <w:color w:val="000000"/>
        </w:rPr>
      </w:pPr>
    </w:p>
    <w:p w14:paraId="00000015" w14:textId="77777777" w:rsidR="0064742A" w:rsidRDefault="00000000">
      <w:pPr>
        <w:numPr>
          <w:ilvl w:val="0"/>
          <w:numId w:val="2"/>
        </w:numPr>
        <w:pBdr>
          <w:top w:val="nil"/>
          <w:left w:val="nil"/>
          <w:bottom w:val="nil"/>
          <w:right w:val="nil"/>
          <w:between w:val="nil"/>
        </w:pBdr>
        <w:spacing w:after="0" w:line="240" w:lineRule="auto"/>
        <w:ind w:left="851" w:hanging="425"/>
        <w:rPr>
          <w:rFonts w:ascii="Cambria" w:eastAsia="Cambria" w:hAnsi="Cambria" w:cs="Cambria"/>
          <w:color w:val="000000"/>
        </w:rPr>
      </w:pPr>
      <w:r>
        <w:rPr>
          <w:rFonts w:ascii="Cambria" w:eastAsia="Cambria" w:hAnsi="Cambria" w:cs="Cambria"/>
          <w:color w:val="000000"/>
        </w:rPr>
        <w:t>to report the incident to the relevant authority of the flag State</w:t>
      </w:r>
      <w:sdt>
        <w:sdtPr>
          <w:tag w:val="goog_rdk_1"/>
          <w:id w:val="-766387804"/>
        </w:sdtPr>
        <w:sdtContent>
          <w:r>
            <w:rPr>
              <w:rFonts w:ascii="Cambria" w:eastAsia="Cambria" w:hAnsi="Cambria" w:cs="Cambria"/>
              <w:color w:val="000000"/>
            </w:rPr>
            <w:t>,</w:t>
          </w:r>
        </w:sdtContent>
      </w:sdt>
      <w:r>
        <w:rPr>
          <w:rFonts w:ascii="Cambria" w:eastAsia="Cambria" w:hAnsi="Cambria" w:cs="Cambria"/>
          <w:color w:val="000000"/>
        </w:rPr>
        <w:t xml:space="preserve"> including details of the species (if known) and number of individuals, location and date of such encirclement, steps taken to ensure safe release, and an assessment of the disposition of the animal on release (including, if known, whether the animal was released alive but subsequently died).</w:t>
      </w:r>
    </w:p>
    <w:p w14:paraId="00000016" w14:textId="77777777" w:rsidR="0064742A" w:rsidRDefault="0064742A">
      <w:pPr>
        <w:pBdr>
          <w:top w:val="nil"/>
          <w:left w:val="nil"/>
          <w:bottom w:val="nil"/>
          <w:right w:val="nil"/>
          <w:between w:val="nil"/>
        </w:pBdr>
        <w:spacing w:after="0" w:line="240" w:lineRule="auto"/>
        <w:ind w:left="1120"/>
        <w:rPr>
          <w:rFonts w:ascii="Cambria" w:eastAsia="Cambria" w:hAnsi="Cambria" w:cs="Cambria"/>
          <w:color w:val="000000"/>
        </w:rPr>
      </w:pPr>
    </w:p>
    <w:p w14:paraId="00000017" w14:textId="77777777" w:rsidR="0064742A" w:rsidRDefault="00000000">
      <w:pPr>
        <w:numPr>
          <w:ilvl w:val="0"/>
          <w:numId w:val="1"/>
        </w:numPr>
        <w:pBdr>
          <w:top w:val="nil"/>
          <w:left w:val="nil"/>
          <w:bottom w:val="nil"/>
          <w:right w:val="nil"/>
          <w:between w:val="nil"/>
        </w:pBdr>
        <w:spacing w:after="0" w:line="240" w:lineRule="auto"/>
        <w:ind w:left="426" w:hanging="426"/>
        <w:rPr>
          <w:rFonts w:ascii="Cambria" w:eastAsia="Cambria" w:hAnsi="Cambria" w:cs="Cambria"/>
          <w:color w:val="000000"/>
        </w:rPr>
      </w:pPr>
      <w:r>
        <w:rPr>
          <w:rFonts w:ascii="Cambria" w:eastAsia="Cambria" w:hAnsi="Cambria" w:cs="Cambria"/>
          <w:color w:val="000000"/>
        </w:rPr>
        <w:t>Each year, CPCs are encouraged to report on the implementation of this Resolution as part of their Annual Report.</w:t>
      </w:r>
    </w:p>
    <w:p w14:paraId="00000018" w14:textId="77777777" w:rsidR="0064742A" w:rsidRDefault="0064742A">
      <w:pPr>
        <w:pBdr>
          <w:top w:val="nil"/>
          <w:left w:val="nil"/>
          <w:bottom w:val="nil"/>
          <w:right w:val="nil"/>
          <w:between w:val="nil"/>
        </w:pBdr>
        <w:spacing w:after="0" w:line="240" w:lineRule="auto"/>
        <w:ind w:left="426"/>
        <w:rPr>
          <w:rFonts w:ascii="Cambria" w:eastAsia="Cambria" w:hAnsi="Cambria" w:cs="Cambria"/>
          <w:color w:val="000000"/>
        </w:rPr>
      </w:pPr>
    </w:p>
    <w:p w14:paraId="00000019" w14:textId="77777777" w:rsidR="0064742A" w:rsidRDefault="00000000">
      <w:pPr>
        <w:numPr>
          <w:ilvl w:val="0"/>
          <w:numId w:val="1"/>
        </w:numPr>
        <w:pBdr>
          <w:top w:val="nil"/>
          <w:left w:val="nil"/>
          <w:bottom w:val="nil"/>
          <w:right w:val="nil"/>
          <w:between w:val="nil"/>
        </w:pBdr>
        <w:spacing w:after="0" w:line="240" w:lineRule="auto"/>
        <w:ind w:left="426" w:hanging="426"/>
        <w:rPr>
          <w:rFonts w:ascii="Cambria" w:eastAsia="Cambria" w:hAnsi="Cambria" w:cs="Cambria"/>
          <w:color w:val="000000"/>
        </w:rPr>
      </w:pPr>
      <w:bookmarkStart w:id="0" w:name="_heading=h.gjdgxs" w:colFirst="0" w:colLast="0"/>
      <w:bookmarkEnd w:id="0"/>
      <w:r>
        <w:rPr>
          <w:rFonts w:ascii="Cambria" w:eastAsia="Cambria" w:hAnsi="Cambria" w:cs="Cambria"/>
          <w:color w:val="000000"/>
        </w:rPr>
        <w:t xml:space="preserve">The Commission requests that the SCRS, to the extent possible, develop further best practice guidelines for the safe handling and release of cetaceans caught in association with ICCAT fisheries, </w:t>
      </w:r>
      <w:proofErr w:type="gramStart"/>
      <w:r>
        <w:rPr>
          <w:rFonts w:ascii="Cambria" w:eastAsia="Cambria" w:hAnsi="Cambria" w:cs="Cambria"/>
          <w:color w:val="000000"/>
        </w:rPr>
        <w:t>taking into account</w:t>
      </w:r>
      <w:proofErr w:type="gramEnd"/>
      <w:r>
        <w:rPr>
          <w:rFonts w:ascii="Cambria" w:eastAsia="Cambria" w:hAnsi="Cambria" w:cs="Cambria"/>
          <w:color w:val="000000"/>
        </w:rPr>
        <w:t xml:space="preserve"> relevant guidelines already developed by relevant international </w:t>
      </w:r>
      <w:r w:rsidRPr="00D55DEC">
        <w:rPr>
          <w:rFonts w:ascii="Cambria" w:eastAsia="Cambria" w:hAnsi="Cambria" w:cs="Cambria"/>
          <w:color w:val="000000"/>
        </w:rPr>
        <w:t>organization</w:t>
      </w:r>
      <w:sdt>
        <w:sdtPr>
          <w:tag w:val="goog_rdk_2"/>
          <w:id w:val="-677195884"/>
        </w:sdtPr>
        <w:sdtContent>
          <w:r w:rsidRPr="00D55DEC">
            <w:rPr>
              <w:rFonts w:ascii="Cambria" w:eastAsia="Cambria" w:hAnsi="Cambria" w:cs="Cambria"/>
              <w:color w:val="000000"/>
            </w:rPr>
            <w:t>s</w:t>
          </w:r>
        </w:sdtContent>
      </w:sdt>
      <w:r w:rsidRPr="00D55DEC">
        <w:rPr>
          <w:rFonts w:ascii="Cambria" w:eastAsia="Cambria" w:hAnsi="Cambria" w:cs="Cambria"/>
          <w:color w:val="000000"/>
        </w:rPr>
        <w:t>,</w:t>
      </w:r>
      <w:r>
        <w:rPr>
          <w:rFonts w:ascii="Cambria" w:eastAsia="Cambria" w:hAnsi="Cambria" w:cs="Cambria"/>
          <w:color w:val="000000"/>
        </w:rPr>
        <w:t xml:space="preserve"> and that these guidelines be submitted to the 2025 annual meeting for consideration and adoption by the Commission.</w:t>
      </w:r>
    </w:p>
    <w:p w14:paraId="0000001A" w14:textId="77777777" w:rsidR="0064742A" w:rsidRDefault="0064742A">
      <w:pPr>
        <w:pBdr>
          <w:top w:val="nil"/>
          <w:left w:val="nil"/>
          <w:bottom w:val="nil"/>
          <w:right w:val="nil"/>
          <w:between w:val="nil"/>
        </w:pBdr>
        <w:spacing w:after="0" w:line="240" w:lineRule="auto"/>
        <w:ind w:left="426"/>
        <w:rPr>
          <w:rFonts w:ascii="Cambria" w:eastAsia="Cambria" w:hAnsi="Cambria" w:cs="Cambria"/>
          <w:color w:val="000000"/>
        </w:rPr>
      </w:pPr>
    </w:p>
    <w:p w14:paraId="0000001B" w14:textId="77777777" w:rsidR="0064742A" w:rsidRDefault="00000000">
      <w:pPr>
        <w:numPr>
          <w:ilvl w:val="0"/>
          <w:numId w:val="1"/>
        </w:numPr>
        <w:pBdr>
          <w:top w:val="nil"/>
          <w:left w:val="nil"/>
          <w:bottom w:val="nil"/>
          <w:right w:val="nil"/>
          <w:between w:val="nil"/>
        </w:pBdr>
        <w:spacing w:after="0" w:line="240" w:lineRule="auto"/>
        <w:ind w:left="426" w:hanging="426"/>
        <w:rPr>
          <w:rFonts w:ascii="Cambria" w:eastAsia="Cambria" w:hAnsi="Cambria" w:cs="Cambria"/>
          <w:color w:val="000000"/>
        </w:rPr>
      </w:pPr>
      <w:r>
        <w:rPr>
          <w:rFonts w:ascii="Cambria" w:eastAsia="Cambria" w:hAnsi="Cambria" w:cs="Cambria"/>
          <w:color w:val="000000"/>
        </w:rPr>
        <w:t xml:space="preserve">CPCs are encouraged to ensure that fishermen are aware of and use proper mitigation, identification, </w:t>
      </w:r>
      <w:proofErr w:type="gramStart"/>
      <w:r>
        <w:rPr>
          <w:rFonts w:ascii="Cambria" w:eastAsia="Cambria" w:hAnsi="Cambria" w:cs="Cambria"/>
          <w:color w:val="000000"/>
        </w:rPr>
        <w:t>handling</w:t>
      </w:r>
      <w:proofErr w:type="gramEnd"/>
      <w:r>
        <w:rPr>
          <w:rFonts w:ascii="Cambria" w:eastAsia="Cambria" w:hAnsi="Cambria" w:cs="Cambria"/>
          <w:color w:val="000000"/>
        </w:rPr>
        <w:t xml:space="preserve"> and release techniques and keep on board all necessary equipment for the safe release of cetaceans before the guidelines mentioned in paragraph 4 are developed and adopted.</w:t>
      </w:r>
    </w:p>
    <w:p w14:paraId="0000001C" w14:textId="77777777" w:rsidR="0064742A" w:rsidRDefault="0064742A"/>
    <w:p w14:paraId="0000001D" w14:textId="77777777" w:rsidR="0064742A" w:rsidRDefault="0064742A"/>
    <w:p w14:paraId="0000001E" w14:textId="77777777" w:rsidR="0064742A" w:rsidRDefault="0064742A">
      <w:pPr>
        <w:jc w:val="center"/>
      </w:pPr>
    </w:p>
    <w:sectPr w:rsidR="0064742A">
      <w:footerReference w:type="default" r:id="rId7"/>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25B2" w14:textId="77777777" w:rsidR="00DB75F2" w:rsidRDefault="00DB75F2">
      <w:pPr>
        <w:spacing w:after="0" w:line="240" w:lineRule="auto"/>
      </w:pPr>
      <w:r>
        <w:separator/>
      </w:r>
    </w:p>
  </w:endnote>
  <w:endnote w:type="continuationSeparator" w:id="0">
    <w:p w14:paraId="54F5BD44" w14:textId="77777777" w:rsidR="00DB75F2" w:rsidRDefault="00DB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04E844BF" w:rsidR="0064742A" w:rsidRDefault="00000000">
    <w:pPr>
      <w:widowControl/>
      <w:tabs>
        <w:tab w:val="center" w:pos="4535"/>
        <w:tab w:val="center" w:pos="4680"/>
        <w:tab w:val="left" w:pos="6150"/>
        <w:tab w:val="right" w:pos="9360"/>
      </w:tabs>
      <w:spacing w:after="0" w:line="240" w:lineRule="auto"/>
      <w:jc w:val="center"/>
      <w:rPr>
        <w:rFonts w:ascii="Cambria" w:eastAsia="Cambria" w:hAnsi="Cambria" w:cs="Cambria"/>
      </w:rPr>
    </w:pP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sidR="00FA1180">
      <w:rPr>
        <w:rFonts w:ascii="Cambria" w:eastAsia="Cambria" w:hAnsi="Cambria" w:cs="Cambria"/>
        <w:noProof/>
      </w:rPr>
      <w:t>1</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1E7F" w14:textId="77777777" w:rsidR="00DB75F2" w:rsidRDefault="00DB75F2">
      <w:pPr>
        <w:spacing w:after="0" w:line="240" w:lineRule="auto"/>
      </w:pPr>
      <w:r>
        <w:separator/>
      </w:r>
    </w:p>
  </w:footnote>
  <w:footnote w:type="continuationSeparator" w:id="0">
    <w:p w14:paraId="7F3BC526" w14:textId="77777777" w:rsidR="00DB75F2" w:rsidRDefault="00DB7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1"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16cid:durableId="2055155673">
    <w:abstractNumId w:val="1"/>
  </w:num>
  <w:num w:numId="2" w16cid:durableId="155458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42A"/>
    <w:rsid w:val="001E265F"/>
    <w:rsid w:val="0054290E"/>
    <w:rsid w:val="0064742A"/>
    <w:rsid w:val="006E7A53"/>
    <w:rsid w:val="00D55DEC"/>
    <w:rsid w:val="00DB75F2"/>
    <w:rsid w:val="00E028A7"/>
    <w:rsid w:val="00FA1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GB"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0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8A7"/>
  </w:style>
  <w:style w:type="paragraph" w:styleId="Footer">
    <w:name w:val="footer"/>
    <w:basedOn w:val="Normal"/>
    <w:link w:val="FooterChar"/>
    <w:uiPriority w:val="99"/>
    <w:unhideWhenUsed/>
    <w:rsid w:val="00E0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2023-12-14T08:19:00Z</dcterms:created>
  <dcterms:modified xsi:type="dcterms:W3CDTF">2023-12-15T09:20:00Z</dcterms:modified>
</cp:coreProperties>
</file>