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403F" w14:textId="77777777" w:rsidR="00852048" w:rsidRDefault="00E574DD" w:rsidP="002138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90"/>
        <w:ind w:left="8222" w:right="2" w:hanging="8222"/>
        <w:jc w:val="both"/>
        <w:rPr>
          <w:b/>
          <w:bCs/>
          <w:sz w:val="20"/>
          <w:szCs w:val="20"/>
        </w:rPr>
      </w:pPr>
      <w:bookmarkStart w:id="0" w:name="_Hlk149816350"/>
      <w:r>
        <w:rPr>
          <w:b/>
          <w:sz w:val="20"/>
          <w:szCs w:val="20"/>
        </w:rPr>
        <w:t>23-</w:t>
      </w:r>
      <w:r w:rsidR="00424A65">
        <w:rPr>
          <w:b/>
          <w:sz w:val="20"/>
          <w:szCs w:val="20"/>
        </w:rPr>
        <w:t>13</w:t>
      </w:r>
      <w:r w:rsidR="00B242B5">
        <w:rPr>
          <w:b/>
          <w:sz w:val="20"/>
          <w:szCs w:val="20"/>
        </w:rPr>
        <w:t xml:space="preserve"> </w:t>
      </w:r>
      <w:r w:rsidR="00B242B5">
        <w:rPr>
          <w:b/>
          <w:sz w:val="20"/>
          <w:szCs w:val="20"/>
        </w:rPr>
        <w:tab/>
      </w:r>
      <w:r w:rsidR="00424A65">
        <w:rPr>
          <w:b/>
          <w:sz w:val="20"/>
          <w:szCs w:val="20"/>
        </w:rPr>
        <w:t>BYC</w:t>
      </w:r>
      <w:r w:rsidR="00852048">
        <w:rPr>
          <w:b/>
          <w:sz w:val="20"/>
          <w:szCs w:val="20"/>
        </w:rPr>
        <w:br/>
      </w:r>
    </w:p>
    <w:p w14:paraId="074557AB" w14:textId="69BF598C" w:rsidR="00906D0F" w:rsidRDefault="00E574DD" w:rsidP="0085204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90"/>
        <w:ind w:right="2"/>
        <w:jc w:val="center"/>
        <w:rPr>
          <w:b/>
          <w:bCs/>
          <w:sz w:val="20"/>
          <w:szCs w:val="20"/>
        </w:rPr>
      </w:pPr>
      <w:r w:rsidRPr="00852048">
        <w:rPr>
          <w:b/>
          <w:bCs/>
          <w:sz w:val="20"/>
          <w:szCs w:val="20"/>
        </w:rPr>
        <w:t>RECOMMANDATION SUPPL</w:t>
      </w:r>
      <w:r w:rsidR="00852048">
        <w:rPr>
          <w:b/>
          <w:bCs/>
          <w:sz w:val="20"/>
          <w:szCs w:val="20"/>
        </w:rPr>
        <w:t>É</w:t>
      </w:r>
      <w:r w:rsidRPr="00852048">
        <w:rPr>
          <w:b/>
          <w:bCs/>
          <w:sz w:val="20"/>
          <w:szCs w:val="20"/>
        </w:rPr>
        <w:t>MENTAIRE DE L’ICCAT AMENDANT LA RECOMMANDATION 22-12 SUR LES PRISES ACCESSOIRES DE TORTUES MARINES CAPTUR</w:t>
      </w:r>
      <w:r w:rsidR="00852048">
        <w:rPr>
          <w:b/>
          <w:bCs/>
          <w:sz w:val="20"/>
          <w:szCs w:val="20"/>
        </w:rPr>
        <w:t>É</w:t>
      </w:r>
      <w:r w:rsidRPr="00852048">
        <w:rPr>
          <w:b/>
          <w:bCs/>
          <w:sz w:val="20"/>
          <w:szCs w:val="20"/>
        </w:rPr>
        <w:t>ES EN ASSOCIATION AVEC LES PECH</w:t>
      </w:r>
      <w:r w:rsidR="00852048">
        <w:rPr>
          <w:b/>
          <w:bCs/>
          <w:sz w:val="20"/>
          <w:szCs w:val="20"/>
        </w:rPr>
        <w:t>Ê</w:t>
      </w:r>
      <w:r w:rsidRPr="00852048">
        <w:rPr>
          <w:b/>
          <w:bCs/>
          <w:sz w:val="20"/>
          <w:szCs w:val="20"/>
        </w:rPr>
        <w:t>RIES DE L’ICCAT</w:t>
      </w:r>
    </w:p>
    <w:p w14:paraId="4EFB1A24" w14:textId="77777777" w:rsidR="00852048" w:rsidRPr="00852048" w:rsidRDefault="00852048" w:rsidP="0085204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90"/>
        <w:ind w:right="2"/>
        <w:jc w:val="center"/>
        <w:rPr>
          <w:b/>
          <w:bCs/>
          <w:sz w:val="20"/>
          <w:szCs w:val="20"/>
        </w:rPr>
      </w:pPr>
    </w:p>
    <w:p w14:paraId="740B770A" w14:textId="77777777" w:rsidR="007E4187" w:rsidRDefault="007E4187" w:rsidP="00B242B5">
      <w:pPr>
        <w:ind w:left="720" w:right="930"/>
        <w:jc w:val="center"/>
        <w:rPr>
          <w:b/>
          <w:sz w:val="20"/>
          <w:szCs w:val="20"/>
        </w:rPr>
      </w:pPr>
    </w:p>
    <w:p w14:paraId="5F92C530" w14:textId="77777777" w:rsidR="00E574DD" w:rsidRPr="006026B1" w:rsidRDefault="00E574DD" w:rsidP="007E4187">
      <w:pPr>
        <w:ind w:left="720" w:right="930"/>
        <w:jc w:val="center"/>
        <w:rPr>
          <w:b/>
          <w:sz w:val="20"/>
          <w:szCs w:val="20"/>
        </w:rPr>
      </w:pPr>
    </w:p>
    <w:bookmarkEnd w:id="0"/>
    <w:p w14:paraId="38821246" w14:textId="43CA0E5C" w:rsidR="005B3749" w:rsidRPr="006026B1" w:rsidRDefault="00727AA3" w:rsidP="00852048">
      <w:pPr>
        <w:ind w:right="179" w:firstLine="426"/>
        <w:jc w:val="both"/>
        <w:rPr>
          <w:sz w:val="20"/>
          <w:szCs w:val="20"/>
        </w:rPr>
      </w:pPr>
      <w:r w:rsidRPr="006026B1">
        <w:rPr>
          <w:i/>
          <w:iCs/>
          <w:sz w:val="20"/>
          <w:szCs w:val="20"/>
        </w:rPr>
        <w:t>RAPPELANT</w:t>
      </w:r>
      <w:r w:rsidRPr="006026B1">
        <w:rPr>
          <w:sz w:val="20"/>
          <w:szCs w:val="20"/>
        </w:rPr>
        <w:t xml:space="preserve"> la </w:t>
      </w:r>
      <w:r w:rsidRPr="006026B1">
        <w:rPr>
          <w:i/>
          <w:iCs/>
          <w:sz w:val="20"/>
          <w:szCs w:val="20"/>
        </w:rPr>
        <w:t>Recommandation de l’ICCAT sur les prises accessoires de tortues marines capturées en association avec les pêcheries de l’ICCAT (combine, simplifie et amende les Recommandations 10-09 et 13-11)</w:t>
      </w:r>
      <w:r w:rsidRPr="006026B1">
        <w:rPr>
          <w:sz w:val="20"/>
          <w:szCs w:val="20"/>
        </w:rPr>
        <w:t xml:space="preserve"> (Rec. 22-12)</w:t>
      </w:r>
      <w:r w:rsidR="00BC2823" w:rsidRPr="006026B1">
        <w:rPr>
          <w:sz w:val="20"/>
          <w:szCs w:val="20"/>
        </w:rPr>
        <w:t> ;</w:t>
      </w:r>
    </w:p>
    <w:p w14:paraId="7103D281" w14:textId="77777777" w:rsidR="005B3749" w:rsidRPr="006026B1" w:rsidRDefault="005B3749" w:rsidP="00852048">
      <w:pPr>
        <w:ind w:right="179" w:firstLine="426"/>
        <w:jc w:val="both"/>
        <w:rPr>
          <w:i/>
          <w:sz w:val="20"/>
          <w:szCs w:val="20"/>
        </w:rPr>
      </w:pPr>
    </w:p>
    <w:p w14:paraId="3AAF9F37" w14:textId="10D97AF6" w:rsidR="005B3749" w:rsidRPr="006026B1" w:rsidRDefault="00727AA3" w:rsidP="00852048">
      <w:pPr>
        <w:ind w:right="179" w:firstLine="426"/>
        <w:jc w:val="both"/>
        <w:rPr>
          <w:sz w:val="20"/>
          <w:szCs w:val="20"/>
        </w:rPr>
      </w:pPr>
      <w:r w:rsidRPr="006026B1">
        <w:rPr>
          <w:i/>
          <w:iCs/>
          <w:sz w:val="20"/>
          <w:szCs w:val="20"/>
        </w:rPr>
        <w:t>RECONNAISSANT</w:t>
      </w:r>
      <w:r w:rsidRPr="006026B1">
        <w:rPr>
          <w:sz w:val="20"/>
          <w:szCs w:val="20"/>
        </w:rPr>
        <w:t xml:space="preserve"> le nouvel avis scientifique formulé par le Comité permanent pour la recherche et les statistiques (SCRS) sur la limite méridionale de l'aire de distribution des tortues marines, comme demandé au paragraphe 6 de la Rec. 22-12 ; </w:t>
      </w:r>
    </w:p>
    <w:p w14:paraId="7E7BE0A9" w14:textId="77777777" w:rsidR="005B3749" w:rsidRPr="006026B1" w:rsidRDefault="005B3749" w:rsidP="00852048">
      <w:pPr>
        <w:ind w:right="179" w:firstLine="426"/>
        <w:jc w:val="both"/>
        <w:rPr>
          <w:i/>
          <w:sz w:val="20"/>
          <w:szCs w:val="20"/>
        </w:rPr>
      </w:pPr>
    </w:p>
    <w:p w14:paraId="7166B1DF" w14:textId="26429AAD" w:rsidR="005B3749" w:rsidRPr="006026B1" w:rsidRDefault="00727AA3" w:rsidP="00852048">
      <w:pPr>
        <w:ind w:right="179" w:firstLine="426"/>
        <w:jc w:val="both"/>
        <w:rPr>
          <w:sz w:val="20"/>
          <w:szCs w:val="20"/>
        </w:rPr>
      </w:pPr>
      <w:r w:rsidRPr="006026B1">
        <w:rPr>
          <w:i/>
          <w:iCs/>
          <w:sz w:val="20"/>
          <w:szCs w:val="20"/>
        </w:rPr>
        <w:t>NOTANT</w:t>
      </w:r>
      <w:r w:rsidRPr="006026B1">
        <w:rPr>
          <w:sz w:val="20"/>
          <w:szCs w:val="20"/>
        </w:rPr>
        <w:t xml:space="preserve"> la nécessité de corriger une référence croisée dans la Rec. 22-12</w:t>
      </w:r>
      <w:r w:rsidR="00DA3FFC" w:rsidRPr="006026B1">
        <w:rPr>
          <w:sz w:val="20"/>
          <w:szCs w:val="20"/>
        </w:rPr>
        <w:t> ;</w:t>
      </w:r>
    </w:p>
    <w:p w14:paraId="0BC2A93B" w14:textId="77777777" w:rsidR="005B3749" w:rsidRPr="006026B1" w:rsidRDefault="005B3749">
      <w:pPr>
        <w:ind w:left="494" w:right="179" w:firstLine="439"/>
        <w:jc w:val="both"/>
        <w:rPr>
          <w:i/>
          <w:sz w:val="20"/>
          <w:szCs w:val="20"/>
        </w:rPr>
      </w:pPr>
    </w:p>
    <w:p w14:paraId="45E30198" w14:textId="77777777" w:rsidR="005B3749" w:rsidRPr="006026B1" w:rsidRDefault="005B3749">
      <w:pPr>
        <w:ind w:left="494" w:right="179" w:firstLine="439"/>
        <w:jc w:val="both"/>
        <w:rPr>
          <w:i/>
          <w:sz w:val="20"/>
          <w:szCs w:val="20"/>
        </w:rPr>
      </w:pPr>
    </w:p>
    <w:p w14:paraId="15FDB8B8" w14:textId="77777777" w:rsidR="00906D0F" w:rsidRPr="006026B1" w:rsidRDefault="00727AA3">
      <w:pPr>
        <w:ind w:left="494" w:right="179" w:firstLine="439"/>
        <w:jc w:val="center"/>
        <w:rPr>
          <w:color w:val="000000"/>
          <w:sz w:val="20"/>
          <w:szCs w:val="20"/>
        </w:rPr>
      </w:pPr>
      <w:r w:rsidRPr="006026B1">
        <w:rPr>
          <w:sz w:val="20"/>
          <w:szCs w:val="20"/>
        </w:rPr>
        <w:t>LA COMMISSION INTERNATIONALE POUR LA CONSERVATION</w:t>
      </w:r>
      <w:r w:rsidRPr="006026B1">
        <w:rPr>
          <w:color w:val="000000"/>
          <w:sz w:val="20"/>
          <w:szCs w:val="20"/>
        </w:rPr>
        <w:t xml:space="preserve"> </w:t>
      </w:r>
    </w:p>
    <w:p w14:paraId="30C0F0CC" w14:textId="5012E0E0" w:rsidR="005B3749" w:rsidRPr="006026B1" w:rsidRDefault="00727AA3">
      <w:pPr>
        <w:ind w:left="494" w:right="179" w:firstLine="439"/>
        <w:jc w:val="center"/>
        <w:rPr>
          <w:color w:val="000000"/>
          <w:sz w:val="20"/>
          <w:szCs w:val="20"/>
        </w:rPr>
      </w:pPr>
      <w:r w:rsidRPr="006026B1">
        <w:rPr>
          <w:color w:val="000000"/>
          <w:sz w:val="20"/>
          <w:szCs w:val="20"/>
        </w:rPr>
        <w:t>DES THONIDÉS DE L’ATLANTIQUE (ICCAT) RECOMMANDE CE QUI SUIT</w:t>
      </w:r>
      <w:r w:rsidR="00282CFC" w:rsidRPr="006026B1">
        <w:rPr>
          <w:color w:val="000000"/>
          <w:sz w:val="20"/>
          <w:szCs w:val="20"/>
        </w:rPr>
        <w:t> :</w:t>
      </w:r>
    </w:p>
    <w:p w14:paraId="74E28E02" w14:textId="77777777" w:rsidR="005B3749" w:rsidRPr="006026B1" w:rsidRDefault="005B374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14:paraId="326EE301" w14:textId="69B4E129" w:rsidR="005B3749" w:rsidRPr="006026B1" w:rsidRDefault="00727AA3" w:rsidP="008520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right="180" w:hanging="426"/>
        <w:jc w:val="both"/>
        <w:rPr>
          <w:color w:val="000000"/>
        </w:rPr>
      </w:pPr>
      <w:r w:rsidRPr="006026B1">
        <w:rPr>
          <w:sz w:val="20"/>
          <w:szCs w:val="20"/>
        </w:rPr>
        <w:t xml:space="preserve">Les dispositions de la </w:t>
      </w:r>
      <w:r w:rsidRPr="006026B1">
        <w:rPr>
          <w:i/>
          <w:iCs/>
          <w:sz w:val="20"/>
          <w:szCs w:val="20"/>
        </w:rPr>
        <w:t>Recommandation de l’ICCAT sur les prises accessoires de tortues marines capturées en association avec les pêcheries de l’ICCAT (combine, simplifie et amende les Recommandations 10-09 et 13-11)</w:t>
      </w:r>
      <w:r w:rsidRPr="006026B1">
        <w:rPr>
          <w:sz w:val="20"/>
          <w:szCs w:val="20"/>
        </w:rPr>
        <w:t xml:space="preserve"> (Rec.</w:t>
      </w:r>
      <w:r w:rsidRPr="006026B1">
        <w:rPr>
          <w:color w:val="000000"/>
          <w:sz w:val="20"/>
          <w:szCs w:val="20"/>
        </w:rPr>
        <w:t xml:space="preserve"> 22-12) devront être amendées comme suit</w:t>
      </w:r>
      <w:r w:rsidR="00DA3FFC" w:rsidRPr="006026B1">
        <w:rPr>
          <w:color w:val="000000"/>
          <w:sz w:val="20"/>
          <w:szCs w:val="20"/>
        </w:rPr>
        <w:t> :</w:t>
      </w:r>
    </w:p>
    <w:p w14:paraId="63077600" w14:textId="77777777" w:rsidR="005B3749" w:rsidRPr="006026B1" w:rsidRDefault="005B3749">
      <w:p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left="520" w:right="180"/>
        <w:jc w:val="both"/>
        <w:rPr>
          <w:color w:val="000000"/>
          <w:sz w:val="20"/>
          <w:szCs w:val="20"/>
        </w:rPr>
      </w:pPr>
    </w:p>
    <w:p w14:paraId="3046D9A2" w14:textId="77777777" w:rsidR="005B3749" w:rsidRPr="00852048" w:rsidRDefault="00727AA3" w:rsidP="008520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right="180" w:hanging="425"/>
        <w:jc w:val="both"/>
        <w:rPr>
          <w:iCs/>
          <w:color w:val="000000"/>
        </w:rPr>
      </w:pPr>
      <w:r w:rsidRPr="00852048">
        <w:rPr>
          <w:iCs/>
          <w:color w:val="000000"/>
          <w:sz w:val="20"/>
          <w:szCs w:val="20"/>
        </w:rPr>
        <w:t xml:space="preserve">Le sous-paragraphe 1 b) devra être remplacé par le texte suivant : </w:t>
      </w:r>
    </w:p>
    <w:p w14:paraId="343E48B9" w14:textId="77777777" w:rsidR="00906D0F" w:rsidRPr="006026B1" w:rsidRDefault="00906D0F" w:rsidP="00906D0F">
      <w:p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left="730" w:right="180"/>
        <w:jc w:val="both"/>
        <w:rPr>
          <w:color w:val="000000"/>
        </w:rPr>
      </w:pPr>
    </w:p>
    <w:p w14:paraId="2917EA74" w14:textId="77777777" w:rsidR="005B3749" w:rsidRPr="006026B1" w:rsidRDefault="00727AA3">
      <w:p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left="730" w:right="180"/>
        <w:jc w:val="both"/>
        <w:rPr>
          <w:b/>
          <w:color w:val="000000"/>
          <w:sz w:val="20"/>
          <w:szCs w:val="20"/>
        </w:rPr>
      </w:pPr>
      <w:r w:rsidRPr="006026B1">
        <w:rPr>
          <w:color w:val="000000"/>
          <w:sz w:val="20"/>
          <w:szCs w:val="20"/>
        </w:rPr>
        <w:t xml:space="preserve">« Toute CPC qui atteint et maintient une couverture d’observateurs scientifiques de 10% et respecte les exigences en matière de déclaration de données des Recommandations 11-10, 16-14 et du paragraphe </w:t>
      </w:r>
      <w:r w:rsidRPr="00852048">
        <w:rPr>
          <w:color w:val="000000"/>
          <w:sz w:val="20"/>
          <w:szCs w:val="20"/>
        </w:rPr>
        <w:t>5</w:t>
      </w:r>
      <w:r w:rsidRPr="006026B1">
        <w:rPr>
          <w:color w:val="000000"/>
          <w:sz w:val="20"/>
          <w:szCs w:val="20"/>
        </w:rPr>
        <w:t xml:space="preserve"> ci-dessous pourrait demander une exemption au paragraphe 1(a) pour l’une ou plusieurs de ses pêcheries de l’ICCAT ci-dessus en soumettant les données scientifiques pertinentes au SCRS. Le SCRS évaluera ces informations et soumettra un avis à la Commission sur les interactions avec les tortues marines et la mortalité de celles-ci. La Commission devra prendre des décisions sur toute exemption demandée eu égard à l’avis du SCRS. »</w:t>
      </w:r>
    </w:p>
    <w:p w14:paraId="158A2C60" w14:textId="77777777" w:rsidR="005B3749" w:rsidRPr="006026B1" w:rsidRDefault="005B3749">
      <w:pPr>
        <w:tabs>
          <w:tab w:val="left" w:pos="518"/>
          <w:tab w:val="left" w:pos="520"/>
        </w:tabs>
        <w:ind w:right="180"/>
        <w:jc w:val="both"/>
        <w:rPr>
          <w:sz w:val="20"/>
          <w:szCs w:val="20"/>
        </w:rPr>
      </w:pPr>
    </w:p>
    <w:p w14:paraId="70D5163F" w14:textId="2AF3064A" w:rsidR="005B3749" w:rsidRPr="00852048" w:rsidRDefault="00727AA3" w:rsidP="008520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right="180" w:hanging="425"/>
        <w:jc w:val="both"/>
        <w:rPr>
          <w:iCs/>
          <w:color w:val="000000"/>
          <w:sz w:val="20"/>
          <w:szCs w:val="20"/>
        </w:rPr>
      </w:pPr>
      <w:r w:rsidRPr="00852048">
        <w:rPr>
          <w:iCs/>
          <w:color w:val="000000"/>
          <w:sz w:val="20"/>
          <w:szCs w:val="20"/>
        </w:rPr>
        <w:t xml:space="preserve">Le sous-paragraphe 6 a) devra être remplacé par le texte suivant : </w:t>
      </w:r>
    </w:p>
    <w:p w14:paraId="3428AA00" w14:textId="77777777" w:rsidR="00906D0F" w:rsidRPr="006026B1" w:rsidRDefault="00906D0F" w:rsidP="00906D0F">
      <w:p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left="730" w:right="180"/>
        <w:jc w:val="both"/>
        <w:rPr>
          <w:i/>
          <w:iCs/>
          <w:color w:val="000000"/>
        </w:rPr>
      </w:pPr>
    </w:p>
    <w:p w14:paraId="39C351A5" w14:textId="21C27920" w:rsidR="005B3749" w:rsidRPr="00852048" w:rsidRDefault="00DA3FFC">
      <w:p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left="730" w:right="180"/>
        <w:jc w:val="both"/>
        <w:rPr>
          <w:sz w:val="20"/>
          <w:szCs w:val="20"/>
        </w:rPr>
      </w:pPr>
      <w:r w:rsidRPr="00852048">
        <w:rPr>
          <w:color w:val="000000"/>
          <w:sz w:val="20"/>
          <w:szCs w:val="20"/>
        </w:rPr>
        <w:t>« </w:t>
      </w:r>
      <w:r w:rsidR="00727AA3" w:rsidRPr="00852048">
        <w:rPr>
          <w:color w:val="000000"/>
          <w:sz w:val="20"/>
          <w:szCs w:val="20"/>
        </w:rPr>
        <w:t xml:space="preserve">Les paragraphes 1 à 3 ne devront pas s'appliquer aux navires opérant uniquement au Nord de 55º de latitude Nord ou au Sud de 35º de latitude Sud dans l'Atlantique Sud-Est et au Sud de 40º de latitude Sud dans l'Atlantique Sud-Ouest (c'est-à-dire principalement en dehors de l'aire de distribution géographique des tortues marines de l'Atlantique). </w:t>
      </w:r>
      <w:r w:rsidR="00727AA3" w:rsidRPr="00852048">
        <w:rPr>
          <w:sz w:val="20"/>
          <w:szCs w:val="20"/>
        </w:rPr>
        <w:t>La limite de la division entre l'Atlantique Sud</w:t>
      </w:r>
      <w:r w:rsidRPr="00852048">
        <w:rPr>
          <w:sz w:val="20"/>
          <w:szCs w:val="20"/>
        </w:rPr>
        <w:t>-Est</w:t>
      </w:r>
      <w:r w:rsidR="00727AA3" w:rsidRPr="00852048">
        <w:rPr>
          <w:sz w:val="20"/>
          <w:szCs w:val="20"/>
        </w:rPr>
        <w:t xml:space="preserve"> et l'Atlantique Sud</w:t>
      </w:r>
      <w:r w:rsidRPr="00852048">
        <w:rPr>
          <w:sz w:val="20"/>
          <w:szCs w:val="20"/>
        </w:rPr>
        <w:t xml:space="preserve">-Ouest </w:t>
      </w:r>
      <w:r w:rsidR="00CE2820" w:rsidRPr="00852048">
        <w:rPr>
          <w:sz w:val="20"/>
          <w:szCs w:val="20"/>
        </w:rPr>
        <w:t>se situe à</w:t>
      </w:r>
      <w:r w:rsidR="00727AA3" w:rsidRPr="00852048">
        <w:rPr>
          <w:sz w:val="20"/>
          <w:szCs w:val="20"/>
        </w:rPr>
        <w:t xml:space="preserve"> 20ºO. »</w:t>
      </w:r>
    </w:p>
    <w:sectPr w:rsidR="005B3749" w:rsidRPr="00852048" w:rsidSect="00B242B5">
      <w:footerReference w:type="default" r:id="rId7"/>
      <w:pgSz w:w="11910" w:h="16840" w:code="9"/>
      <w:pgMar w:top="1418" w:right="1418" w:bottom="1418" w:left="1418" w:header="850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E94C" w14:textId="77777777" w:rsidR="00F45553" w:rsidRDefault="00F45553">
      <w:r>
        <w:separator/>
      </w:r>
    </w:p>
  </w:endnote>
  <w:endnote w:type="continuationSeparator" w:id="0">
    <w:p w14:paraId="3835D168" w14:textId="77777777" w:rsidR="00F45553" w:rsidRDefault="00F4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31C5" w14:textId="787F5127" w:rsidR="00906D0F" w:rsidRPr="001F5D7D" w:rsidRDefault="00000000" w:rsidP="00906D0F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eastAsia="Calibri" w:cs="Calibri"/>
        <w:sz w:val="20"/>
      </w:rPr>
    </w:pPr>
    <w:sdt>
      <w:sdtPr>
        <w:rPr>
          <w:rFonts w:ascii="Calibri" w:eastAsia="Calibri" w:hAnsi="Calibri" w:cs="Calibri"/>
          <w:sz w:val="20"/>
          <w:szCs w:val="20"/>
        </w:rPr>
        <w:id w:val="857621591"/>
        <w:docPartObj>
          <w:docPartGallery w:val="Page Numbers (Top of Page)"/>
          <w:docPartUnique/>
        </w:docPartObj>
      </w:sdtPr>
      <w:sdtContent>
        <w:r w:rsidR="00906D0F" w:rsidRPr="00713AD4">
          <w:rPr>
            <w:rFonts w:eastAsia="Calibri" w:cs="Calibri"/>
            <w:sz w:val="20"/>
            <w:szCs w:val="20"/>
          </w:rPr>
          <w:fldChar w:fldCharType="begin"/>
        </w:r>
        <w:r w:rsidR="00906D0F" w:rsidRPr="00713AD4">
          <w:rPr>
            <w:rFonts w:eastAsia="Calibri" w:cs="Calibri"/>
            <w:sz w:val="20"/>
            <w:szCs w:val="20"/>
          </w:rPr>
          <w:instrText xml:space="preserve"> PAGE </w:instrText>
        </w:r>
        <w:r w:rsidR="00906D0F" w:rsidRPr="00713AD4">
          <w:rPr>
            <w:rFonts w:eastAsia="Calibri" w:cs="Calibri"/>
            <w:sz w:val="20"/>
            <w:szCs w:val="20"/>
          </w:rPr>
          <w:fldChar w:fldCharType="separate"/>
        </w:r>
        <w:r w:rsidR="00906D0F">
          <w:rPr>
            <w:rFonts w:eastAsia="Calibri" w:cs="Calibri"/>
            <w:sz w:val="20"/>
            <w:szCs w:val="20"/>
          </w:rPr>
          <w:t>1</w:t>
        </w:r>
        <w:r w:rsidR="00906D0F" w:rsidRPr="00713AD4">
          <w:rPr>
            <w:rFonts w:eastAsia="Calibri" w:cs="Calibri"/>
            <w:sz w:val="20"/>
            <w:szCs w:val="20"/>
          </w:rPr>
          <w:fldChar w:fldCharType="end"/>
        </w:r>
      </w:sdtContent>
    </w:sdt>
  </w:p>
  <w:p w14:paraId="4947C300" w14:textId="77777777" w:rsidR="005B3749" w:rsidRDefault="00727AA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17B9884" wp14:editId="4D96CAA8">
              <wp:simplePos x="0" y="0"/>
              <wp:positionH relativeFrom="column">
                <wp:posOffset>2933700</wp:posOffset>
              </wp:positionH>
              <wp:positionV relativeFrom="paragraph">
                <wp:posOffset>9791700</wp:posOffset>
              </wp:positionV>
              <wp:extent cx="344805" cy="19875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8360" y="3685385"/>
                        <a:ext cx="33528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96C8B" w14:textId="77777777" w:rsidR="005B3749" w:rsidRDefault="00727AA3">
                          <w:pPr>
                            <w:spacing w:before="18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Page  /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 xml:space="preserve">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7B9884" id="Rectangle 1" o:spid="_x0000_s1026" style="position:absolute;margin-left:231pt;margin-top:771pt;width:27.15pt;height:15.6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" filled="f" stroked="f">
              <v:textbox inset="0,0,0,0">
                <w:txbxContent>
                  <w:p w14:paraId="2CE96C8B" w14:textId="77777777" w:rsidR="005B3749" w:rsidRDefault="00727AA3">
                    <w:pPr>
                      <w:spacing w:before="18"/>
                      <w:ind w:left="60" w:firstLine="60"/>
                      <w:textDirection w:val="btLr"/>
                    </w:pPr>
                    <w:r>
                      <w:rPr>
                        <w:color w:val="000000"/>
                      </w:rPr>
                      <w:t xml:space="preserve"> </w:t>
                    </w:r>
                    <w:proofErr w:type="gramStart"/>
                    <w:r>
                      <w:rPr>
                        <w:color w:val="000000"/>
                      </w:rPr>
                      <w:t>Page  /</w:t>
                    </w:r>
                    <w:proofErr w:type="gramEnd"/>
                    <w:r>
                      <w:rPr>
                        <w:color w:val="000000"/>
                      </w:rPr>
                      <w:t xml:space="preserve">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B36A" w14:textId="77777777" w:rsidR="00F45553" w:rsidRDefault="00F45553">
      <w:r>
        <w:separator/>
      </w:r>
    </w:p>
  </w:footnote>
  <w:footnote w:type="continuationSeparator" w:id="0">
    <w:p w14:paraId="71455912" w14:textId="77777777" w:rsidR="00F45553" w:rsidRDefault="00F45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C7039"/>
    <w:multiLevelType w:val="multilevel"/>
    <w:tmpl w:val="11C8A69A"/>
    <w:lvl w:ilvl="0">
      <w:start w:val="1"/>
      <w:numFmt w:val="decimal"/>
      <w:lvlText w:val="%1."/>
      <w:lvlJc w:val="left"/>
      <w:pPr>
        <w:ind w:left="520" w:hanging="414"/>
      </w:pPr>
      <w:rPr>
        <w:rFonts w:ascii="Cambria" w:eastAsia="Cambria" w:hAnsi="Cambria" w:cs="Cambria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ind w:left="730" w:hanging="211"/>
      </w:pPr>
      <w:rPr>
        <w:rFonts w:ascii="Cambria" w:eastAsia="Cambria" w:hAnsi="Cambria" w:cs="Cambria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512" w:hanging="425"/>
      </w:pPr>
      <w:rPr>
        <w:rFonts w:ascii="Cambria" w:eastAsia="Cambria" w:hAnsi="Cambria" w:cs="Cambria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2525" w:hanging="425"/>
      </w:pPr>
    </w:lvl>
    <w:lvl w:ilvl="4">
      <w:numFmt w:val="bullet"/>
      <w:lvlText w:val="•"/>
      <w:lvlJc w:val="left"/>
      <w:pPr>
        <w:ind w:left="3531" w:hanging="425"/>
      </w:pPr>
    </w:lvl>
    <w:lvl w:ilvl="5">
      <w:numFmt w:val="bullet"/>
      <w:lvlText w:val="•"/>
      <w:lvlJc w:val="left"/>
      <w:pPr>
        <w:ind w:left="4537" w:hanging="425"/>
      </w:pPr>
    </w:lvl>
    <w:lvl w:ilvl="6">
      <w:numFmt w:val="bullet"/>
      <w:lvlText w:val="•"/>
      <w:lvlJc w:val="left"/>
      <w:pPr>
        <w:ind w:left="5543" w:hanging="425"/>
      </w:pPr>
    </w:lvl>
    <w:lvl w:ilvl="7">
      <w:numFmt w:val="bullet"/>
      <w:lvlText w:val="•"/>
      <w:lvlJc w:val="left"/>
      <w:pPr>
        <w:ind w:left="6549" w:hanging="425"/>
      </w:pPr>
    </w:lvl>
    <w:lvl w:ilvl="8">
      <w:numFmt w:val="bullet"/>
      <w:lvlText w:val="•"/>
      <w:lvlJc w:val="left"/>
      <w:pPr>
        <w:ind w:left="7555" w:hanging="425"/>
      </w:pPr>
    </w:lvl>
  </w:abstractNum>
  <w:num w:numId="1" w16cid:durableId="92904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49"/>
    <w:rsid w:val="000D05E5"/>
    <w:rsid w:val="00116F80"/>
    <w:rsid w:val="0021389E"/>
    <w:rsid w:val="00282CFC"/>
    <w:rsid w:val="002C0D87"/>
    <w:rsid w:val="003205D9"/>
    <w:rsid w:val="00424A65"/>
    <w:rsid w:val="00440E6E"/>
    <w:rsid w:val="00512C0B"/>
    <w:rsid w:val="0054161D"/>
    <w:rsid w:val="005B3749"/>
    <w:rsid w:val="006026B1"/>
    <w:rsid w:val="00641D1E"/>
    <w:rsid w:val="00727AA3"/>
    <w:rsid w:val="00735764"/>
    <w:rsid w:val="007D36D4"/>
    <w:rsid w:val="007E4187"/>
    <w:rsid w:val="00852048"/>
    <w:rsid w:val="00906D0F"/>
    <w:rsid w:val="00932BCE"/>
    <w:rsid w:val="009D67DA"/>
    <w:rsid w:val="00B242B5"/>
    <w:rsid w:val="00BC2823"/>
    <w:rsid w:val="00C5302C"/>
    <w:rsid w:val="00CE2820"/>
    <w:rsid w:val="00D05253"/>
    <w:rsid w:val="00D243D2"/>
    <w:rsid w:val="00DA3FFC"/>
    <w:rsid w:val="00E574DD"/>
    <w:rsid w:val="00E57C19"/>
    <w:rsid w:val="00EF6988"/>
    <w:rsid w:val="00F45553"/>
    <w:rsid w:val="00F9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DDED6"/>
  <w15:docId w15:val="{676D26DF-EF59-403F-80EB-E6418D93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fr-F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9"/>
      <w:ind w:left="6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932BCE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906D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D0F"/>
  </w:style>
  <w:style w:type="paragraph" w:styleId="Footer">
    <w:name w:val="footer"/>
    <w:basedOn w:val="Normal"/>
    <w:link w:val="FooterChar"/>
    <w:uiPriority w:val="99"/>
    <w:unhideWhenUsed/>
    <w:rsid w:val="00906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D0F"/>
  </w:style>
  <w:style w:type="character" w:styleId="Hyperlink">
    <w:name w:val="Hyperlink"/>
    <w:basedOn w:val="DefaultParagraphFont"/>
    <w:uiPriority w:val="99"/>
    <w:unhideWhenUsed/>
    <w:rsid w:val="00906D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Bryan.Keller</dc:creator>
  <cp:lastModifiedBy>Dorothee Pinet</cp:lastModifiedBy>
  <cp:revision>21</cp:revision>
  <dcterms:created xsi:type="dcterms:W3CDTF">2023-11-01T16:48:00Z</dcterms:created>
  <dcterms:modified xsi:type="dcterms:W3CDTF">2023-11-30T07:56:00Z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2023-09-26T00:00:00Z</vt:lpwstr>
  </property>
  <property fmtid="{D5CDD505-2E9C-101B-9397-08002B2CF9AE}" pid="3" name="Producer">
    <vt:lpwstr>Microsoft® Word for Microsoft 365</vt:lpwstr>
  </property>
  <property fmtid="{D5CDD505-2E9C-101B-9397-08002B2CF9AE}" pid="4" name="Creator">
    <vt:lpwstr>Microsoft® Word for Microsoft 365</vt:lpwstr>
  </property>
  <property fmtid="{D5CDD505-2E9C-101B-9397-08002B2CF9AE}" pid="5" name="Created">
    <vt:lpwstr>2022-11-17T00:00:00Z</vt:lpwstr>
  </property>
</Properties>
</file>