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9D135" w14:textId="5413AA83" w:rsidR="00494C66" w:rsidRPr="007C0742" w:rsidRDefault="00494C66" w:rsidP="00494C66">
      <w:pPr>
        <w:pBdr>
          <w:top w:val="double" w:sz="4" w:space="1" w:color="auto"/>
          <w:left w:val="double" w:sz="4" w:space="4" w:color="auto"/>
          <w:bottom w:val="double" w:sz="4" w:space="1" w:color="auto"/>
          <w:right w:val="double" w:sz="4" w:space="4" w:color="auto"/>
        </w:pBdr>
        <w:spacing w:after="160" w:line="259" w:lineRule="auto"/>
        <w:ind w:left="8222" w:hanging="8222"/>
        <w:contextualSpacing/>
        <w:jc w:val="center"/>
        <w:rPr>
          <w:rFonts w:eastAsia="Calibri" w:cs="Times New Roman"/>
          <w:b/>
          <w:sz w:val="20"/>
          <w:lang w:val="en-GB"/>
        </w:rPr>
      </w:pPr>
      <w:r w:rsidRPr="007C0742">
        <w:rPr>
          <w:rFonts w:eastAsia="Calibri" w:cs="Times New Roman"/>
          <w:b/>
          <w:sz w:val="20"/>
          <w:lang w:val="en-GB"/>
        </w:rPr>
        <w:t>23-</w:t>
      </w:r>
      <w:r w:rsidR="000926F5" w:rsidRPr="007C0742">
        <w:rPr>
          <w:rFonts w:eastAsia="Calibri" w:cs="Times New Roman"/>
          <w:b/>
          <w:sz w:val="20"/>
          <w:lang w:val="en-GB"/>
        </w:rPr>
        <w:t>1</w:t>
      </w:r>
      <w:r w:rsidR="00384F16" w:rsidRPr="007C0742">
        <w:rPr>
          <w:rFonts w:eastAsia="Calibri" w:cs="Times New Roman"/>
          <w:b/>
          <w:sz w:val="20"/>
          <w:lang w:val="en-GB"/>
        </w:rPr>
        <w:t>3</w:t>
      </w:r>
      <w:r w:rsidRPr="007C0742">
        <w:rPr>
          <w:rFonts w:eastAsia="Calibri" w:cs="Times New Roman"/>
          <w:b/>
          <w:sz w:val="20"/>
          <w:lang w:val="en-GB"/>
        </w:rPr>
        <w:tab/>
        <w:t xml:space="preserve">  </w:t>
      </w:r>
      <w:r w:rsidR="0017401D" w:rsidRPr="007C0742">
        <w:rPr>
          <w:rFonts w:eastAsia="Calibri" w:cs="Times New Roman"/>
          <w:b/>
          <w:sz w:val="20"/>
          <w:lang w:val="en-GB"/>
        </w:rPr>
        <w:t xml:space="preserve"> </w:t>
      </w:r>
      <w:r w:rsidRPr="007C0742">
        <w:rPr>
          <w:rFonts w:eastAsia="Calibri" w:cs="Times New Roman"/>
          <w:b/>
          <w:sz w:val="20"/>
          <w:lang w:val="en-GB"/>
        </w:rPr>
        <w:t xml:space="preserve">       </w:t>
      </w:r>
      <w:r w:rsidR="0017401D" w:rsidRPr="007C0742">
        <w:rPr>
          <w:rFonts w:eastAsia="Calibri" w:cs="Times New Roman"/>
          <w:b/>
          <w:sz w:val="20"/>
          <w:lang w:val="en-GB"/>
        </w:rPr>
        <w:t>BYC</w:t>
      </w:r>
    </w:p>
    <w:p w14:paraId="5ABF8AFA" w14:textId="33B4D8BB" w:rsidR="0017401D" w:rsidRPr="00494C66" w:rsidRDefault="00894D4B" w:rsidP="00494C66">
      <w:pPr>
        <w:widowControl/>
        <w:pBdr>
          <w:top w:val="double" w:sz="4" w:space="1" w:color="auto"/>
          <w:left w:val="double" w:sz="4" w:space="4" w:color="auto"/>
          <w:bottom w:val="double" w:sz="4" w:space="1" w:color="auto"/>
          <w:right w:val="double" w:sz="4" w:space="4" w:color="auto"/>
        </w:pBdr>
        <w:spacing w:after="160" w:line="259" w:lineRule="auto"/>
        <w:contextualSpacing/>
        <w:jc w:val="center"/>
        <w:rPr>
          <w:rFonts w:eastAsia="Calibri" w:cs="Times New Roman"/>
          <w:b/>
          <w:sz w:val="20"/>
          <w:szCs w:val="20"/>
          <w:lang w:val="en-GB"/>
        </w:rPr>
      </w:pPr>
      <w:r w:rsidRPr="0017401D">
        <w:rPr>
          <w:rFonts w:eastAsia="Calibri" w:cs="Times New Roman"/>
          <w:b/>
          <w:sz w:val="20"/>
          <w:szCs w:val="20"/>
          <w:lang w:val="en-GB"/>
        </w:rPr>
        <w:t>SUPPLEMENTAL RECOMMENDATION BY ICCAT AMENDING RECOMMENDATION 22-12 ON THE BYCATCH OF SEA TURTLES CAUGHT IN ASSOCIATION WITH ICCAT FISHERIES</w:t>
      </w:r>
    </w:p>
    <w:p w14:paraId="3B6721C5" w14:textId="77777777" w:rsidR="00494C66" w:rsidRDefault="00494C66" w:rsidP="005B692F">
      <w:pPr>
        <w:spacing w:before="90"/>
        <w:ind w:right="72"/>
        <w:jc w:val="center"/>
        <w:rPr>
          <w:b/>
          <w:sz w:val="20"/>
          <w:szCs w:val="20"/>
        </w:rPr>
      </w:pPr>
    </w:p>
    <w:p w14:paraId="630B0314" w14:textId="11814274" w:rsidR="005B3749" w:rsidRPr="005B692F" w:rsidRDefault="00384F16" w:rsidP="00384F16">
      <w:pPr>
        <w:pBdr>
          <w:top w:val="nil"/>
          <w:left w:val="nil"/>
          <w:bottom w:val="nil"/>
          <w:right w:val="nil"/>
          <w:between w:val="nil"/>
        </w:pBdr>
        <w:tabs>
          <w:tab w:val="left" w:pos="1946"/>
        </w:tabs>
        <w:spacing w:before="5"/>
        <w:rPr>
          <w:i/>
          <w:color w:val="000000"/>
          <w:sz w:val="20"/>
          <w:szCs w:val="20"/>
        </w:rPr>
      </w:pPr>
      <w:r>
        <w:rPr>
          <w:i/>
          <w:color w:val="000000"/>
          <w:sz w:val="20"/>
          <w:szCs w:val="20"/>
        </w:rPr>
        <w:tab/>
      </w:r>
    </w:p>
    <w:p w14:paraId="38821246" w14:textId="1FCCE279" w:rsidR="005B3749" w:rsidRPr="005B692F" w:rsidRDefault="00727AA3" w:rsidP="00EB2537">
      <w:pPr>
        <w:pBdr>
          <w:top w:val="nil"/>
          <w:left w:val="nil"/>
          <w:bottom w:val="nil"/>
          <w:right w:val="nil"/>
          <w:between w:val="nil"/>
        </w:pBdr>
        <w:ind w:firstLine="426"/>
        <w:jc w:val="both"/>
        <w:rPr>
          <w:sz w:val="20"/>
          <w:szCs w:val="20"/>
        </w:rPr>
      </w:pPr>
      <w:r w:rsidRPr="005B692F">
        <w:rPr>
          <w:i/>
          <w:sz w:val="20"/>
          <w:szCs w:val="20"/>
        </w:rPr>
        <w:t xml:space="preserve">RECALLING </w:t>
      </w:r>
      <w:r w:rsidRPr="005B692F">
        <w:rPr>
          <w:sz w:val="20"/>
          <w:szCs w:val="20"/>
        </w:rPr>
        <w:t xml:space="preserve">the </w:t>
      </w:r>
      <w:r w:rsidRPr="005B692F">
        <w:rPr>
          <w:i/>
          <w:sz w:val="20"/>
          <w:szCs w:val="20"/>
        </w:rPr>
        <w:t xml:space="preserve">Recommendation by ICCAT on the </w:t>
      </w:r>
      <w:r w:rsidR="00906D0F" w:rsidRPr="005B692F">
        <w:rPr>
          <w:i/>
          <w:sz w:val="20"/>
          <w:szCs w:val="20"/>
        </w:rPr>
        <w:t xml:space="preserve">bycatch of sea turtles caught in association with </w:t>
      </w:r>
      <w:r w:rsidRPr="005B692F">
        <w:rPr>
          <w:i/>
          <w:sz w:val="20"/>
          <w:szCs w:val="20"/>
        </w:rPr>
        <w:t xml:space="preserve">ICCAT </w:t>
      </w:r>
      <w:r w:rsidR="00906D0F" w:rsidRPr="005B692F">
        <w:rPr>
          <w:i/>
          <w:sz w:val="20"/>
          <w:szCs w:val="20"/>
        </w:rPr>
        <w:t>f</w:t>
      </w:r>
      <w:r w:rsidRPr="005B692F">
        <w:rPr>
          <w:i/>
          <w:sz w:val="20"/>
          <w:szCs w:val="20"/>
        </w:rPr>
        <w:t>isheries (</w:t>
      </w:r>
      <w:r w:rsidR="007C0742" w:rsidRPr="005B692F">
        <w:rPr>
          <w:i/>
          <w:sz w:val="20"/>
          <w:szCs w:val="20"/>
        </w:rPr>
        <w:t xml:space="preserve">combine, streamline, and amend </w:t>
      </w:r>
      <w:r w:rsidRPr="005B692F">
        <w:rPr>
          <w:i/>
          <w:sz w:val="20"/>
          <w:szCs w:val="20"/>
        </w:rPr>
        <w:t>Recommendations 10-09 and 13-11)</w:t>
      </w:r>
      <w:r w:rsidR="00906D0F" w:rsidRPr="005B692F">
        <w:rPr>
          <w:i/>
          <w:sz w:val="20"/>
          <w:szCs w:val="20"/>
        </w:rPr>
        <w:t xml:space="preserve"> </w:t>
      </w:r>
      <w:r w:rsidRPr="005B692F">
        <w:rPr>
          <w:sz w:val="20"/>
          <w:szCs w:val="20"/>
        </w:rPr>
        <w:t xml:space="preserve">(Rec. 22-12); </w:t>
      </w:r>
    </w:p>
    <w:p w14:paraId="7103D281" w14:textId="77777777" w:rsidR="005B3749" w:rsidRPr="005B692F" w:rsidRDefault="005B3749">
      <w:pPr>
        <w:ind w:left="494" w:right="179" w:firstLine="439"/>
        <w:jc w:val="both"/>
        <w:rPr>
          <w:i/>
          <w:sz w:val="20"/>
          <w:szCs w:val="20"/>
        </w:rPr>
      </w:pPr>
    </w:p>
    <w:p w14:paraId="3AAF9F37" w14:textId="345EB759" w:rsidR="005B3749" w:rsidRPr="005B692F" w:rsidRDefault="00727AA3" w:rsidP="00EB2537">
      <w:pPr>
        <w:pBdr>
          <w:top w:val="nil"/>
          <w:left w:val="nil"/>
          <w:bottom w:val="nil"/>
          <w:right w:val="nil"/>
          <w:between w:val="nil"/>
        </w:pBdr>
        <w:ind w:firstLine="426"/>
        <w:jc w:val="both"/>
        <w:rPr>
          <w:sz w:val="20"/>
          <w:szCs w:val="20"/>
        </w:rPr>
      </w:pPr>
      <w:r w:rsidRPr="005B692F">
        <w:rPr>
          <w:i/>
          <w:sz w:val="20"/>
          <w:szCs w:val="20"/>
        </w:rPr>
        <w:t xml:space="preserve">RECOGNIZING </w:t>
      </w:r>
      <w:r w:rsidRPr="007C0742">
        <w:rPr>
          <w:iCs/>
          <w:sz w:val="20"/>
          <w:szCs w:val="20"/>
        </w:rPr>
        <w:t>the new scientific advice provided by the Standing Committee on Research and Statistics</w:t>
      </w:r>
      <w:r w:rsidRPr="005B692F">
        <w:rPr>
          <w:sz w:val="20"/>
          <w:szCs w:val="20"/>
        </w:rPr>
        <w:t xml:space="preserve"> (SCRS) on the southern boundary of the range of sea turtles, as called for by paragraph 6 of Rec.</w:t>
      </w:r>
      <w:r w:rsidR="00BB0822" w:rsidRPr="005B692F">
        <w:rPr>
          <w:sz w:val="20"/>
          <w:szCs w:val="20"/>
        </w:rPr>
        <w:t> </w:t>
      </w:r>
      <w:r w:rsidRPr="005B692F">
        <w:rPr>
          <w:sz w:val="20"/>
          <w:szCs w:val="20"/>
        </w:rPr>
        <w:t xml:space="preserve">22-12; </w:t>
      </w:r>
    </w:p>
    <w:p w14:paraId="7E7BE0A9" w14:textId="77777777" w:rsidR="005B3749" w:rsidRPr="005B692F" w:rsidRDefault="005B3749">
      <w:pPr>
        <w:ind w:left="494" w:right="179" w:firstLine="439"/>
        <w:jc w:val="both"/>
        <w:rPr>
          <w:i/>
          <w:sz w:val="20"/>
          <w:szCs w:val="20"/>
        </w:rPr>
      </w:pPr>
    </w:p>
    <w:p w14:paraId="7166B1DF" w14:textId="33B05DD8" w:rsidR="005B3749" w:rsidRPr="005B692F" w:rsidRDefault="00727AA3" w:rsidP="00EB2537">
      <w:pPr>
        <w:pBdr>
          <w:top w:val="nil"/>
          <w:left w:val="nil"/>
          <w:bottom w:val="nil"/>
          <w:right w:val="nil"/>
          <w:between w:val="nil"/>
        </w:pBdr>
        <w:ind w:firstLine="426"/>
        <w:jc w:val="both"/>
        <w:rPr>
          <w:sz w:val="20"/>
          <w:szCs w:val="20"/>
        </w:rPr>
      </w:pPr>
      <w:r w:rsidRPr="005B692F">
        <w:rPr>
          <w:i/>
          <w:sz w:val="20"/>
          <w:szCs w:val="20"/>
        </w:rPr>
        <w:t>NOTING</w:t>
      </w:r>
      <w:r w:rsidRPr="005B692F">
        <w:rPr>
          <w:sz w:val="20"/>
          <w:szCs w:val="20"/>
        </w:rPr>
        <w:t xml:space="preserve"> the need to correct a cross-reference in Rec. 22-12</w:t>
      </w:r>
      <w:r w:rsidR="005B692F">
        <w:rPr>
          <w:sz w:val="20"/>
          <w:szCs w:val="20"/>
        </w:rPr>
        <w:t>;</w:t>
      </w:r>
    </w:p>
    <w:p w14:paraId="0BC2A93B" w14:textId="77777777" w:rsidR="005B3749" w:rsidRPr="005B692F" w:rsidRDefault="005B3749">
      <w:pPr>
        <w:ind w:left="494" w:right="179" w:firstLine="439"/>
        <w:jc w:val="both"/>
        <w:rPr>
          <w:i/>
          <w:sz w:val="20"/>
          <w:szCs w:val="20"/>
        </w:rPr>
      </w:pPr>
    </w:p>
    <w:p w14:paraId="45E30198" w14:textId="77777777" w:rsidR="005B3749" w:rsidRPr="005B692F" w:rsidRDefault="005B3749">
      <w:pPr>
        <w:ind w:left="494" w:right="179" w:firstLine="439"/>
        <w:jc w:val="both"/>
        <w:rPr>
          <w:i/>
          <w:sz w:val="20"/>
          <w:szCs w:val="20"/>
        </w:rPr>
      </w:pPr>
    </w:p>
    <w:p w14:paraId="15FDB8B8" w14:textId="77777777" w:rsidR="00906D0F" w:rsidRPr="005B692F" w:rsidRDefault="00727AA3">
      <w:pPr>
        <w:ind w:left="494" w:right="179" w:firstLine="439"/>
        <w:jc w:val="center"/>
        <w:rPr>
          <w:color w:val="000000"/>
          <w:sz w:val="20"/>
          <w:szCs w:val="20"/>
        </w:rPr>
      </w:pPr>
      <w:r w:rsidRPr="005B692F">
        <w:rPr>
          <w:sz w:val="20"/>
          <w:szCs w:val="20"/>
        </w:rPr>
        <w:t>TH</w:t>
      </w:r>
      <w:r w:rsidRPr="005B692F">
        <w:rPr>
          <w:color w:val="000000"/>
          <w:sz w:val="20"/>
          <w:szCs w:val="20"/>
        </w:rPr>
        <w:t xml:space="preserve">E INTERNATIONAL COMMISSION FOR THE CONSERVATION </w:t>
      </w:r>
    </w:p>
    <w:p w14:paraId="30C0F0CC" w14:textId="584624C7" w:rsidR="005B3749" w:rsidRPr="005B692F" w:rsidRDefault="00727AA3">
      <w:pPr>
        <w:ind w:left="494" w:right="179" w:firstLine="439"/>
        <w:jc w:val="center"/>
        <w:rPr>
          <w:color w:val="000000"/>
          <w:sz w:val="20"/>
          <w:szCs w:val="20"/>
        </w:rPr>
      </w:pPr>
      <w:r w:rsidRPr="005B692F">
        <w:rPr>
          <w:color w:val="000000"/>
          <w:sz w:val="20"/>
          <w:szCs w:val="20"/>
        </w:rPr>
        <w:t>OF ATLANTIC TUNAS (ICCAT) RECOMMENDS THAT:</w:t>
      </w:r>
    </w:p>
    <w:p w14:paraId="74E28E02" w14:textId="77777777" w:rsidR="005B3749" w:rsidRPr="005B692F" w:rsidRDefault="005B3749">
      <w:pPr>
        <w:pBdr>
          <w:top w:val="nil"/>
          <w:left w:val="nil"/>
          <w:bottom w:val="nil"/>
          <w:right w:val="nil"/>
          <w:between w:val="nil"/>
        </w:pBdr>
        <w:spacing w:before="4"/>
        <w:rPr>
          <w:color w:val="000000"/>
          <w:sz w:val="20"/>
          <w:szCs w:val="20"/>
        </w:rPr>
      </w:pPr>
    </w:p>
    <w:p w14:paraId="326EE301" w14:textId="256260F4" w:rsidR="005B3749" w:rsidRPr="005B692F" w:rsidRDefault="00727AA3" w:rsidP="00E52F77">
      <w:pPr>
        <w:numPr>
          <w:ilvl w:val="0"/>
          <w:numId w:val="1"/>
        </w:numPr>
        <w:pBdr>
          <w:top w:val="nil"/>
          <w:left w:val="nil"/>
          <w:bottom w:val="nil"/>
          <w:right w:val="nil"/>
          <w:between w:val="nil"/>
        </w:pBdr>
        <w:tabs>
          <w:tab w:val="left" w:pos="142"/>
        </w:tabs>
        <w:spacing w:before="1"/>
        <w:ind w:left="426" w:hanging="426"/>
        <w:jc w:val="both"/>
        <w:rPr>
          <w:color w:val="000000"/>
        </w:rPr>
      </w:pPr>
      <w:r w:rsidRPr="005B692F">
        <w:rPr>
          <w:color w:val="000000"/>
          <w:sz w:val="20"/>
          <w:szCs w:val="20"/>
        </w:rPr>
        <w:t xml:space="preserve">The provisions of the </w:t>
      </w:r>
      <w:r w:rsidRPr="005B692F">
        <w:rPr>
          <w:i/>
          <w:color w:val="000000"/>
          <w:sz w:val="20"/>
          <w:szCs w:val="20"/>
        </w:rPr>
        <w:t xml:space="preserve">Recommendation by ICCAT on the </w:t>
      </w:r>
      <w:r w:rsidR="00906D0F" w:rsidRPr="005B692F">
        <w:rPr>
          <w:i/>
          <w:sz w:val="20"/>
          <w:szCs w:val="20"/>
        </w:rPr>
        <w:t>b</w:t>
      </w:r>
      <w:r w:rsidR="00906D0F" w:rsidRPr="005B692F">
        <w:rPr>
          <w:i/>
          <w:color w:val="000000"/>
          <w:sz w:val="20"/>
          <w:szCs w:val="20"/>
        </w:rPr>
        <w:t xml:space="preserve">ycatch of </w:t>
      </w:r>
      <w:r w:rsidR="00906D0F" w:rsidRPr="005B692F">
        <w:rPr>
          <w:i/>
          <w:sz w:val="20"/>
          <w:szCs w:val="20"/>
        </w:rPr>
        <w:t>s</w:t>
      </w:r>
      <w:r w:rsidR="00906D0F" w:rsidRPr="005B692F">
        <w:rPr>
          <w:i/>
          <w:color w:val="000000"/>
          <w:sz w:val="20"/>
          <w:szCs w:val="20"/>
        </w:rPr>
        <w:t xml:space="preserve">ea </w:t>
      </w:r>
      <w:r w:rsidR="00906D0F" w:rsidRPr="005B692F">
        <w:rPr>
          <w:i/>
          <w:sz w:val="20"/>
          <w:szCs w:val="20"/>
        </w:rPr>
        <w:t>t</w:t>
      </w:r>
      <w:r w:rsidR="00906D0F" w:rsidRPr="005B692F">
        <w:rPr>
          <w:i/>
          <w:color w:val="000000"/>
          <w:sz w:val="20"/>
          <w:szCs w:val="20"/>
        </w:rPr>
        <w:t xml:space="preserve">urtles </w:t>
      </w:r>
      <w:r w:rsidR="00906D0F" w:rsidRPr="005B692F">
        <w:rPr>
          <w:i/>
          <w:sz w:val="20"/>
          <w:szCs w:val="20"/>
        </w:rPr>
        <w:t>c</w:t>
      </w:r>
      <w:r w:rsidR="00906D0F" w:rsidRPr="005B692F">
        <w:rPr>
          <w:i/>
          <w:color w:val="000000"/>
          <w:sz w:val="20"/>
          <w:szCs w:val="20"/>
        </w:rPr>
        <w:t xml:space="preserve">aught in </w:t>
      </w:r>
      <w:r w:rsidR="00906D0F" w:rsidRPr="005B692F">
        <w:rPr>
          <w:i/>
          <w:sz w:val="20"/>
          <w:szCs w:val="20"/>
        </w:rPr>
        <w:t>a</w:t>
      </w:r>
      <w:r w:rsidR="00906D0F" w:rsidRPr="005B692F">
        <w:rPr>
          <w:i/>
          <w:color w:val="000000"/>
          <w:sz w:val="20"/>
          <w:szCs w:val="20"/>
        </w:rPr>
        <w:t xml:space="preserve">ssociation </w:t>
      </w:r>
      <w:r w:rsidRPr="005B692F">
        <w:rPr>
          <w:i/>
          <w:color w:val="000000"/>
          <w:sz w:val="20"/>
          <w:szCs w:val="20"/>
        </w:rPr>
        <w:t xml:space="preserve">with ICCAT </w:t>
      </w:r>
      <w:r w:rsidR="00906D0F" w:rsidRPr="005B692F">
        <w:rPr>
          <w:i/>
          <w:sz w:val="20"/>
          <w:szCs w:val="20"/>
        </w:rPr>
        <w:t>fi</w:t>
      </w:r>
      <w:r w:rsidR="00906D0F" w:rsidRPr="005B692F">
        <w:rPr>
          <w:i/>
          <w:color w:val="000000"/>
          <w:sz w:val="20"/>
          <w:szCs w:val="20"/>
        </w:rPr>
        <w:t xml:space="preserve">sheries </w:t>
      </w:r>
      <w:r w:rsidRPr="005B692F">
        <w:rPr>
          <w:i/>
          <w:color w:val="000000"/>
          <w:sz w:val="20"/>
          <w:szCs w:val="20"/>
        </w:rPr>
        <w:t>(</w:t>
      </w:r>
      <w:r w:rsidR="00EB2537">
        <w:rPr>
          <w:i/>
          <w:color w:val="000000"/>
          <w:sz w:val="20"/>
          <w:szCs w:val="20"/>
        </w:rPr>
        <w:t>c</w:t>
      </w:r>
      <w:r w:rsidRPr="005B692F">
        <w:rPr>
          <w:i/>
          <w:color w:val="000000"/>
          <w:sz w:val="20"/>
          <w:szCs w:val="20"/>
        </w:rPr>
        <w:t xml:space="preserve">ombine, </w:t>
      </w:r>
      <w:r w:rsidR="00EB2537">
        <w:rPr>
          <w:i/>
          <w:color w:val="000000"/>
          <w:sz w:val="20"/>
          <w:szCs w:val="20"/>
        </w:rPr>
        <w:t>s</w:t>
      </w:r>
      <w:r w:rsidRPr="005B692F">
        <w:rPr>
          <w:i/>
          <w:color w:val="000000"/>
          <w:sz w:val="20"/>
          <w:szCs w:val="20"/>
        </w:rPr>
        <w:t xml:space="preserve">treamline, and </w:t>
      </w:r>
      <w:r w:rsidR="00EB2537">
        <w:rPr>
          <w:i/>
          <w:color w:val="000000"/>
          <w:sz w:val="20"/>
          <w:szCs w:val="20"/>
        </w:rPr>
        <w:t>a</w:t>
      </w:r>
      <w:r w:rsidRPr="005B692F">
        <w:rPr>
          <w:i/>
          <w:color w:val="000000"/>
          <w:sz w:val="20"/>
          <w:szCs w:val="20"/>
        </w:rPr>
        <w:t>mend Recommendations 10-09 and 13-11)</w:t>
      </w:r>
      <w:r w:rsidR="00906D0F" w:rsidRPr="005B692F">
        <w:rPr>
          <w:i/>
          <w:color w:val="000000"/>
          <w:sz w:val="20"/>
          <w:szCs w:val="20"/>
        </w:rPr>
        <w:t xml:space="preserve"> </w:t>
      </w:r>
      <w:r w:rsidRPr="005B692F">
        <w:rPr>
          <w:color w:val="000000"/>
          <w:sz w:val="20"/>
          <w:szCs w:val="20"/>
        </w:rPr>
        <w:t>(Rec. 22-12)</w:t>
      </w:r>
      <w:r w:rsidRPr="005B692F">
        <w:rPr>
          <w:i/>
          <w:color w:val="000000"/>
          <w:sz w:val="20"/>
          <w:szCs w:val="20"/>
        </w:rPr>
        <w:t xml:space="preserve"> </w:t>
      </w:r>
      <w:r w:rsidRPr="005B692F">
        <w:rPr>
          <w:color w:val="000000"/>
          <w:sz w:val="20"/>
          <w:szCs w:val="20"/>
        </w:rPr>
        <w:t xml:space="preserve">shall be amended as follows: </w:t>
      </w:r>
    </w:p>
    <w:p w14:paraId="63077600" w14:textId="77777777" w:rsidR="005B3749" w:rsidRPr="005B692F" w:rsidRDefault="005B3749">
      <w:pPr>
        <w:pBdr>
          <w:top w:val="nil"/>
          <w:left w:val="nil"/>
          <w:bottom w:val="nil"/>
          <w:right w:val="nil"/>
          <w:between w:val="nil"/>
        </w:pBdr>
        <w:tabs>
          <w:tab w:val="left" w:pos="518"/>
          <w:tab w:val="left" w:pos="520"/>
        </w:tabs>
        <w:ind w:left="520" w:right="180"/>
        <w:jc w:val="both"/>
        <w:rPr>
          <w:color w:val="000000"/>
          <w:sz w:val="20"/>
          <w:szCs w:val="20"/>
        </w:rPr>
      </w:pPr>
    </w:p>
    <w:p w14:paraId="3046D9A2" w14:textId="77777777" w:rsidR="005B3749" w:rsidRPr="007C0742" w:rsidRDefault="00727AA3" w:rsidP="00BB0822">
      <w:pPr>
        <w:numPr>
          <w:ilvl w:val="1"/>
          <w:numId w:val="1"/>
        </w:numPr>
        <w:pBdr>
          <w:top w:val="nil"/>
          <w:left w:val="nil"/>
          <w:bottom w:val="nil"/>
          <w:right w:val="nil"/>
          <w:between w:val="nil"/>
        </w:pBdr>
        <w:tabs>
          <w:tab w:val="left" w:pos="518"/>
          <w:tab w:val="left" w:pos="520"/>
        </w:tabs>
        <w:ind w:left="851" w:right="180" w:hanging="425"/>
        <w:jc w:val="both"/>
        <w:rPr>
          <w:iCs/>
          <w:color w:val="000000"/>
        </w:rPr>
      </w:pPr>
      <w:r w:rsidRPr="007C0742">
        <w:rPr>
          <w:iCs/>
          <w:color w:val="000000"/>
          <w:sz w:val="20"/>
          <w:szCs w:val="20"/>
        </w:rPr>
        <w:t xml:space="preserve">Sub-paragraph 1 b) shall be replaced with the following: </w:t>
      </w:r>
    </w:p>
    <w:p w14:paraId="343E48B9" w14:textId="77777777" w:rsidR="00906D0F" w:rsidRPr="005B692F" w:rsidRDefault="00906D0F" w:rsidP="00906D0F">
      <w:pPr>
        <w:pBdr>
          <w:top w:val="nil"/>
          <w:left w:val="nil"/>
          <w:bottom w:val="nil"/>
          <w:right w:val="nil"/>
          <w:between w:val="nil"/>
        </w:pBdr>
        <w:tabs>
          <w:tab w:val="left" w:pos="518"/>
          <w:tab w:val="left" w:pos="520"/>
        </w:tabs>
        <w:ind w:left="730" w:right="180"/>
        <w:jc w:val="both"/>
        <w:rPr>
          <w:color w:val="000000"/>
        </w:rPr>
      </w:pPr>
    </w:p>
    <w:p w14:paraId="2917EA74" w14:textId="3BB1AE20" w:rsidR="005B3749" w:rsidRPr="005B692F" w:rsidRDefault="00727AA3" w:rsidP="007C0742">
      <w:pPr>
        <w:pBdr>
          <w:top w:val="nil"/>
          <w:left w:val="nil"/>
          <w:bottom w:val="nil"/>
          <w:right w:val="nil"/>
          <w:between w:val="nil"/>
        </w:pBdr>
        <w:tabs>
          <w:tab w:val="left" w:pos="518"/>
          <w:tab w:val="left" w:pos="520"/>
          <w:tab w:val="left" w:pos="8505"/>
        </w:tabs>
        <w:ind w:left="851" w:right="569"/>
        <w:jc w:val="both"/>
        <w:rPr>
          <w:b/>
          <w:color w:val="000000"/>
          <w:sz w:val="20"/>
          <w:szCs w:val="20"/>
        </w:rPr>
      </w:pPr>
      <w:r w:rsidRPr="005B692F">
        <w:rPr>
          <w:color w:val="000000"/>
          <w:sz w:val="20"/>
          <w:szCs w:val="20"/>
        </w:rPr>
        <w:t>“Any CPC that achieves and maintains 10% scientific observer coverage and complies with the data reporting requirements of Recs. 11-10, 16-14, and paragraph</w:t>
      </w:r>
      <w:r w:rsidRPr="005B692F">
        <w:rPr>
          <w:b/>
          <w:color w:val="000000"/>
          <w:sz w:val="20"/>
          <w:szCs w:val="20"/>
        </w:rPr>
        <w:t xml:space="preserve"> </w:t>
      </w:r>
      <w:r w:rsidRPr="005B692F">
        <w:rPr>
          <w:color w:val="000000"/>
          <w:sz w:val="20"/>
          <w:szCs w:val="20"/>
        </w:rPr>
        <w:t>5</w:t>
      </w:r>
      <w:r w:rsidRPr="005B692F">
        <w:rPr>
          <w:b/>
          <w:color w:val="000000"/>
          <w:sz w:val="20"/>
          <w:szCs w:val="20"/>
        </w:rPr>
        <w:t xml:space="preserve"> </w:t>
      </w:r>
      <w:r w:rsidRPr="005B692F">
        <w:rPr>
          <w:color w:val="000000"/>
          <w:sz w:val="20"/>
          <w:szCs w:val="20"/>
        </w:rPr>
        <w:t xml:space="preserve">below, may request from </w:t>
      </w:r>
      <w:r w:rsidR="002B173B">
        <w:rPr>
          <w:color w:val="000000"/>
          <w:sz w:val="20"/>
          <w:szCs w:val="20"/>
        </w:rPr>
        <w:t>p</w:t>
      </w:r>
      <w:r w:rsidRPr="005B692F">
        <w:rPr>
          <w:color w:val="000000"/>
          <w:sz w:val="20"/>
          <w:szCs w:val="20"/>
        </w:rPr>
        <w:t>aragraph</w:t>
      </w:r>
      <w:r w:rsidR="00844330">
        <w:rPr>
          <w:color w:val="000000"/>
          <w:sz w:val="20"/>
          <w:szCs w:val="20"/>
        </w:rPr>
        <w:t> </w:t>
      </w:r>
      <w:r w:rsidRPr="005B692F">
        <w:rPr>
          <w:color w:val="000000"/>
          <w:sz w:val="20"/>
          <w:szCs w:val="20"/>
        </w:rPr>
        <w:t>1</w:t>
      </w:r>
      <w:r w:rsidR="002B173B">
        <w:rPr>
          <w:color w:val="000000"/>
          <w:sz w:val="20"/>
          <w:szCs w:val="20"/>
        </w:rPr>
        <w:t> </w:t>
      </w:r>
      <w:r w:rsidRPr="005B692F">
        <w:rPr>
          <w:color w:val="000000"/>
          <w:sz w:val="20"/>
          <w:szCs w:val="20"/>
        </w:rPr>
        <w:t>a) an exemption for one or more of its ICCAT fisheries above by submitting relevant scientific information to the SCRS. The SCRS will evaluate that information and advise the Commission on sea turtle interactions and mortality. The Commission shall make decisions on any requested exemption in light of the SCRS advice.”</w:t>
      </w:r>
    </w:p>
    <w:p w14:paraId="158A2C60" w14:textId="77777777" w:rsidR="005B3749" w:rsidRPr="005B692F" w:rsidRDefault="005B3749">
      <w:pPr>
        <w:tabs>
          <w:tab w:val="left" w:pos="518"/>
          <w:tab w:val="left" w:pos="520"/>
        </w:tabs>
        <w:ind w:right="180"/>
        <w:jc w:val="both"/>
        <w:rPr>
          <w:sz w:val="20"/>
          <w:szCs w:val="20"/>
        </w:rPr>
      </w:pPr>
    </w:p>
    <w:p w14:paraId="70D5163F" w14:textId="2AF3064A" w:rsidR="005B3749" w:rsidRPr="007C0742" w:rsidRDefault="00727AA3" w:rsidP="00E52F77">
      <w:pPr>
        <w:numPr>
          <w:ilvl w:val="1"/>
          <w:numId w:val="1"/>
        </w:numPr>
        <w:pBdr>
          <w:top w:val="nil"/>
          <w:left w:val="nil"/>
          <w:bottom w:val="nil"/>
          <w:right w:val="nil"/>
          <w:between w:val="nil"/>
        </w:pBdr>
        <w:tabs>
          <w:tab w:val="left" w:pos="518"/>
          <w:tab w:val="left" w:pos="520"/>
        </w:tabs>
        <w:ind w:left="851" w:right="180" w:hanging="425"/>
        <w:jc w:val="both"/>
        <w:rPr>
          <w:color w:val="000000"/>
        </w:rPr>
      </w:pPr>
      <w:r w:rsidRPr="007C0742">
        <w:rPr>
          <w:sz w:val="20"/>
          <w:szCs w:val="20"/>
        </w:rPr>
        <w:t>Sub-p</w:t>
      </w:r>
      <w:r w:rsidRPr="007C0742">
        <w:rPr>
          <w:color w:val="000000"/>
          <w:sz w:val="20"/>
          <w:szCs w:val="20"/>
        </w:rPr>
        <w:t>aragraph 6</w:t>
      </w:r>
      <w:r w:rsidRPr="007C0742">
        <w:rPr>
          <w:sz w:val="20"/>
          <w:szCs w:val="20"/>
        </w:rPr>
        <w:t xml:space="preserve"> a)</w:t>
      </w:r>
      <w:r w:rsidR="00906D0F" w:rsidRPr="007C0742">
        <w:rPr>
          <w:sz w:val="20"/>
          <w:szCs w:val="20"/>
        </w:rPr>
        <w:t xml:space="preserve"> </w:t>
      </w:r>
      <w:r w:rsidRPr="007C0742">
        <w:rPr>
          <w:color w:val="000000"/>
          <w:sz w:val="20"/>
          <w:szCs w:val="20"/>
        </w:rPr>
        <w:t xml:space="preserve">shall be replaced with the following: </w:t>
      </w:r>
    </w:p>
    <w:p w14:paraId="3428AA00" w14:textId="77777777" w:rsidR="00906D0F" w:rsidRPr="005B692F" w:rsidRDefault="00906D0F" w:rsidP="00906D0F">
      <w:pPr>
        <w:pBdr>
          <w:top w:val="nil"/>
          <w:left w:val="nil"/>
          <w:bottom w:val="nil"/>
          <w:right w:val="nil"/>
          <w:between w:val="nil"/>
        </w:pBdr>
        <w:tabs>
          <w:tab w:val="left" w:pos="518"/>
          <w:tab w:val="left" w:pos="520"/>
        </w:tabs>
        <w:ind w:left="730" w:right="180"/>
        <w:jc w:val="both"/>
        <w:rPr>
          <w:i/>
          <w:iCs/>
          <w:color w:val="000000"/>
        </w:rPr>
      </w:pPr>
    </w:p>
    <w:p w14:paraId="39C351A5" w14:textId="1D2EF55F" w:rsidR="005B3749" w:rsidRPr="005B692F" w:rsidRDefault="00727AA3" w:rsidP="00CA46A6">
      <w:pPr>
        <w:pBdr>
          <w:top w:val="nil"/>
          <w:left w:val="nil"/>
          <w:bottom w:val="nil"/>
          <w:right w:val="nil"/>
          <w:between w:val="nil"/>
        </w:pBdr>
        <w:tabs>
          <w:tab w:val="left" w:pos="518"/>
          <w:tab w:val="left" w:pos="520"/>
          <w:tab w:val="left" w:pos="8364"/>
        </w:tabs>
        <w:ind w:left="851" w:right="569"/>
        <w:jc w:val="both"/>
        <w:rPr>
          <w:sz w:val="20"/>
          <w:szCs w:val="20"/>
        </w:rPr>
      </w:pPr>
      <w:r w:rsidRPr="005B692F">
        <w:rPr>
          <w:color w:val="000000"/>
          <w:sz w:val="20"/>
          <w:szCs w:val="20"/>
        </w:rPr>
        <w:t xml:space="preserve">“Paragraphs 1-3 shall not apply to vessels operating only </w:t>
      </w:r>
      <w:r w:rsidR="007C0742" w:rsidRPr="005B692F">
        <w:rPr>
          <w:color w:val="000000"/>
          <w:sz w:val="20"/>
          <w:szCs w:val="20"/>
        </w:rPr>
        <w:t xml:space="preserve">North </w:t>
      </w:r>
      <w:r w:rsidRPr="005B692F">
        <w:rPr>
          <w:color w:val="000000"/>
          <w:sz w:val="20"/>
          <w:szCs w:val="20"/>
        </w:rPr>
        <w:t xml:space="preserve">of 55°N or </w:t>
      </w:r>
      <w:r w:rsidR="007C0742" w:rsidRPr="005B692F">
        <w:rPr>
          <w:color w:val="000000"/>
          <w:sz w:val="20"/>
          <w:szCs w:val="20"/>
        </w:rPr>
        <w:t xml:space="preserve">South </w:t>
      </w:r>
      <w:r w:rsidRPr="005B692F">
        <w:rPr>
          <w:color w:val="000000"/>
          <w:sz w:val="20"/>
          <w:szCs w:val="20"/>
        </w:rPr>
        <w:t xml:space="preserve">of 35°S latitude in the eastern South Atlantic and </w:t>
      </w:r>
      <w:r w:rsidR="007C0742" w:rsidRPr="005B692F">
        <w:rPr>
          <w:color w:val="000000"/>
          <w:sz w:val="20"/>
          <w:szCs w:val="20"/>
        </w:rPr>
        <w:t xml:space="preserve">South </w:t>
      </w:r>
      <w:r w:rsidR="002943F1" w:rsidRPr="005B692F">
        <w:rPr>
          <w:color w:val="000000"/>
          <w:sz w:val="20"/>
          <w:szCs w:val="20"/>
        </w:rPr>
        <w:t xml:space="preserve">of </w:t>
      </w:r>
      <w:r w:rsidRPr="005B692F">
        <w:rPr>
          <w:color w:val="000000"/>
          <w:sz w:val="20"/>
          <w:szCs w:val="20"/>
        </w:rPr>
        <w:t xml:space="preserve">40°S latitude in the western South Atlantic (i.e., primarily outside the geographic range of </w:t>
      </w:r>
      <w:r w:rsidR="007C0742" w:rsidRPr="005B692F">
        <w:rPr>
          <w:color w:val="000000"/>
          <w:sz w:val="20"/>
          <w:szCs w:val="20"/>
        </w:rPr>
        <w:t xml:space="preserve">Atlantic </w:t>
      </w:r>
      <w:r w:rsidR="007C0742">
        <w:rPr>
          <w:color w:val="000000"/>
          <w:sz w:val="20"/>
          <w:szCs w:val="20"/>
        </w:rPr>
        <w:t>Sea</w:t>
      </w:r>
      <w:r w:rsidRPr="005B692F">
        <w:rPr>
          <w:color w:val="000000"/>
          <w:sz w:val="20"/>
          <w:szCs w:val="20"/>
        </w:rPr>
        <w:t xml:space="preserve"> turtles). The limit for the division between the eastern South Atlantic and the western South Atlantic is 20°W</w:t>
      </w:r>
      <w:r w:rsidRPr="005B692F">
        <w:rPr>
          <w:sz w:val="20"/>
          <w:szCs w:val="20"/>
        </w:rPr>
        <w:t>”</w:t>
      </w:r>
      <w:r w:rsidR="00906D0F" w:rsidRPr="005B692F">
        <w:rPr>
          <w:sz w:val="20"/>
          <w:szCs w:val="20"/>
        </w:rPr>
        <w:t>.</w:t>
      </w:r>
    </w:p>
    <w:sectPr w:rsidR="005B3749" w:rsidRPr="005B692F" w:rsidSect="00850E64">
      <w:footerReference w:type="default" r:id="rId7"/>
      <w:pgSz w:w="11910" w:h="16840"/>
      <w:pgMar w:top="1418" w:right="1418" w:bottom="1418" w:left="1418" w:header="851" w:footer="11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5328D" w14:textId="77777777" w:rsidR="00D96233" w:rsidRDefault="00D96233">
      <w:r>
        <w:separator/>
      </w:r>
    </w:p>
  </w:endnote>
  <w:endnote w:type="continuationSeparator" w:id="0">
    <w:p w14:paraId="7A26123D" w14:textId="77777777" w:rsidR="00D96233" w:rsidRDefault="00D96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631C5" w14:textId="51E9893D" w:rsidR="00906D0F" w:rsidRPr="001F5D7D" w:rsidRDefault="00000000" w:rsidP="00906D0F">
    <w:pPr>
      <w:tabs>
        <w:tab w:val="center" w:pos="4535"/>
        <w:tab w:val="center" w:pos="4680"/>
        <w:tab w:val="left" w:pos="6150"/>
        <w:tab w:val="right" w:pos="9360"/>
      </w:tabs>
      <w:jc w:val="center"/>
      <w:rPr>
        <w:rFonts w:eastAsia="Calibri" w:cs="Calibri"/>
        <w:sz w:val="20"/>
      </w:rPr>
    </w:pPr>
    <w:sdt>
      <w:sdtPr>
        <w:rPr>
          <w:rFonts w:ascii="Calibri" w:eastAsia="Calibri" w:hAnsi="Calibri" w:cs="Calibri"/>
          <w:sz w:val="20"/>
          <w:szCs w:val="20"/>
        </w:rPr>
        <w:id w:val="857621591"/>
        <w:docPartObj>
          <w:docPartGallery w:val="Page Numbers (Top of Page)"/>
          <w:docPartUnique/>
        </w:docPartObj>
      </w:sdtPr>
      <w:sdtContent>
        <w:r w:rsidR="00906D0F" w:rsidRPr="00713AD4">
          <w:rPr>
            <w:rFonts w:eastAsia="Calibri" w:cs="Calibri"/>
            <w:sz w:val="20"/>
            <w:szCs w:val="20"/>
          </w:rPr>
          <w:fldChar w:fldCharType="begin"/>
        </w:r>
        <w:r w:rsidR="00906D0F" w:rsidRPr="00713AD4">
          <w:rPr>
            <w:rFonts w:eastAsia="Calibri" w:cs="Calibri"/>
            <w:sz w:val="20"/>
            <w:szCs w:val="20"/>
          </w:rPr>
          <w:instrText xml:space="preserve"> PAGE </w:instrText>
        </w:r>
        <w:r w:rsidR="00906D0F" w:rsidRPr="00713AD4">
          <w:rPr>
            <w:rFonts w:eastAsia="Calibri" w:cs="Calibri"/>
            <w:sz w:val="20"/>
            <w:szCs w:val="20"/>
          </w:rPr>
          <w:fldChar w:fldCharType="separate"/>
        </w:r>
        <w:r w:rsidR="00906D0F">
          <w:rPr>
            <w:rFonts w:eastAsia="Calibri" w:cs="Calibri"/>
            <w:sz w:val="20"/>
            <w:szCs w:val="20"/>
          </w:rPr>
          <w:t>1</w:t>
        </w:r>
        <w:r w:rsidR="00906D0F" w:rsidRPr="00713AD4">
          <w:rPr>
            <w:rFonts w:eastAsia="Calibri" w:cs="Calibri"/>
            <w:sz w:val="20"/>
            <w:szCs w:val="20"/>
          </w:rPr>
          <w:fldChar w:fldCharType="end"/>
        </w:r>
        <w:r w:rsidR="00906D0F" w:rsidRPr="00713AD4">
          <w:rPr>
            <w:rFonts w:eastAsia="Calibri" w:cs="Calibri"/>
            <w:sz w:val="20"/>
            <w:szCs w:val="20"/>
          </w:rPr>
          <w:t xml:space="preserve"> </w:t>
        </w:r>
      </w:sdtContent>
    </w:sdt>
  </w:p>
  <w:p w14:paraId="4947C300" w14:textId="77777777" w:rsidR="005B3749" w:rsidRDefault="00727AA3">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58240" behindDoc="1" locked="0" layoutInCell="1" hidden="0" allowOverlap="1" wp14:anchorId="117B9884" wp14:editId="4D96CAA8">
              <wp:simplePos x="0" y="0"/>
              <wp:positionH relativeFrom="column">
                <wp:posOffset>2933700</wp:posOffset>
              </wp:positionH>
              <wp:positionV relativeFrom="paragraph">
                <wp:posOffset>9791700</wp:posOffset>
              </wp:positionV>
              <wp:extent cx="344805" cy="198755"/>
              <wp:effectExtent l="0" t="0" r="0" b="0"/>
              <wp:wrapNone/>
              <wp:docPr id="1" name="Rectangle 1"/>
              <wp:cNvGraphicFramePr/>
              <a:graphic xmlns:a="http://schemas.openxmlformats.org/drawingml/2006/main">
                <a:graphicData uri="http://schemas.microsoft.com/office/word/2010/wordprocessingShape">
                  <wps:wsp>
                    <wps:cNvSpPr/>
                    <wps:spPr>
                      <a:xfrm>
                        <a:off x="5178360" y="3685385"/>
                        <a:ext cx="335280" cy="189230"/>
                      </a:xfrm>
                      <a:prstGeom prst="rect">
                        <a:avLst/>
                      </a:prstGeom>
                      <a:noFill/>
                      <a:ln>
                        <a:noFill/>
                      </a:ln>
                    </wps:spPr>
                    <wps:txbx>
                      <w:txbxContent>
                        <w:p w14:paraId="2CE96C8B" w14:textId="77777777" w:rsidR="005B3749" w:rsidRDefault="00727AA3">
                          <w:pPr>
                            <w:spacing w:before="18"/>
                            <w:ind w:left="60" w:firstLine="60"/>
                            <w:textDirection w:val="btLr"/>
                          </w:pPr>
                          <w:r>
                            <w:rPr>
                              <w:color w:val="000000"/>
                            </w:rPr>
                            <w:t xml:space="preserve"> PAGE 1 /  NUMPAGES 3</w:t>
                          </w:r>
                        </w:p>
                      </w:txbxContent>
                    </wps:txbx>
                    <wps:bodyPr spcFirstLastPara="1" wrap="square" lIns="0" tIns="0" rIns="0" bIns="0" anchor="t" anchorCtr="0">
                      <a:noAutofit/>
                    </wps:bodyPr>
                  </wps:wsp>
                </a:graphicData>
              </a:graphic>
            </wp:anchor>
          </w:drawing>
        </mc:Choice>
        <mc:Fallback>
          <w:pict>
            <v:rect w14:anchorId="117B9884" id="Rectangle 1" o:spid="_x0000_s1026" style="position:absolute;margin-left:231pt;margin-top:771pt;width:27.15pt;height:15.6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kHesQEAAEkDAAAOAAAAZHJzL2Uyb0RvYy54bWysU8Fu2zAMvQ/oPwi6L45jJHONOMWwIsOA&#10;YgvQ9gMUWYoF2JJGKrHz96PkpOm227CL/EQRj4+P9Pph7Dt2UoDG2ZrnszlnykrXGHuo+evL9mPJ&#10;GQZhG9E5q2p+VsgfNncf1oOv1MK1rmsUMCKxWA2+5m0IvsoylK3qBc6cV5YetYNeBLrCIWtADMTe&#10;d9liPl9lg4PGg5MKkaKP0yPfJH6tlQw/tEYVWFdz0hbSCencxzPbrEV1AOFbIy8yxD+o6IWxVPSN&#10;6lEEwY5g/qLqjQSHToeZdH3mtDZSpR6om3z+RzfPrfAq9ULmoH+zCf8frfx+evY7IBsGjxUSjF2M&#10;Gvr4JX1srPky/1QWK7LvXPNiVS6LcjkZp8bAJCUUxXJR0rukhLy8XxTJ2OxG5AHDV+V6FkHNgeaS&#10;7BKnJwxUnFKvKbGudVvTdWk2nf0tQIkxkt3URhTG/XhpYe+a8w4Yerk1VOtJYNgJoJnmnA0055rj&#10;z6MAxVn3zZKRcSmuAK5gfwXCytbRugTOJvglpOWZNH0+BqdN0h9VTKUv4mheqa3LbsWFeH9PWbc/&#10;YPMLAAD//wMAUEsDBBQABgAIAAAAIQAKAxuh4wAAAA0BAAAPAAAAZHJzL2Rvd25yZXYueG1sTI/N&#10;TsMwEITvSLyDtUjcqNOmDW2IU1X8qByhRSrc3GRJIux1FLtN4OnZnOC2uzOa/SZbD9aIM3a+caRg&#10;OolAIBWubKhS8LZ/ulmC8EFTqY0jVPCNHtb55UWm09L19IrnXagEh5BPtYI6hDaV0hc1Wu0nrkVi&#10;7dN1Vgdeu0qWne453Bo5i6JEWt0Qf6h1i/c1Fl+7k1WwXbab92f301fm8WN7eDmsHvaroNT11bC5&#10;AxFwCH9mGPEZHXJmOroTlV4YBfNkxl0CC4v5OLFlMU1iEMfxdBvHIPNM/m+R/wIAAP//AwBQSwEC&#10;LQAUAAYACAAAACEAtoM4kv4AAADhAQAAEwAAAAAAAAAAAAAAAAAAAAAAW0NvbnRlbnRfVHlwZXNd&#10;LnhtbFBLAQItABQABgAIAAAAIQA4/SH/1gAAAJQBAAALAAAAAAAAAAAAAAAAAC8BAABfcmVscy8u&#10;cmVsc1BLAQItABQABgAIAAAAIQCLlkHesQEAAEkDAAAOAAAAAAAAAAAAAAAAAC4CAABkcnMvZTJv&#10;RG9jLnhtbFBLAQItABQABgAIAAAAIQAKAxuh4wAAAA0BAAAPAAAAAAAAAAAAAAAAAAsEAABkcnMv&#10;ZG93bnJldi54bWxQSwUGAAAAAAQABADzAAAAGwUAAAAA&#10;" filled="f" stroked="f">
              <v:textbox inset="0,0,0,0">
                <w:txbxContent>
                  <w:p w14:paraId="2CE96C8B" w14:textId="77777777" w:rsidR="005B3749" w:rsidRDefault="00727AA3">
                    <w:pPr>
                      <w:spacing w:before="18"/>
                      <w:ind w:left="60" w:firstLine="60"/>
                      <w:textDirection w:val="btLr"/>
                    </w:pPr>
                    <w:r>
                      <w:rPr>
                        <w:color w:val="000000"/>
                      </w:rPr>
                      <w:t xml:space="preserve"> PAGE 1 </w:t>
                    </w:r>
                    <w:proofErr w:type="gramStart"/>
                    <w:r>
                      <w:rPr>
                        <w:color w:val="000000"/>
                      </w:rPr>
                      <w:t>/  NUMPAGES</w:t>
                    </w:r>
                    <w:proofErr w:type="gramEnd"/>
                    <w:r>
                      <w:rPr>
                        <w:color w:val="000000"/>
                      </w:rPr>
                      <w:t xml:space="preserve"> 3</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56386" w14:textId="77777777" w:rsidR="00D96233" w:rsidRDefault="00D96233">
      <w:r>
        <w:separator/>
      </w:r>
    </w:p>
  </w:footnote>
  <w:footnote w:type="continuationSeparator" w:id="0">
    <w:p w14:paraId="283E61E0" w14:textId="77777777" w:rsidR="00D96233" w:rsidRDefault="00D962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0C7039"/>
    <w:multiLevelType w:val="multilevel"/>
    <w:tmpl w:val="11C8A69A"/>
    <w:lvl w:ilvl="0">
      <w:start w:val="1"/>
      <w:numFmt w:val="decimal"/>
      <w:lvlText w:val="%1."/>
      <w:lvlJc w:val="left"/>
      <w:pPr>
        <w:ind w:left="520" w:hanging="414"/>
      </w:pPr>
      <w:rPr>
        <w:rFonts w:ascii="Cambria" w:eastAsia="Cambria" w:hAnsi="Cambria" w:cs="Cambria"/>
        <w:b w:val="0"/>
        <w:i w:val="0"/>
        <w:sz w:val="20"/>
        <w:szCs w:val="20"/>
      </w:rPr>
    </w:lvl>
    <w:lvl w:ilvl="1">
      <w:start w:val="1"/>
      <w:numFmt w:val="upperLetter"/>
      <w:lvlText w:val="%2."/>
      <w:lvlJc w:val="left"/>
      <w:pPr>
        <w:ind w:left="730" w:hanging="211"/>
      </w:pPr>
      <w:rPr>
        <w:rFonts w:ascii="Cambria" w:eastAsia="Cambria" w:hAnsi="Cambria" w:cs="Cambria"/>
        <w:b w:val="0"/>
        <w:i w:val="0"/>
        <w:sz w:val="20"/>
        <w:szCs w:val="20"/>
      </w:rPr>
    </w:lvl>
    <w:lvl w:ilvl="2">
      <w:start w:val="1"/>
      <w:numFmt w:val="lowerLetter"/>
      <w:lvlText w:val="%3)"/>
      <w:lvlJc w:val="left"/>
      <w:pPr>
        <w:ind w:left="1512" w:hanging="425"/>
      </w:pPr>
      <w:rPr>
        <w:rFonts w:ascii="Cambria" w:eastAsia="Cambria" w:hAnsi="Cambria" w:cs="Cambria"/>
        <w:b w:val="0"/>
        <w:i w:val="0"/>
        <w:sz w:val="20"/>
        <w:szCs w:val="20"/>
      </w:rPr>
    </w:lvl>
    <w:lvl w:ilvl="3">
      <w:numFmt w:val="bullet"/>
      <w:lvlText w:val="•"/>
      <w:lvlJc w:val="left"/>
      <w:pPr>
        <w:ind w:left="2525" w:hanging="425"/>
      </w:pPr>
    </w:lvl>
    <w:lvl w:ilvl="4">
      <w:numFmt w:val="bullet"/>
      <w:lvlText w:val="•"/>
      <w:lvlJc w:val="left"/>
      <w:pPr>
        <w:ind w:left="3531" w:hanging="425"/>
      </w:pPr>
    </w:lvl>
    <w:lvl w:ilvl="5">
      <w:numFmt w:val="bullet"/>
      <w:lvlText w:val="•"/>
      <w:lvlJc w:val="left"/>
      <w:pPr>
        <w:ind w:left="4537" w:hanging="425"/>
      </w:pPr>
    </w:lvl>
    <w:lvl w:ilvl="6">
      <w:numFmt w:val="bullet"/>
      <w:lvlText w:val="•"/>
      <w:lvlJc w:val="left"/>
      <w:pPr>
        <w:ind w:left="5543" w:hanging="425"/>
      </w:pPr>
    </w:lvl>
    <w:lvl w:ilvl="7">
      <w:numFmt w:val="bullet"/>
      <w:lvlText w:val="•"/>
      <w:lvlJc w:val="left"/>
      <w:pPr>
        <w:ind w:left="6549" w:hanging="425"/>
      </w:pPr>
    </w:lvl>
    <w:lvl w:ilvl="8">
      <w:numFmt w:val="bullet"/>
      <w:lvlText w:val="•"/>
      <w:lvlJc w:val="left"/>
      <w:pPr>
        <w:ind w:left="7555" w:hanging="425"/>
      </w:pPr>
    </w:lvl>
  </w:abstractNum>
  <w:num w:numId="1" w16cid:durableId="929042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749"/>
    <w:rsid w:val="000926F5"/>
    <w:rsid w:val="000D05E5"/>
    <w:rsid w:val="00116F80"/>
    <w:rsid w:val="0017401D"/>
    <w:rsid w:val="001B42A8"/>
    <w:rsid w:val="002943F1"/>
    <w:rsid w:val="002B173B"/>
    <w:rsid w:val="003205D9"/>
    <w:rsid w:val="00384F16"/>
    <w:rsid w:val="00494C66"/>
    <w:rsid w:val="005B3749"/>
    <w:rsid w:val="005B692F"/>
    <w:rsid w:val="00726AD5"/>
    <w:rsid w:val="00727AA3"/>
    <w:rsid w:val="007C0742"/>
    <w:rsid w:val="007E4187"/>
    <w:rsid w:val="00844330"/>
    <w:rsid w:val="00850E64"/>
    <w:rsid w:val="00894D4B"/>
    <w:rsid w:val="00906D0F"/>
    <w:rsid w:val="00932BCE"/>
    <w:rsid w:val="009A2A89"/>
    <w:rsid w:val="00AF7209"/>
    <w:rsid w:val="00BB0822"/>
    <w:rsid w:val="00C305ED"/>
    <w:rsid w:val="00C5302C"/>
    <w:rsid w:val="00CA46A6"/>
    <w:rsid w:val="00D96233"/>
    <w:rsid w:val="00E52F77"/>
    <w:rsid w:val="00E57C19"/>
    <w:rsid w:val="00EB2537"/>
    <w:rsid w:val="00EF6988"/>
    <w:rsid w:val="00F848A9"/>
    <w:rsid w:val="00F92F55"/>
    <w:rsid w:val="00F93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DDED6"/>
  <w15:docId w15:val="{676D26DF-EF59-403F-80EB-E6418D932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19"/>
      <w:ind w:left="60"/>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932BCE"/>
    <w:pPr>
      <w:widowControl/>
    </w:pPr>
  </w:style>
  <w:style w:type="paragraph" w:styleId="Header">
    <w:name w:val="header"/>
    <w:basedOn w:val="Normal"/>
    <w:link w:val="HeaderChar"/>
    <w:uiPriority w:val="99"/>
    <w:unhideWhenUsed/>
    <w:rsid w:val="00906D0F"/>
    <w:pPr>
      <w:tabs>
        <w:tab w:val="center" w:pos="4513"/>
        <w:tab w:val="right" w:pos="9026"/>
      </w:tabs>
    </w:pPr>
  </w:style>
  <w:style w:type="character" w:customStyle="1" w:styleId="HeaderChar">
    <w:name w:val="Header Char"/>
    <w:basedOn w:val="DefaultParagraphFont"/>
    <w:link w:val="Header"/>
    <w:uiPriority w:val="99"/>
    <w:rsid w:val="00906D0F"/>
  </w:style>
  <w:style w:type="paragraph" w:styleId="Footer">
    <w:name w:val="footer"/>
    <w:basedOn w:val="Normal"/>
    <w:link w:val="FooterChar"/>
    <w:uiPriority w:val="99"/>
    <w:unhideWhenUsed/>
    <w:rsid w:val="00906D0F"/>
    <w:pPr>
      <w:tabs>
        <w:tab w:val="center" w:pos="4513"/>
        <w:tab w:val="right" w:pos="9026"/>
      </w:tabs>
    </w:pPr>
  </w:style>
  <w:style w:type="character" w:customStyle="1" w:styleId="FooterChar">
    <w:name w:val="Footer Char"/>
    <w:basedOn w:val="DefaultParagraphFont"/>
    <w:link w:val="Footer"/>
    <w:uiPriority w:val="99"/>
    <w:rsid w:val="00906D0F"/>
  </w:style>
  <w:style w:type="character" w:styleId="Hyperlink">
    <w:name w:val="Hyperlink"/>
    <w:basedOn w:val="DefaultParagraphFont"/>
    <w:uiPriority w:val="99"/>
    <w:unhideWhenUsed/>
    <w:rsid w:val="00906D0F"/>
    <w:rPr>
      <w:color w:val="0000FF" w:themeColor="hyperlink"/>
      <w:u w:val="single"/>
    </w:rPr>
  </w:style>
  <w:style w:type="character" w:styleId="UnresolvedMention">
    <w:name w:val="Unresolved Mention"/>
    <w:basedOn w:val="DefaultParagraphFont"/>
    <w:uiPriority w:val="99"/>
    <w:semiHidden/>
    <w:unhideWhenUsed/>
    <w:rsid w:val="00906D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Bryan.Keller</dc:creator>
  <cp:lastModifiedBy>Rebecca Campoy</cp:lastModifiedBy>
  <cp:revision>26</cp:revision>
  <cp:lastPrinted>2023-11-02T10:15:00Z</cp:lastPrinted>
  <dcterms:created xsi:type="dcterms:W3CDTF">2023-11-01T16:48:00Z</dcterms:created>
  <dcterms:modified xsi:type="dcterms:W3CDTF">2023-11-28T10:54:00Z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lpwstr>2023-09-26T00:00:00Z</vt:lpwstr>
  </property>
  <property fmtid="{D5CDD505-2E9C-101B-9397-08002B2CF9AE}" pid="3" name="Producer">
    <vt:lpwstr>Microsoft® Word for Microsoft 365</vt:lpwstr>
  </property>
  <property fmtid="{D5CDD505-2E9C-101B-9397-08002B2CF9AE}" pid="4" name="Creator">
    <vt:lpwstr>Microsoft® Word for Microsoft 365</vt:lpwstr>
  </property>
  <property fmtid="{D5CDD505-2E9C-101B-9397-08002B2CF9AE}" pid="5" name="Created">
    <vt:lpwstr>2022-11-17T00:00:00Z</vt:lpwstr>
  </property>
</Properties>
</file>