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83B26" w:rsidRPr="005B285E" w:rsidRDefault="00402F6D" w:rsidP="00A87295">
      <w:pPr>
        <w:widowControl w:val="0"/>
        <w:pBdr>
          <w:top w:val="double" w:sz="4" w:space="1" w:color="auto"/>
          <w:left w:val="double" w:sz="4" w:space="4" w:color="auto"/>
          <w:bottom w:val="double" w:sz="4" w:space="1" w:color="auto"/>
          <w:right w:val="double" w:sz="4" w:space="4" w:color="auto"/>
        </w:pBdr>
        <w:spacing w:line="259" w:lineRule="auto"/>
        <w:ind w:left="8222" w:hanging="8222"/>
        <w:jc w:val="center"/>
        <w:rPr>
          <w:rFonts w:ascii="Cambria" w:eastAsia="Cambria" w:hAnsi="Cambria" w:cs="Cambria"/>
          <w:b/>
          <w:sz w:val="20"/>
          <w:szCs w:val="20"/>
        </w:rPr>
      </w:pPr>
      <w:r w:rsidRPr="005B285E">
        <w:rPr>
          <w:rFonts w:ascii="Cambria" w:eastAsia="Cambria" w:hAnsi="Cambria" w:cs="Cambria"/>
          <w:b/>
          <w:sz w:val="20"/>
          <w:szCs w:val="20"/>
        </w:rPr>
        <w:t>23-12</w:t>
      </w:r>
      <w:r w:rsidRPr="005B285E">
        <w:rPr>
          <w:rFonts w:ascii="Cambria" w:eastAsia="Cambria" w:hAnsi="Cambria" w:cs="Cambria"/>
          <w:b/>
          <w:sz w:val="20"/>
          <w:szCs w:val="20"/>
        </w:rPr>
        <w:tab/>
        <w:t xml:space="preserve">        SHK</w:t>
      </w:r>
    </w:p>
    <w:p w14:paraId="00000002" w14:textId="77777777" w:rsidR="00A83B26" w:rsidRPr="005B285E" w:rsidRDefault="00402F6D" w:rsidP="00A87295">
      <w:pPr>
        <w:widowControl w:val="0"/>
        <w:pBdr>
          <w:top w:val="double" w:sz="4" w:space="1" w:color="auto"/>
          <w:left w:val="double" w:sz="4" w:space="4" w:color="auto"/>
          <w:bottom w:val="double" w:sz="4" w:space="1" w:color="auto"/>
          <w:right w:val="double" w:sz="4" w:space="4" w:color="auto"/>
        </w:pBdr>
        <w:spacing w:line="259" w:lineRule="auto"/>
        <w:ind w:left="8222" w:hanging="8222"/>
        <w:jc w:val="center"/>
        <w:rPr>
          <w:rFonts w:ascii="Cambria" w:eastAsia="Cambria" w:hAnsi="Cambria" w:cs="Cambria"/>
          <w:b/>
          <w:sz w:val="20"/>
          <w:szCs w:val="20"/>
        </w:rPr>
      </w:pPr>
      <w:r w:rsidRPr="005B285E">
        <w:rPr>
          <w:rFonts w:ascii="Cambria" w:eastAsia="Cambria" w:hAnsi="Cambria" w:cs="Cambria"/>
          <w:b/>
          <w:sz w:val="20"/>
          <w:szCs w:val="20"/>
        </w:rPr>
        <w:t xml:space="preserve">RECOMMENDATION BY ICCAT FOR THE CONSERVATION OF </w:t>
      </w:r>
    </w:p>
    <w:p w14:paraId="00000004" w14:textId="2466AA0F" w:rsidR="00A83B26" w:rsidRPr="005B285E" w:rsidRDefault="00402F6D" w:rsidP="00A87295">
      <w:pPr>
        <w:widowControl w:val="0"/>
        <w:pBdr>
          <w:top w:val="double" w:sz="4" w:space="1" w:color="auto"/>
          <w:left w:val="double" w:sz="4" w:space="4" w:color="auto"/>
          <w:bottom w:val="double" w:sz="4" w:space="1" w:color="auto"/>
          <w:right w:val="double" w:sz="4" w:space="4" w:color="auto"/>
        </w:pBdr>
        <w:spacing w:line="259" w:lineRule="auto"/>
        <w:ind w:left="8222" w:hanging="8222"/>
        <w:jc w:val="center"/>
        <w:rPr>
          <w:rFonts w:ascii="Cambria" w:eastAsia="Cambria" w:hAnsi="Cambria" w:cs="Cambria"/>
          <w:sz w:val="20"/>
          <w:szCs w:val="20"/>
        </w:rPr>
      </w:pPr>
      <w:r w:rsidRPr="005B285E">
        <w:rPr>
          <w:rFonts w:ascii="Cambria" w:eastAsia="Cambria" w:hAnsi="Cambria" w:cs="Cambria"/>
          <w:b/>
          <w:sz w:val="20"/>
          <w:szCs w:val="20"/>
        </w:rPr>
        <w:t>WHALE SHARKS (</w:t>
      </w:r>
      <w:r w:rsidRPr="005B285E">
        <w:rPr>
          <w:rFonts w:ascii="Cambria" w:eastAsia="Cambria" w:hAnsi="Cambria" w:cs="Cambria"/>
          <w:b/>
          <w:i/>
          <w:sz w:val="20"/>
          <w:szCs w:val="20"/>
        </w:rPr>
        <w:t>RHINCODON</w:t>
      </w:r>
      <w:r w:rsidRPr="005B285E">
        <w:rPr>
          <w:rFonts w:ascii="Cambria" w:eastAsia="Cambria" w:hAnsi="Cambria" w:cs="Cambria"/>
          <w:b/>
          <w:sz w:val="20"/>
          <w:szCs w:val="20"/>
        </w:rPr>
        <w:t xml:space="preserve"> TYPUS) CAUGHT IN ASSOCIATION WITH ICCAT FISHERIES</w:t>
      </w:r>
    </w:p>
    <w:p w14:paraId="4283570F" w14:textId="1ED2680E" w:rsidR="00A10ED0" w:rsidRPr="00EF62B4" w:rsidRDefault="00A10ED0" w:rsidP="00A10ED0">
      <w:pPr>
        <w:jc w:val="center"/>
        <w:rPr>
          <w:rFonts w:ascii="Cambria" w:hAnsi="Cambria"/>
          <w:color w:val="FF0000"/>
          <w:sz w:val="20"/>
          <w:szCs w:val="20"/>
        </w:rPr>
      </w:pPr>
    </w:p>
    <w:p w14:paraId="402521E0" w14:textId="77777777" w:rsidR="00523C5F" w:rsidRDefault="00402F6D">
      <w:pPr>
        <w:tabs>
          <w:tab w:val="left" w:pos="480"/>
        </w:tabs>
        <w:jc w:val="both"/>
        <w:rPr>
          <w:rFonts w:ascii="Cambria" w:eastAsia="Cambria" w:hAnsi="Cambria" w:cs="Cambria"/>
          <w:i/>
          <w:sz w:val="20"/>
          <w:szCs w:val="20"/>
        </w:rPr>
      </w:pPr>
      <w:r w:rsidRPr="005B285E">
        <w:rPr>
          <w:rFonts w:ascii="Cambria" w:eastAsia="Cambria" w:hAnsi="Cambria" w:cs="Cambria"/>
          <w:i/>
          <w:sz w:val="20"/>
          <w:szCs w:val="20"/>
        </w:rPr>
        <w:tab/>
      </w:r>
    </w:p>
    <w:p w14:paraId="00000006" w14:textId="6B9155B4" w:rsidR="00A83B26" w:rsidRPr="005B285E" w:rsidRDefault="00523C5F">
      <w:pPr>
        <w:tabs>
          <w:tab w:val="left" w:pos="480"/>
        </w:tabs>
        <w:jc w:val="both"/>
        <w:rPr>
          <w:rFonts w:ascii="Cambria" w:eastAsia="Cambria" w:hAnsi="Cambria" w:cs="Cambria"/>
          <w:sz w:val="20"/>
          <w:szCs w:val="20"/>
        </w:rPr>
      </w:pPr>
      <w:r>
        <w:rPr>
          <w:rFonts w:ascii="Cambria" w:eastAsia="Cambria" w:hAnsi="Cambria" w:cs="Cambria"/>
          <w:i/>
          <w:sz w:val="20"/>
          <w:szCs w:val="20"/>
        </w:rPr>
        <w:tab/>
      </w:r>
      <w:r w:rsidR="00402F6D" w:rsidRPr="005B285E">
        <w:rPr>
          <w:rFonts w:ascii="Cambria" w:eastAsia="Cambria" w:hAnsi="Cambria" w:cs="Cambria"/>
          <w:i/>
          <w:sz w:val="20"/>
          <w:szCs w:val="20"/>
        </w:rPr>
        <w:t>NOTING</w:t>
      </w:r>
      <w:r w:rsidR="00402F6D" w:rsidRPr="005B285E">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elaboration of appropriate science-based conservation and management measures for ensuring the protection of such </w:t>
      </w:r>
      <w:proofErr w:type="gramStart"/>
      <w:r w:rsidR="00402F6D" w:rsidRPr="005B285E">
        <w:rPr>
          <w:rFonts w:ascii="Cambria" w:eastAsia="Cambria" w:hAnsi="Cambria" w:cs="Cambria"/>
          <w:sz w:val="20"/>
          <w:szCs w:val="20"/>
        </w:rPr>
        <w:t>species;</w:t>
      </w:r>
      <w:proofErr w:type="gramEnd"/>
    </w:p>
    <w:p w14:paraId="00000007" w14:textId="77777777" w:rsidR="00A83B26" w:rsidRPr="005B285E" w:rsidRDefault="00A83B26">
      <w:pPr>
        <w:tabs>
          <w:tab w:val="left" w:pos="480"/>
        </w:tabs>
        <w:jc w:val="both"/>
        <w:rPr>
          <w:rFonts w:ascii="Cambria" w:eastAsia="Cambria" w:hAnsi="Cambria" w:cs="Cambria"/>
          <w:sz w:val="20"/>
          <w:szCs w:val="20"/>
        </w:rPr>
      </w:pPr>
    </w:p>
    <w:p w14:paraId="00000008" w14:textId="77777777" w:rsidR="00A83B26" w:rsidRPr="005B285E" w:rsidRDefault="00402F6D">
      <w:pPr>
        <w:tabs>
          <w:tab w:val="left" w:pos="480"/>
        </w:tabs>
        <w:jc w:val="both"/>
        <w:rPr>
          <w:rFonts w:ascii="Cambria" w:eastAsia="Cambria" w:hAnsi="Cambria" w:cs="Cambria"/>
          <w:sz w:val="20"/>
          <w:szCs w:val="20"/>
        </w:rPr>
      </w:pPr>
      <w:r w:rsidRPr="005B285E">
        <w:rPr>
          <w:rFonts w:ascii="Cambria" w:eastAsia="Cambria" w:hAnsi="Cambria" w:cs="Cambria"/>
          <w:i/>
          <w:sz w:val="20"/>
          <w:szCs w:val="20"/>
        </w:rPr>
        <w:tab/>
        <w:t>RECALLING</w:t>
      </w:r>
      <w:r w:rsidRPr="005B285E">
        <w:rPr>
          <w:rFonts w:ascii="Cambria" w:eastAsia="Cambria" w:hAnsi="Cambria" w:cs="Cambria"/>
          <w:sz w:val="20"/>
          <w:szCs w:val="20"/>
        </w:rPr>
        <w:t xml:space="preserve"> the United Nations General Assembly Resolution 77/118 that, </w:t>
      </w:r>
      <w:r w:rsidRPr="005B285E">
        <w:rPr>
          <w:rFonts w:ascii="Cambria" w:eastAsia="Cambria" w:hAnsi="Cambria" w:cs="Cambria"/>
          <w:i/>
          <w:sz w:val="20"/>
          <w:szCs w:val="20"/>
        </w:rPr>
        <w:t>inter alia</w:t>
      </w:r>
      <w:r w:rsidRPr="005B285E">
        <w:rPr>
          <w:rFonts w:ascii="Cambria" w:eastAsia="Cambria" w:hAnsi="Cambria" w:cs="Cambria"/>
          <w:sz w:val="20"/>
          <w:szCs w:val="20"/>
        </w:rPr>
        <w:t>, requests States and Regional Fisheries Management Organisations (RFMOs), to strengthen or establish data-collection programmes to obtain reliable species-specific estimates of protected species incidentally caught in fisheries and to promote further research on the use of appropriate bycatch mitigation measures, as well as to implement the International guidelines on bycatch management and reduction of discards of the FAO;</w:t>
      </w:r>
    </w:p>
    <w:p w14:paraId="00000009" w14:textId="77777777" w:rsidR="00A83B26" w:rsidRPr="005B285E" w:rsidRDefault="00A83B26">
      <w:pPr>
        <w:tabs>
          <w:tab w:val="left" w:pos="480"/>
        </w:tabs>
        <w:jc w:val="both"/>
        <w:rPr>
          <w:rFonts w:ascii="Cambria" w:eastAsia="Cambria" w:hAnsi="Cambria" w:cs="Cambria"/>
          <w:sz w:val="20"/>
          <w:szCs w:val="20"/>
        </w:rPr>
      </w:pPr>
    </w:p>
    <w:p w14:paraId="0000000A" w14:textId="77777777" w:rsidR="00A83B26" w:rsidRPr="005B285E" w:rsidRDefault="00402F6D">
      <w:pPr>
        <w:tabs>
          <w:tab w:val="left" w:pos="480"/>
        </w:tabs>
        <w:jc w:val="both"/>
        <w:rPr>
          <w:rFonts w:ascii="Cambria" w:eastAsia="Cambria" w:hAnsi="Cambria" w:cs="Cambria"/>
          <w:sz w:val="20"/>
          <w:szCs w:val="20"/>
        </w:rPr>
      </w:pPr>
      <w:r w:rsidRPr="005B285E">
        <w:rPr>
          <w:rFonts w:ascii="Cambria" w:eastAsia="Cambria" w:hAnsi="Cambria" w:cs="Cambria"/>
          <w:sz w:val="20"/>
          <w:szCs w:val="20"/>
        </w:rPr>
        <w:tab/>
      </w:r>
      <w:r w:rsidRPr="005B285E">
        <w:rPr>
          <w:rFonts w:ascii="Cambria" w:eastAsia="Cambria" w:hAnsi="Cambria" w:cs="Cambria"/>
          <w:i/>
          <w:sz w:val="20"/>
          <w:szCs w:val="20"/>
        </w:rPr>
        <w:t>FURTHER</w:t>
      </w:r>
      <w:r w:rsidRPr="005B285E">
        <w:rPr>
          <w:rFonts w:ascii="Cambria" w:eastAsia="Cambria" w:hAnsi="Cambria" w:cs="Cambria"/>
          <w:sz w:val="20"/>
          <w:szCs w:val="20"/>
        </w:rPr>
        <w:t xml:space="preserve"> </w:t>
      </w:r>
      <w:r w:rsidRPr="005B285E">
        <w:rPr>
          <w:rFonts w:ascii="Cambria" w:eastAsia="Cambria" w:hAnsi="Cambria" w:cs="Cambria"/>
          <w:i/>
          <w:sz w:val="20"/>
          <w:szCs w:val="20"/>
        </w:rPr>
        <w:t>RECALLING</w:t>
      </w:r>
      <w:r w:rsidRPr="005B285E">
        <w:rPr>
          <w:rFonts w:ascii="Cambria" w:eastAsia="Cambria" w:hAnsi="Cambria" w:cs="Cambria"/>
          <w:sz w:val="20"/>
          <w:szCs w:val="20"/>
        </w:rPr>
        <w:t xml:space="preserve"> that other tuna RFMOs (e.g., IOTC Resolution 13/05, WCPFC CMM 2022-04, IATTC Resolution 19-06) have adopted conservation measures for the protection of whale sharks from interactions with fisheries falling under their </w:t>
      </w:r>
      <w:proofErr w:type="gramStart"/>
      <w:r w:rsidRPr="005B285E">
        <w:rPr>
          <w:rFonts w:ascii="Cambria" w:eastAsia="Cambria" w:hAnsi="Cambria" w:cs="Cambria"/>
          <w:sz w:val="20"/>
          <w:szCs w:val="20"/>
        </w:rPr>
        <w:t>purview;</w:t>
      </w:r>
      <w:proofErr w:type="gramEnd"/>
    </w:p>
    <w:p w14:paraId="0000000B" w14:textId="77777777" w:rsidR="00A83B26" w:rsidRPr="005B285E" w:rsidRDefault="00A83B26">
      <w:pPr>
        <w:tabs>
          <w:tab w:val="left" w:pos="480"/>
        </w:tabs>
        <w:jc w:val="both"/>
        <w:rPr>
          <w:rFonts w:ascii="Cambria" w:eastAsia="Cambria" w:hAnsi="Cambria" w:cs="Cambria"/>
          <w:sz w:val="20"/>
          <w:szCs w:val="20"/>
        </w:rPr>
      </w:pPr>
    </w:p>
    <w:p w14:paraId="0000000C" w14:textId="77777777" w:rsidR="00A83B26" w:rsidRPr="005B285E" w:rsidRDefault="00402F6D">
      <w:pPr>
        <w:tabs>
          <w:tab w:val="left" w:pos="480"/>
        </w:tabs>
        <w:jc w:val="both"/>
        <w:rPr>
          <w:rFonts w:ascii="Cambria" w:eastAsia="Cambria" w:hAnsi="Cambria" w:cs="Cambria"/>
          <w:sz w:val="20"/>
          <w:szCs w:val="20"/>
        </w:rPr>
      </w:pPr>
      <w:r w:rsidRPr="005B285E">
        <w:rPr>
          <w:rFonts w:ascii="Cambria" w:eastAsia="Cambria" w:hAnsi="Cambria" w:cs="Cambria"/>
          <w:i/>
          <w:sz w:val="20"/>
          <w:szCs w:val="20"/>
        </w:rPr>
        <w:tab/>
        <w:t xml:space="preserve">FURTHER NOTING </w:t>
      </w:r>
      <w:r w:rsidRPr="005B285E">
        <w:rPr>
          <w:rFonts w:ascii="Cambria" w:eastAsia="Cambria" w:hAnsi="Cambria" w:cs="Cambria"/>
          <w:sz w:val="20"/>
          <w:szCs w:val="20"/>
        </w:rPr>
        <w:t xml:space="preserve">that several scientific studies presented to the SCRS in recent years indicated that ICCAT fisheries, in particular those using purse seine gear, interact with whale sharks and that some purse seine fleets operating in the ICCAT Convention area already implement voluntarily existing best practices and procedures for the protection of whale </w:t>
      </w:r>
      <w:proofErr w:type="gramStart"/>
      <w:r w:rsidRPr="005B285E">
        <w:rPr>
          <w:rFonts w:ascii="Cambria" w:eastAsia="Cambria" w:hAnsi="Cambria" w:cs="Cambria"/>
          <w:sz w:val="20"/>
          <w:szCs w:val="20"/>
        </w:rPr>
        <w:t>sharks;</w:t>
      </w:r>
      <w:proofErr w:type="gramEnd"/>
    </w:p>
    <w:p w14:paraId="0000000D" w14:textId="77777777" w:rsidR="00A83B26" w:rsidRPr="005B285E" w:rsidRDefault="00A83B26">
      <w:pPr>
        <w:tabs>
          <w:tab w:val="left" w:pos="480"/>
        </w:tabs>
        <w:jc w:val="both"/>
        <w:rPr>
          <w:rFonts w:ascii="Cambria" w:eastAsia="Cambria" w:hAnsi="Cambria" w:cs="Cambria"/>
          <w:sz w:val="20"/>
          <w:szCs w:val="20"/>
        </w:rPr>
      </w:pPr>
    </w:p>
    <w:p w14:paraId="0000000E" w14:textId="77777777" w:rsidR="00A83B26" w:rsidRPr="005B285E" w:rsidRDefault="00402F6D">
      <w:pPr>
        <w:tabs>
          <w:tab w:val="left" w:pos="480"/>
        </w:tabs>
        <w:jc w:val="both"/>
        <w:rPr>
          <w:rFonts w:ascii="Cambria" w:eastAsia="Cambria" w:hAnsi="Cambria" w:cs="Cambria"/>
          <w:i/>
          <w:sz w:val="20"/>
          <w:szCs w:val="20"/>
        </w:rPr>
      </w:pPr>
      <w:r w:rsidRPr="005B285E">
        <w:rPr>
          <w:rFonts w:ascii="Cambria" w:eastAsia="Cambria" w:hAnsi="Cambria" w:cs="Cambria"/>
          <w:sz w:val="20"/>
          <w:szCs w:val="20"/>
        </w:rPr>
        <w:tab/>
      </w:r>
      <w:r w:rsidRPr="005B285E">
        <w:rPr>
          <w:rFonts w:ascii="Cambria" w:eastAsia="Cambria" w:hAnsi="Cambria" w:cs="Cambria"/>
          <w:i/>
          <w:sz w:val="20"/>
          <w:szCs w:val="20"/>
        </w:rPr>
        <w:t xml:space="preserve">FURTHER ACKNOWLEDGING </w:t>
      </w:r>
      <w:r w:rsidRPr="005B285E">
        <w:rPr>
          <w:rFonts w:ascii="Cambria" w:eastAsia="Cambria" w:hAnsi="Cambria" w:cs="Cambria"/>
          <w:sz w:val="20"/>
          <w:szCs w:val="20"/>
        </w:rPr>
        <w:t xml:space="preserve">that the SCRS has previously </w:t>
      </w:r>
      <w:hyperlink r:id="rId7">
        <w:r w:rsidRPr="005B285E">
          <w:rPr>
            <w:rFonts w:ascii="Cambria" w:eastAsia="Cambria" w:hAnsi="Cambria" w:cs="Cambria"/>
            <w:color w:val="000000"/>
            <w:sz w:val="20"/>
            <w:szCs w:val="20"/>
          </w:rPr>
          <w:t>advised</w:t>
        </w:r>
      </w:hyperlink>
      <w:r w:rsidRPr="005B285E">
        <w:rPr>
          <w:rFonts w:ascii="Cambria" w:eastAsia="Cambria" w:hAnsi="Cambria" w:cs="Cambria"/>
          <w:color w:val="000000"/>
          <w:sz w:val="20"/>
          <w:szCs w:val="20"/>
        </w:rPr>
        <w:t xml:space="preserve"> that “Precautionary management measures should be considered for stocks where there is the greatest biological vulnerability and conservation concern, and for which there are very few data</w:t>
      </w:r>
      <w:r w:rsidRPr="005B285E">
        <w:rPr>
          <w:rFonts w:ascii="Cambria" w:eastAsia="Cambria" w:hAnsi="Cambria" w:cs="Cambria"/>
          <w:sz w:val="20"/>
          <w:szCs w:val="20"/>
        </w:rPr>
        <w:t>”,</w:t>
      </w:r>
      <w:r w:rsidRPr="005B285E">
        <w:rPr>
          <w:sz w:val="20"/>
          <w:szCs w:val="20"/>
        </w:rPr>
        <w:t xml:space="preserve"> </w:t>
      </w:r>
      <w:r w:rsidRPr="005B285E">
        <w:rPr>
          <w:rFonts w:ascii="Cambria" w:eastAsia="Cambria" w:hAnsi="Cambria" w:cs="Cambria"/>
          <w:sz w:val="20"/>
          <w:szCs w:val="20"/>
        </w:rPr>
        <w:t>which could reasonably apply to whale sharks;</w:t>
      </w:r>
    </w:p>
    <w:p w14:paraId="0000000F" w14:textId="77777777" w:rsidR="00A83B26" w:rsidRPr="005B285E" w:rsidRDefault="00A83B26">
      <w:pPr>
        <w:ind w:firstLine="426"/>
        <w:jc w:val="both"/>
        <w:rPr>
          <w:rFonts w:ascii="Cambria" w:eastAsia="Cambria" w:hAnsi="Cambria" w:cs="Cambria"/>
          <w:i/>
          <w:sz w:val="20"/>
          <w:szCs w:val="20"/>
        </w:rPr>
      </w:pPr>
    </w:p>
    <w:p w14:paraId="00000010" w14:textId="204AE6CD" w:rsidR="00A83B26" w:rsidRPr="005B285E" w:rsidRDefault="00402F6D">
      <w:pPr>
        <w:tabs>
          <w:tab w:val="left" w:pos="480"/>
        </w:tabs>
        <w:jc w:val="both"/>
        <w:rPr>
          <w:rFonts w:ascii="Cambria" w:eastAsia="Cambria" w:hAnsi="Cambria" w:cs="Cambria"/>
          <w:sz w:val="20"/>
          <w:szCs w:val="20"/>
        </w:rPr>
      </w:pPr>
      <w:r w:rsidRPr="005B285E">
        <w:rPr>
          <w:rFonts w:ascii="Cambria" w:eastAsia="Cambria" w:hAnsi="Cambria" w:cs="Cambria"/>
          <w:i/>
          <w:sz w:val="20"/>
          <w:szCs w:val="20"/>
        </w:rPr>
        <w:tab/>
        <w:t xml:space="preserve">NOTING </w:t>
      </w:r>
      <w:r w:rsidRPr="005B285E">
        <w:rPr>
          <w:rFonts w:ascii="Cambria" w:eastAsia="Cambria" w:hAnsi="Cambria" w:cs="Cambria"/>
          <w:sz w:val="20"/>
          <w:szCs w:val="20"/>
        </w:rPr>
        <w:t>that, in its second performance review, in the chapter ‘Trends in the status of non-target species,’ the Review Panel recommended that “the precautionary approach be consistently applied for associated species considering that the assessments for these species are highly uncertain and that their status is often poorly known</w:t>
      </w:r>
      <w:proofErr w:type="gramStart"/>
      <w:r w:rsidRPr="005B285E">
        <w:rPr>
          <w:rFonts w:ascii="Cambria" w:eastAsia="Cambria" w:hAnsi="Cambria" w:cs="Cambria"/>
          <w:sz w:val="20"/>
          <w:szCs w:val="20"/>
        </w:rPr>
        <w:t>”;</w:t>
      </w:r>
      <w:proofErr w:type="gramEnd"/>
    </w:p>
    <w:p w14:paraId="00000011" w14:textId="77777777" w:rsidR="00A83B26" w:rsidRPr="005B285E" w:rsidRDefault="00A83B26">
      <w:pPr>
        <w:tabs>
          <w:tab w:val="left" w:pos="480"/>
        </w:tabs>
        <w:jc w:val="both"/>
        <w:rPr>
          <w:rFonts w:ascii="Cambria" w:eastAsia="Cambria" w:hAnsi="Cambria" w:cs="Cambria"/>
          <w:sz w:val="20"/>
          <w:szCs w:val="20"/>
        </w:rPr>
      </w:pPr>
    </w:p>
    <w:p w14:paraId="00000012" w14:textId="77777777" w:rsidR="00A83B26" w:rsidRPr="005B285E" w:rsidRDefault="00A83B26">
      <w:pPr>
        <w:tabs>
          <w:tab w:val="left" w:pos="480"/>
        </w:tabs>
        <w:jc w:val="both"/>
        <w:rPr>
          <w:rFonts w:ascii="Cambria" w:eastAsia="Cambria" w:hAnsi="Cambria" w:cs="Cambria"/>
          <w:sz w:val="20"/>
          <w:szCs w:val="20"/>
        </w:rPr>
      </w:pPr>
    </w:p>
    <w:p w14:paraId="00000013" w14:textId="77777777" w:rsidR="00A83B26" w:rsidRPr="005B285E" w:rsidRDefault="00402F6D">
      <w:pPr>
        <w:jc w:val="center"/>
        <w:rPr>
          <w:rFonts w:ascii="Cambria" w:eastAsia="Cambria" w:hAnsi="Cambria" w:cs="Cambria"/>
          <w:sz w:val="20"/>
          <w:szCs w:val="20"/>
        </w:rPr>
      </w:pPr>
      <w:r w:rsidRPr="005B285E">
        <w:rPr>
          <w:rFonts w:ascii="Cambria" w:eastAsia="Cambria" w:hAnsi="Cambria" w:cs="Cambria"/>
          <w:sz w:val="20"/>
          <w:szCs w:val="20"/>
        </w:rPr>
        <w:t>THE INTERNATIONAL COMMISSION FOR THE CONSERVATION</w:t>
      </w:r>
    </w:p>
    <w:p w14:paraId="00000014" w14:textId="77777777" w:rsidR="00A83B26" w:rsidRPr="005B285E" w:rsidRDefault="00402F6D">
      <w:pPr>
        <w:jc w:val="center"/>
        <w:rPr>
          <w:rFonts w:ascii="Cambria" w:eastAsia="Cambria" w:hAnsi="Cambria" w:cs="Cambria"/>
          <w:sz w:val="20"/>
          <w:szCs w:val="20"/>
        </w:rPr>
      </w:pPr>
      <w:r w:rsidRPr="005B285E">
        <w:rPr>
          <w:rFonts w:ascii="Cambria" w:eastAsia="Cambria" w:hAnsi="Cambria" w:cs="Cambria"/>
          <w:sz w:val="20"/>
          <w:szCs w:val="20"/>
        </w:rPr>
        <w:t>OF ATLANTIC TUNAS (ICCAT) RECOMMENDS THAT:</w:t>
      </w:r>
    </w:p>
    <w:p w14:paraId="00000015" w14:textId="77777777" w:rsidR="00A83B26" w:rsidRPr="005B285E" w:rsidRDefault="00A83B26">
      <w:pPr>
        <w:widowControl w:val="0"/>
        <w:ind w:left="426" w:hanging="426"/>
        <w:jc w:val="both"/>
        <w:rPr>
          <w:rFonts w:ascii="Cambria" w:eastAsia="Cambria" w:hAnsi="Cambria" w:cs="Cambria"/>
          <w:sz w:val="20"/>
          <w:szCs w:val="20"/>
        </w:rPr>
      </w:pPr>
    </w:p>
    <w:p w14:paraId="00000016"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CPCs shall prohibit their flagged fishing vessels from retaining on board, transhipping, or landing, in whole or in part, any specimen of whale shark (</w:t>
      </w:r>
      <w:r w:rsidRPr="005B285E">
        <w:rPr>
          <w:rFonts w:ascii="Cambria" w:eastAsia="Cambria" w:hAnsi="Cambria" w:cs="Cambria"/>
          <w:i/>
          <w:sz w:val="20"/>
          <w:szCs w:val="20"/>
        </w:rPr>
        <w:t>Rhincodon typus</w:t>
      </w:r>
      <w:r w:rsidRPr="005B285E">
        <w:rPr>
          <w:rFonts w:ascii="Cambria" w:eastAsia="Cambria" w:hAnsi="Cambria" w:cs="Cambria"/>
          <w:sz w:val="20"/>
          <w:szCs w:val="20"/>
        </w:rPr>
        <w:t>) caught in ICCAT fisheries.</w:t>
      </w:r>
    </w:p>
    <w:p w14:paraId="00000017" w14:textId="77777777" w:rsidR="00A83B26" w:rsidRPr="005B285E" w:rsidRDefault="00A83B26">
      <w:pPr>
        <w:widowControl w:val="0"/>
        <w:ind w:left="720"/>
        <w:jc w:val="both"/>
        <w:rPr>
          <w:rFonts w:ascii="Cambria" w:eastAsia="Cambria" w:hAnsi="Cambria" w:cs="Cambria"/>
          <w:sz w:val="20"/>
          <w:szCs w:val="20"/>
        </w:rPr>
      </w:pPr>
    </w:p>
    <w:p w14:paraId="00000018"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 xml:space="preserve">CPCs shall prohibit their flagged fishing vessels from setting a purse seine on a school of tuna associated with a whale shark if the animal is sighted prior to the commencement of the set. </w:t>
      </w:r>
    </w:p>
    <w:p w14:paraId="00000019" w14:textId="77777777" w:rsidR="00A83B26" w:rsidRPr="005B285E" w:rsidRDefault="00A83B26">
      <w:pPr>
        <w:widowControl w:val="0"/>
        <w:jc w:val="both"/>
        <w:rPr>
          <w:rFonts w:ascii="Cambria" w:eastAsia="Cambria" w:hAnsi="Cambria" w:cs="Cambria"/>
          <w:sz w:val="20"/>
          <w:szCs w:val="20"/>
        </w:rPr>
      </w:pPr>
    </w:p>
    <w:p w14:paraId="0000001A"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CPCs shall require that when a whale shark is incidentally encircled in the purse seine net, the master of the fishing vessel shall take all reasonable steps to ensure its safe release.</w:t>
      </w:r>
    </w:p>
    <w:p w14:paraId="0000001B" w14:textId="77777777" w:rsidR="00A83B26" w:rsidRPr="005B285E" w:rsidRDefault="00A83B26">
      <w:pPr>
        <w:pBdr>
          <w:top w:val="nil"/>
          <w:left w:val="nil"/>
          <w:bottom w:val="nil"/>
          <w:right w:val="nil"/>
          <w:between w:val="nil"/>
        </w:pBdr>
        <w:ind w:left="720"/>
        <w:rPr>
          <w:rFonts w:ascii="Cambria" w:eastAsia="Cambria" w:hAnsi="Cambria" w:cs="Cambria"/>
          <w:color w:val="000000"/>
          <w:sz w:val="20"/>
          <w:szCs w:val="20"/>
        </w:rPr>
      </w:pPr>
    </w:p>
    <w:p w14:paraId="0000001C"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color w:val="000000"/>
          <w:sz w:val="20"/>
          <w:szCs w:val="20"/>
        </w:rPr>
        <w:t xml:space="preserve">Until safe handling and release guidelines are developed and adopted pursuant to paragraph 9 below, CPCs should require the masters of their flag vessels, </w:t>
      </w:r>
      <w:r w:rsidRPr="005B285E">
        <w:rPr>
          <w:rFonts w:ascii="Cambria" w:eastAsia="Cambria" w:hAnsi="Cambria" w:cs="Cambria"/>
          <w:sz w:val="20"/>
          <w:szCs w:val="20"/>
        </w:rPr>
        <w:t xml:space="preserve">in taking steps to ensure the safe handling and release of a whale shark as required under paragraph 3 and while ensuring the safety of the crew, to apply the guidelines outlined in the </w:t>
      </w:r>
      <w:r w:rsidRPr="005B285E">
        <w:rPr>
          <w:rFonts w:ascii="Cambria" w:eastAsia="Cambria" w:hAnsi="Cambria" w:cs="Cambria"/>
          <w:b/>
          <w:sz w:val="20"/>
          <w:szCs w:val="20"/>
        </w:rPr>
        <w:t>Annex 1</w:t>
      </w:r>
      <w:r w:rsidRPr="005B285E">
        <w:rPr>
          <w:rFonts w:ascii="Cambria" w:eastAsia="Cambria" w:hAnsi="Cambria" w:cs="Cambria"/>
          <w:sz w:val="20"/>
          <w:szCs w:val="20"/>
        </w:rPr>
        <w:t>.</w:t>
      </w:r>
    </w:p>
    <w:p w14:paraId="0000001D" w14:textId="77777777" w:rsidR="00A83B26" w:rsidRPr="005B285E" w:rsidRDefault="00402F6D">
      <w:pPr>
        <w:tabs>
          <w:tab w:val="left" w:pos="5135"/>
        </w:tabs>
        <w:rPr>
          <w:rFonts w:ascii="Cambria" w:eastAsia="Cambria" w:hAnsi="Cambria" w:cs="Cambria"/>
          <w:sz w:val="20"/>
          <w:szCs w:val="20"/>
        </w:rPr>
      </w:pPr>
      <w:r w:rsidRPr="005B285E">
        <w:rPr>
          <w:rFonts w:ascii="Cambria" w:eastAsia="Cambria" w:hAnsi="Cambria" w:cs="Cambria"/>
          <w:sz w:val="20"/>
          <w:szCs w:val="20"/>
        </w:rPr>
        <w:tab/>
      </w:r>
    </w:p>
    <w:p w14:paraId="0000001E" w14:textId="77777777" w:rsidR="00A83B26" w:rsidRPr="005B285E" w:rsidRDefault="00402F6D">
      <w:pPr>
        <w:tabs>
          <w:tab w:val="left" w:pos="5135"/>
        </w:tabs>
        <w:rPr>
          <w:rFonts w:ascii="Cambria" w:eastAsia="Cambria" w:hAnsi="Cambria" w:cs="Cambria"/>
          <w:sz w:val="20"/>
          <w:szCs w:val="20"/>
        </w:rPr>
      </w:pPr>
      <w:r w:rsidRPr="005B285E">
        <w:br w:type="page"/>
      </w:r>
    </w:p>
    <w:p w14:paraId="0000001F"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lastRenderedPageBreak/>
        <w:t xml:space="preserve">CPCs shall ensure that, </w:t>
      </w:r>
      <w:r w:rsidRPr="005B285E">
        <w:rPr>
          <w:rFonts w:ascii="Cambria" w:eastAsia="Cambria" w:hAnsi="Cambria" w:cs="Cambria"/>
          <w:color w:val="000000"/>
          <w:sz w:val="20"/>
          <w:szCs w:val="20"/>
        </w:rPr>
        <w:t xml:space="preserve">consistent with the requirements of </w:t>
      </w:r>
      <w:r w:rsidRPr="005B285E">
        <w:rPr>
          <w:rFonts w:ascii="Cambria" w:eastAsia="Cambria" w:hAnsi="Cambria" w:cs="Cambria"/>
          <w:i/>
          <w:color w:val="000000"/>
          <w:sz w:val="20"/>
          <w:szCs w:val="20"/>
        </w:rPr>
        <w:t>Recommendation by ICCAT to establish minimum standards for fishing vessel scientific observer programmes</w:t>
      </w:r>
      <w:r w:rsidRPr="005B285E">
        <w:rPr>
          <w:rFonts w:ascii="Cambria" w:eastAsia="Cambria" w:hAnsi="Cambria" w:cs="Cambria"/>
          <w:color w:val="000000"/>
          <w:sz w:val="20"/>
          <w:szCs w:val="20"/>
        </w:rPr>
        <w:t xml:space="preserve"> (Rec. 16-14), </w:t>
      </w:r>
      <w:r w:rsidRPr="005B285E">
        <w:rPr>
          <w:rFonts w:ascii="Cambria" w:eastAsia="Cambria" w:hAnsi="Cambria" w:cs="Cambria"/>
          <w:sz w:val="20"/>
          <w:szCs w:val="20"/>
        </w:rPr>
        <w:t xml:space="preserve">interactions with whale sharks during purse seine operations are recorded </w:t>
      </w:r>
      <w:r w:rsidRPr="005B285E">
        <w:rPr>
          <w:rFonts w:ascii="Cambria" w:eastAsia="Cambria" w:hAnsi="Cambria" w:cs="Cambria"/>
          <w:color w:val="000000"/>
          <w:sz w:val="20"/>
          <w:szCs w:val="20"/>
        </w:rPr>
        <w:t>through their domestic observer programmes. The following information will also be collected</w:t>
      </w:r>
      <w:r w:rsidRPr="005B285E">
        <w:rPr>
          <w:rFonts w:ascii="Cambria" w:eastAsia="Cambria" w:hAnsi="Cambria" w:cs="Cambria"/>
          <w:sz w:val="20"/>
          <w:szCs w:val="20"/>
        </w:rPr>
        <w:t>: i)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whale shark specimen(s) upon release (alive/dead/moribund/uncertain).</w:t>
      </w:r>
    </w:p>
    <w:p w14:paraId="00000020" w14:textId="77777777" w:rsidR="00A83B26" w:rsidRPr="005B285E" w:rsidRDefault="00A83B26">
      <w:pPr>
        <w:pBdr>
          <w:top w:val="nil"/>
          <w:left w:val="nil"/>
          <w:bottom w:val="nil"/>
          <w:right w:val="nil"/>
          <w:between w:val="nil"/>
        </w:pBdr>
        <w:ind w:left="720"/>
        <w:rPr>
          <w:rFonts w:ascii="Cambria" w:eastAsia="Cambria" w:hAnsi="Cambria" w:cs="Cambria"/>
          <w:color w:val="000000"/>
          <w:sz w:val="20"/>
          <w:szCs w:val="20"/>
        </w:rPr>
      </w:pPr>
    </w:p>
    <w:p w14:paraId="00000021"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CPCs shall report the data and information collected under paragraph 5 in their Annual Reports and, in the case of data collected through observer programmes, to the Secretariat in accordance with ICCAT data reporting requirements.</w:t>
      </w:r>
    </w:p>
    <w:p w14:paraId="00000022" w14:textId="77777777" w:rsidR="00A83B26" w:rsidRPr="005B285E" w:rsidRDefault="00A83B26">
      <w:pPr>
        <w:widowControl w:val="0"/>
        <w:jc w:val="both"/>
        <w:rPr>
          <w:rFonts w:ascii="Cambria" w:eastAsia="Cambria" w:hAnsi="Cambria" w:cs="Cambria"/>
          <w:sz w:val="20"/>
          <w:szCs w:val="20"/>
        </w:rPr>
      </w:pPr>
    </w:p>
    <w:p w14:paraId="00000023"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Paragraph 1-6 shall not apply to fishing vessels operating exclusively North of 40° N or South of 40° S (i.e., outside the core geographic range of whale shark in the Atlantic Ocean).</w:t>
      </w:r>
    </w:p>
    <w:p w14:paraId="00000024" w14:textId="77777777" w:rsidR="00A83B26" w:rsidRPr="005B285E" w:rsidRDefault="00A83B26">
      <w:pPr>
        <w:widowControl w:val="0"/>
        <w:jc w:val="both"/>
        <w:rPr>
          <w:rFonts w:ascii="Cambria" w:eastAsia="Cambria" w:hAnsi="Cambria" w:cs="Cambria"/>
          <w:sz w:val="20"/>
          <w:szCs w:val="20"/>
        </w:rPr>
      </w:pPr>
    </w:p>
    <w:p w14:paraId="00000025" w14:textId="1352C41A" w:rsidR="00A83B26" w:rsidRPr="005B285E" w:rsidRDefault="00402F6D">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5B285E">
        <w:rPr>
          <w:rFonts w:ascii="Cambria" w:eastAsia="Cambria" w:hAnsi="Cambria" w:cs="Cambria"/>
          <w:color w:val="000000"/>
          <w:sz w:val="20"/>
          <w:szCs w:val="20"/>
        </w:rPr>
        <w:t>The SCRS shall, in 2024, review existing data and information relating to the life history and conservation status of whale sharks, and confirm whether they meet the definition of being a taxon of the greatest biological vulnerability and conservation concern for which there are very few data. Should this be the case, the SCRS shall advise on the appropriateness of applying precautionary management measures in ICCAT fisheries, such as a retention ban. The SCRS may also identify options for future research and data collection, as well as advise on other mitigation measures for relevant ICCAT fisheries.</w:t>
      </w:r>
    </w:p>
    <w:p w14:paraId="00000026" w14:textId="77777777" w:rsidR="00A83B26" w:rsidRPr="005B285E" w:rsidRDefault="00A83B26">
      <w:pPr>
        <w:jc w:val="both"/>
        <w:rPr>
          <w:rFonts w:ascii="Cambria" w:eastAsia="Cambria" w:hAnsi="Cambria" w:cs="Cambria"/>
          <w:sz w:val="20"/>
          <w:szCs w:val="20"/>
        </w:rPr>
      </w:pPr>
    </w:p>
    <w:p w14:paraId="00000027"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 xml:space="preserve">The Commission invites the SCRS to review and endorse, at its best convenience, the geographic boundaries in paragraph 7 and the guidelines for the safe release of encircled whale sharks in </w:t>
      </w:r>
      <w:r w:rsidRPr="005B285E">
        <w:rPr>
          <w:rFonts w:ascii="Cambria" w:eastAsia="Cambria" w:hAnsi="Cambria" w:cs="Cambria"/>
          <w:b/>
          <w:sz w:val="20"/>
          <w:szCs w:val="20"/>
        </w:rPr>
        <w:t>Annex 1</w:t>
      </w:r>
      <w:r w:rsidRPr="005B285E">
        <w:rPr>
          <w:rFonts w:ascii="Cambria" w:eastAsia="Cambria" w:hAnsi="Cambria" w:cs="Cambria"/>
          <w:sz w:val="20"/>
          <w:szCs w:val="20"/>
        </w:rPr>
        <w:t xml:space="preserve">, </w:t>
      </w:r>
      <w:proofErr w:type="gramStart"/>
      <w:r w:rsidRPr="005B285E">
        <w:rPr>
          <w:rFonts w:ascii="Cambria" w:eastAsia="Cambria" w:hAnsi="Cambria" w:cs="Cambria"/>
          <w:sz w:val="20"/>
          <w:szCs w:val="20"/>
        </w:rPr>
        <w:t>taking into account</w:t>
      </w:r>
      <w:proofErr w:type="gramEnd"/>
      <w:r w:rsidRPr="005B285E">
        <w:rPr>
          <w:rFonts w:ascii="Cambria" w:eastAsia="Cambria" w:hAnsi="Cambria" w:cs="Cambria"/>
          <w:sz w:val="20"/>
          <w:szCs w:val="20"/>
        </w:rPr>
        <w:t xml:space="preserve"> those developed in other RFMOs.</w:t>
      </w:r>
    </w:p>
    <w:p w14:paraId="00000028" w14:textId="77777777" w:rsidR="00A83B26" w:rsidRPr="005B285E" w:rsidRDefault="00A83B26">
      <w:pPr>
        <w:ind w:left="720"/>
        <w:rPr>
          <w:rFonts w:ascii="Cambria" w:eastAsia="Cambria" w:hAnsi="Cambria" w:cs="Cambria"/>
          <w:sz w:val="20"/>
          <w:szCs w:val="20"/>
        </w:rPr>
      </w:pPr>
    </w:p>
    <w:p w14:paraId="00000029" w14:textId="77777777" w:rsidR="00A83B26" w:rsidRPr="005B285E" w:rsidRDefault="00402F6D">
      <w:pPr>
        <w:widowControl w:val="0"/>
        <w:numPr>
          <w:ilvl w:val="0"/>
          <w:numId w:val="1"/>
        </w:numPr>
        <w:ind w:left="426" w:hanging="426"/>
        <w:jc w:val="both"/>
        <w:rPr>
          <w:rFonts w:ascii="Cambria" w:eastAsia="Cambria" w:hAnsi="Cambria" w:cs="Cambria"/>
          <w:sz w:val="20"/>
          <w:szCs w:val="20"/>
        </w:rPr>
      </w:pPr>
      <w:r w:rsidRPr="005B285E">
        <w:rPr>
          <w:rFonts w:ascii="Cambria" w:eastAsia="Cambria" w:hAnsi="Cambria" w:cs="Cambria"/>
          <w:sz w:val="20"/>
          <w:szCs w:val="20"/>
        </w:rPr>
        <w:t xml:space="preserve">Noting that the effectiveness of various release methods is still to be evaluated, CPCs are encouraged to undertake research activities on handling and release practices ensuring high post release survival rates for whale sharks caught incidentally during purse seine operations.   </w:t>
      </w:r>
    </w:p>
    <w:p w14:paraId="0000002A" w14:textId="77777777" w:rsidR="00A83B26" w:rsidRPr="005B285E" w:rsidRDefault="00A83B26">
      <w:pPr>
        <w:widowControl w:val="0"/>
        <w:jc w:val="both"/>
        <w:rPr>
          <w:rFonts w:ascii="Cambria" w:eastAsia="Cambria" w:hAnsi="Cambria" w:cs="Cambria"/>
          <w:sz w:val="20"/>
          <w:szCs w:val="20"/>
        </w:rPr>
      </w:pPr>
    </w:p>
    <w:p w14:paraId="0000002B" w14:textId="77777777" w:rsidR="00A83B26" w:rsidRPr="005B285E" w:rsidRDefault="00402F6D">
      <w:pPr>
        <w:jc w:val="both"/>
        <w:rPr>
          <w:rFonts w:ascii="Cambria" w:eastAsia="Cambria" w:hAnsi="Cambria" w:cs="Cambria"/>
          <w:b/>
          <w:sz w:val="20"/>
          <w:szCs w:val="20"/>
        </w:rPr>
      </w:pPr>
      <w:r w:rsidRPr="005B285E">
        <w:rPr>
          <w:rFonts w:ascii="Cambria" w:eastAsia="Cambria" w:hAnsi="Cambria" w:cs="Cambria"/>
          <w:b/>
          <w:sz w:val="20"/>
          <w:szCs w:val="20"/>
        </w:rPr>
        <w:t>Entry into force</w:t>
      </w:r>
    </w:p>
    <w:p w14:paraId="0000002C" w14:textId="77777777" w:rsidR="00A83B26" w:rsidRPr="005B285E" w:rsidRDefault="00A83B26">
      <w:pPr>
        <w:jc w:val="both"/>
        <w:rPr>
          <w:rFonts w:ascii="Cambria" w:eastAsia="Cambria" w:hAnsi="Cambria" w:cs="Cambria"/>
          <w:b/>
          <w:sz w:val="20"/>
          <w:szCs w:val="20"/>
        </w:rPr>
      </w:pPr>
    </w:p>
    <w:p w14:paraId="0000002D" w14:textId="18EE025C" w:rsidR="00A83B26" w:rsidRPr="005B285E" w:rsidRDefault="00402F6D">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5B285E">
        <w:rPr>
          <w:rFonts w:ascii="Cambria" w:eastAsia="Cambria" w:hAnsi="Cambria" w:cs="Cambria"/>
          <w:color w:val="000000"/>
          <w:sz w:val="20"/>
          <w:szCs w:val="20"/>
        </w:rPr>
        <w:t>Notwithstanding Article VIII of the ICCAT Convention, CPCs shall implement this Recommendation no later than 1 January 2025 provided the terms of paragraph 12 are met.</w:t>
      </w:r>
    </w:p>
    <w:p w14:paraId="0000002E" w14:textId="77777777" w:rsidR="00A83B26" w:rsidRPr="005B285E" w:rsidRDefault="00A83B26">
      <w:pPr>
        <w:pBdr>
          <w:top w:val="nil"/>
          <w:left w:val="nil"/>
          <w:bottom w:val="nil"/>
          <w:right w:val="nil"/>
          <w:between w:val="nil"/>
        </w:pBdr>
        <w:ind w:left="426"/>
        <w:jc w:val="both"/>
        <w:rPr>
          <w:rFonts w:ascii="Cambria" w:eastAsia="Cambria" w:hAnsi="Cambria" w:cs="Cambria"/>
          <w:color w:val="000000"/>
          <w:sz w:val="20"/>
          <w:szCs w:val="20"/>
        </w:rPr>
      </w:pPr>
    </w:p>
    <w:p w14:paraId="0000002F" w14:textId="507B4002" w:rsidR="00A83B26" w:rsidRPr="005B285E" w:rsidRDefault="00402F6D">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5B285E">
        <w:rPr>
          <w:rFonts w:ascii="Cambria" w:eastAsia="Cambria" w:hAnsi="Cambria" w:cs="Cambria"/>
          <w:color w:val="000000"/>
          <w:sz w:val="20"/>
          <w:szCs w:val="20"/>
        </w:rPr>
        <w:t>Only if there is a consensus on the interpretation of the SCRS advice at the 2024 Annual Meeting of the Commission will this Recommendation enter into force as scheduled in paragraph 11.</w:t>
      </w:r>
    </w:p>
    <w:p w14:paraId="00000030" w14:textId="77777777" w:rsidR="00A83B26" w:rsidRPr="005B285E" w:rsidRDefault="00A83B26">
      <w:pPr>
        <w:widowControl w:val="0"/>
        <w:ind w:left="426" w:hanging="426"/>
        <w:jc w:val="both"/>
        <w:rPr>
          <w:rFonts w:ascii="Cambria" w:eastAsia="Cambria" w:hAnsi="Cambria" w:cs="Cambria"/>
          <w:sz w:val="20"/>
          <w:szCs w:val="20"/>
        </w:rPr>
      </w:pPr>
    </w:p>
    <w:p w14:paraId="00000031" w14:textId="77777777" w:rsidR="00A83B26" w:rsidRPr="005B285E" w:rsidRDefault="00402F6D">
      <w:pPr>
        <w:rPr>
          <w:rFonts w:ascii="Cambria" w:eastAsia="Cambria" w:hAnsi="Cambria" w:cs="Cambria"/>
          <w:b/>
          <w:sz w:val="20"/>
          <w:szCs w:val="20"/>
        </w:rPr>
      </w:pPr>
      <w:r w:rsidRPr="005B285E">
        <w:br w:type="page"/>
      </w:r>
    </w:p>
    <w:p w14:paraId="00000032" w14:textId="77777777" w:rsidR="00A83B26" w:rsidRPr="005B285E" w:rsidRDefault="00402F6D">
      <w:pPr>
        <w:widowControl w:val="0"/>
        <w:ind w:left="426" w:hanging="426"/>
        <w:jc w:val="right"/>
        <w:rPr>
          <w:rFonts w:ascii="Cambria" w:eastAsia="Cambria" w:hAnsi="Cambria" w:cs="Cambria"/>
          <w:b/>
          <w:sz w:val="20"/>
          <w:szCs w:val="20"/>
        </w:rPr>
      </w:pPr>
      <w:r w:rsidRPr="005B285E">
        <w:rPr>
          <w:rFonts w:ascii="Cambria" w:eastAsia="Cambria" w:hAnsi="Cambria" w:cs="Cambria"/>
          <w:b/>
          <w:sz w:val="20"/>
          <w:szCs w:val="20"/>
        </w:rPr>
        <w:lastRenderedPageBreak/>
        <w:t>Annex 1</w:t>
      </w:r>
    </w:p>
    <w:p w14:paraId="00000033" w14:textId="77777777" w:rsidR="00A83B26" w:rsidRPr="005B285E" w:rsidRDefault="00A83B26">
      <w:pPr>
        <w:widowControl w:val="0"/>
        <w:ind w:left="426" w:hanging="426"/>
        <w:jc w:val="right"/>
        <w:rPr>
          <w:rFonts w:ascii="Cambria" w:eastAsia="Cambria" w:hAnsi="Cambria" w:cs="Cambria"/>
          <w:b/>
          <w:sz w:val="20"/>
          <w:szCs w:val="20"/>
        </w:rPr>
      </w:pPr>
    </w:p>
    <w:p w14:paraId="00000034" w14:textId="77777777" w:rsidR="00A83B26" w:rsidRPr="005B285E" w:rsidRDefault="00402F6D">
      <w:pPr>
        <w:widowControl w:val="0"/>
        <w:jc w:val="center"/>
        <w:rPr>
          <w:rFonts w:ascii="Cambria" w:eastAsia="Cambria" w:hAnsi="Cambria" w:cs="Cambria"/>
          <w:b/>
          <w:sz w:val="20"/>
          <w:szCs w:val="20"/>
        </w:rPr>
      </w:pPr>
      <w:r w:rsidRPr="005B285E">
        <w:rPr>
          <w:rFonts w:ascii="Cambria" w:eastAsia="Cambria" w:hAnsi="Cambria" w:cs="Cambria"/>
          <w:b/>
          <w:sz w:val="20"/>
          <w:szCs w:val="20"/>
        </w:rPr>
        <w:t>Guidelines for safe handling and release of whale sharks</w:t>
      </w:r>
    </w:p>
    <w:p w14:paraId="00000035" w14:textId="77777777" w:rsidR="00A83B26" w:rsidRPr="005B285E" w:rsidRDefault="00A83B26">
      <w:pPr>
        <w:widowControl w:val="0"/>
        <w:ind w:left="426" w:hanging="426"/>
        <w:jc w:val="center"/>
        <w:rPr>
          <w:rFonts w:ascii="Cambria" w:eastAsia="Cambria" w:hAnsi="Cambria" w:cs="Cambria"/>
          <w:b/>
          <w:sz w:val="20"/>
          <w:szCs w:val="20"/>
        </w:rPr>
      </w:pPr>
    </w:p>
    <w:p w14:paraId="00000036" w14:textId="77777777" w:rsidR="00A83B26" w:rsidRPr="005B285E" w:rsidRDefault="00402F6D">
      <w:pPr>
        <w:widowControl w:val="0"/>
        <w:numPr>
          <w:ilvl w:val="0"/>
          <w:numId w:val="2"/>
        </w:numPr>
        <w:ind w:left="426" w:hanging="426"/>
        <w:jc w:val="both"/>
        <w:rPr>
          <w:rFonts w:ascii="Cambria" w:eastAsia="Cambria" w:hAnsi="Cambria" w:cs="Cambria"/>
          <w:sz w:val="20"/>
          <w:szCs w:val="20"/>
        </w:rPr>
      </w:pPr>
      <w:r w:rsidRPr="005B285E">
        <w:rPr>
          <w:rFonts w:ascii="Cambria" w:eastAsia="Cambria" w:hAnsi="Cambria" w:cs="Cambria"/>
          <w:sz w:val="20"/>
          <w:szCs w:val="20"/>
        </w:rPr>
        <w:t>In the ICCAT Convention area, the following practices should be used when releasing whale sharks incidentally caught in ICCAT fisheries:</w:t>
      </w:r>
    </w:p>
    <w:p w14:paraId="00000037" w14:textId="77777777" w:rsidR="00A83B26" w:rsidRPr="005B285E" w:rsidRDefault="00A83B26">
      <w:pPr>
        <w:widowControl w:val="0"/>
        <w:jc w:val="both"/>
        <w:rPr>
          <w:rFonts w:ascii="Cambria" w:eastAsia="Cambria" w:hAnsi="Cambria" w:cs="Cambria"/>
          <w:sz w:val="20"/>
          <w:szCs w:val="20"/>
        </w:rPr>
      </w:pPr>
    </w:p>
    <w:p w14:paraId="00000038" w14:textId="54C419EF" w:rsidR="00A83B26" w:rsidRPr="005B285E" w:rsidRDefault="00402F6D">
      <w:pPr>
        <w:widowControl w:val="0"/>
        <w:numPr>
          <w:ilvl w:val="0"/>
          <w:numId w:val="3"/>
        </w:numPr>
        <w:ind w:left="709" w:hanging="283"/>
        <w:jc w:val="both"/>
        <w:rPr>
          <w:rFonts w:ascii="Cambria" w:eastAsia="Cambria" w:hAnsi="Cambria" w:cs="Cambria"/>
          <w:sz w:val="20"/>
          <w:szCs w:val="20"/>
        </w:rPr>
      </w:pPr>
      <w:r w:rsidRPr="005B285E">
        <w:rPr>
          <w:rFonts w:ascii="Cambria" w:eastAsia="Cambria" w:hAnsi="Cambria" w:cs="Cambria"/>
          <w:sz w:val="20"/>
          <w:szCs w:val="20"/>
        </w:rPr>
        <w:t>Use the sail brail or dip net to lift and release the whale sharks, an operation also defined as “brailing”. This operation is to be used when specimens smaller than 2 meters are caught, to release them directly in open water, without bringing them on board; or</w:t>
      </w:r>
    </w:p>
    <w:p w14:paraId="00000039" w14:textId="77777777" w:rsidR="00A83B26" w:rsidRPr="005B285E" w:rsidRDefault="00A83B26">
      <w:pPr>
        <w:widowControl w:val="0"/>
        <w:ind w:left="709" w:hanging="283"/>
        <w:jc w:val="both"/>
        <w:rPr>
          <w:rFonts w:ascii="Cambria" w:eastAsia="Cambria" w:hAnsi="Cambria" w:cs="Cambria"/>
          <w:sz w:val="20"/>
          <w:szCs w:val="20"/>
        </w:rPr>
      </w:pPr>
    </w:p>
    <w:p w14:paraId="0000003A" w14:textId="13403ED0" w:rsidR="00A83B26" w:rsidRPr="005B285E" w:rsidRDefault="00402F6D">
      <w:pPr>
        <w:widowControl w:val="0"/>
        <w:numPr>
          <w:ilvl w:val="0"/>
          <w:numId w:val="3"/>
        </w:numPr>
        <w:ind w:left="709" w:hanging="283"/>
        <w:jc w:val="both"/>
        <w:rPr>
          <w:rFonts w:ascii="Cambria" w:eastAsia="Cambria" w:hAnsi="Cambria" w:cs="Cambria"/>
          <w:sz w:val="20"/>
          <w:szCs w:val="20"/>
        </w:rPr>
      </w:pPr>
      <w:r w:rsidRPr="005B285E">
        <w:rPr>
          <w:rFonts w:ascii="Cambria" w:eastAsia="Cambria" w:hAnsi="Cambria" w:cs="Cambria"/>
          <w:sz w:val="20"/>
          <w:szCs w:val="20"/>
        </w:rPr>
        <w:t>Sink the cork line so the whale shark rolls out of the net. If the individual does not go out of the net by itself, place a rope under the animal and attach it to the float line to help it roll out of the net; or</w:t>
      </w:r>
    </w:p>
    <w:p w14:paraId="0000003B" w14:textId="77777777" w:rsidR="00A83B26" w:rsidRPr="005B285E" w:rsidRDefault="00A83B26">
      <w:pPr>
        <w:ind w:left="709" w:hanging="283"/>
        <w:rPr>
          <w:rFonts w:ascii="Cambria" w:eastAsia="Cambria" w:hAnsi="Cambria" w:cs="Cambria"/>
          <w:sz w:val="20"/>
          <w:szCs w:val="20"/>
        </w:rPr>
      </w:pPr>
    </w:p>
    <w:p w14:paraId="0000003C" w14:textId="77777777" w:rsidR="00A83B26" w:rsidRPr="005B285E" w:rsidRDefault="00402F6D">
      <w:pPr>
        <w:widowControl w:val="0"/>
        <w:numPr>
          <w:ilvl w:val="0"/>
          <w:numId w:val="3"/>
        </w:numPr>
        <w:ind w:left="709" w:hanging="283"/>
        <w:jc w:val="both"/>
        <w:rPr>
          <w:rFonts w:ascii="Cambria" w:eastAsia="Cambria" w:hAnsi="Cambria" w:cs="Cambria"/>
          <w:sz w:val="20"/>
          <w:szCs w:val="20"/>
        </w:rPr>
      </w:pPr>
      <w:r w:rsidRPr="005B285E">
        <w:rPr>
          <w:rFonts w:ascii="Cambria" w:eastAsia="Cambria" w:hAnsi="Cambria" w:cs="Cambria"/>
          <w:sz w:val="20"/>
          <w:szCs w:val="20"/>
        </w:rPr>
        <w:t>Cut a few meters of the net in front of the whale shark.</w:t>
      </w:r>
    </w:p>
    <w:p w14:paraId="0000003D" w14:textId="77777777" w:rsidR="00A83B26" w:rsidRPr="005B285E" w:rsidRDefault="00A83B26">
      <w:pPr>
        <w:widowControl w:val="0"/>
        <w:ind w:left="720"/>
        <w:jc w:val="both"/>
        <w:rPr>
          <w:rFonts w:ascii="Cambria" w:eastAsia="Cambria" w:hAnsi="Cambria" w:cs="Cambria"/>
          <w:sz w:val="20"/>
          <w:szCs w:val="20"/>
        </w:rPr>
      </w:pPr>
    </w:p>
    <w:p w14:paraId="0000003E" w14:textId="77777777" w:rsidR="00A83B26" w:rsidRPr="005B285E" w:rsidRDefault="00A83B26">
      <w:pPr>
        <w:widowControl w:val="0"/>
        <w:ind w:left="720"/>
        <w:jc w:val="both"/>
        <w:rPr>
          <w:rFonts w:ascii="Cambria" w:eastAsia="Cambria" w:hAnsi="Cambria" w:cs="Cambria"/>
          <w:sz w:val="20"/>
          <w:szCs w:val="20"/>
        </w:rPr>
      </w:pPr>
    </w:p>
    <w:p w14:paraId="0000003F" w14:textId="77777777" w:rsidR="00A83B26" w:rsidRPr="005B285E" w:rsidRDefault="00402F6D">
      <w:pPr>
        <w:widowControl w:val="0"/>
        <w:numPr>
          <w:ilvl w:val="0"/>
          <w:numId w:val="2"/>
        </w:numPr>
        <w:ind w:left="426" w:hanging="426"/>
        <w:jc w:val="both"/>
        <w:rPr>
          <w:rFonts w:ascii="Cambria" w:eastAsia="Cambria" w:hAnsi="Cambria" w:cs="Cambria"/>
          <w:sz w:val="20"/>
          <w:szCs w:val="20"/>
        </w:rPr>
      </w:pPr>
      <w:r w:rsidRPr="005B285E">
        <w:rPr>
          <w:rFonts w:ascii="Cambria" w:eastAsia="Cambria" w:hAnsi="Cambria" w:cs="Cambria"/>
          <w:sz w:val="20"/>
          <w:szCs w:val="20"/>
        </w:rPr>
        <w:t>In the ICCAT Convention area, the following practices should be avoided when releasing</w:t>
      </w:r>
      <w:r w:rsidRPr="005B285E">
        <w:rPr>
          <w:rFonts w:ascii="Calibri" w:eastAsia="Calibri" w:hAnsi="Calibri" w:cs="Calibri"/>
          <w:sz w:val="20"/>
          <w:szCs w:val="20"/>
        </w:rPr>
        <w:br/>
      </w:r>
      <w:r w:rsidRPr="005B285E">
        <w:rPr>
          <w:rFonts w:ascii="Cambria" w:eastAsia="Cambria" w:hAnsi="Cambria" w:cs="Cambria"/>
          <w:sz w:val="20"/>
          <w:szCs w:val="20"/>
        </w:rPr>
        <w:t>whale sharks incidentally caught in ICCAT fisheries:</w:t>
      </w:r>
    </w:p>
    <w:p w14:paraId="00000040" w14:textId="77777777" w:rsidR="00A83B26" w:rsidRPr="005B285E" w:rsidRDefault="00A83B26">
      <w:pPr>
        <w:widowControl w:val="0"/>
        <w:ind w:left="720"/>
        <w:jc w:val="both"/>
        <w:rPr>
          <w:rFonts w:ascii="Cambria" w:eastAsia="Cambria" w:hAnsi="Cambria" w:cs="Cambria"/>
          <w:sz w:val="20"/>
          <w:szCs w:val="20"/>
        </w:rPr>
      </w:pPr>
    </w:p>
    <w:p w14:paraId="00000041" w14:textId="77777777" w:rsidR="00A83B26" w:rsidRPr="005B285E" w:rsidRDefault="00402F6D">
      <w:pPr>
        <w:widowControl w:val="0"/>
        <w:numPr>
          <w:ilvl w:val="0"/>
          <w:numId w:val="3"/>
        </w:numPr>
        <w:ind w:left="851" w:hanging="425"/>
        <w:jc w:val="both"/>
        <w:rPr>
          <w:rFonts w:ascii="Cambria" w:eastAsia="Cambria" w:hAnsi="Cambria" w:cs="Cambria"/>
          <w:sz w:val="20"/>
          <w:szCs w:val="20"/>
        </w:rPr>
      </w:pPr>
      <w:r w:rsidRPr="005B285E">
        <w:rPr>
          <w:rFonts w:ascii="Cambria" w:eastAsia="Cambria" w:hAnsi="Cambria" w:cs="Cambria"/>
          <w:sz w:val="20"/>
          <w:szCs w:val="20"/>
        </w:rPr>
        <w:t xml:space="preserve">Lifting whale sharks by </w:t>
      </w:r>
      <w:proofErr w:type="gramStart"/>
      <w:r w:rsidRPr="005B285E">
        <w:rPr>
          <w:rFonts w:ascii="Cambria" w:eastAsia="Cambria" w:hAnsi="Cambria" w:cs="Cambria"/>
          <w:sz w:val="20"/>
          <w:szCs w:val="20"/>
        </w:rPr>
        <w:t>tail;</w:t>
      </w:r>
      <w:proofErr w:type="gramEnd"/>
    </w:p>
    <w:p w14:paraId="00000042" w14:textId="77777777" w:rsidR="00A83B26" w:rsidRPr="005B285E" w:rsidRDefault="00A83B26">
      <w:pPr>
        <w:widowControl w:val="0"/>
        <w:ind w:left="1276"/>
        <w:jc w:val="both"/>
        <w:rPr>
          <w:rFonts w:ascii="Cambria" w:eastAsia="Cambria" w:hAnsi="Cambria" w:cs="Cambria"/>
          <w:sz w:val="20"/>
          <w:szCs w:val="20"/>
        </w:rPr>
      </w:pPr>
    </w:p>
    <w:p w14:paraId="00000043" w14:textId="77777777" w:rsidR="00A83B26" w:rsidRPr="005B285E" w:rsidRDefault="00402F6D">
      <w:pPr>
        <w:widowControl w:val="0"/>
        <w:numPr>
          <w:ilvl w:val="0"/>
          <w:numId w:val="3"/>
        </w:numPr>
        <w:ind w:left="851" w:hanging="425"/>
        <w:jc w:val="both"/>
        <w:rPr>
          <w:rFonts w:ascii="Cambria" w:eastAsia="Cambria" w:hAnsi="Cambria" w:cs="Cambria"/>
          <w:sz w:val="20"/>
          <w:szCs w:val="20"/>
        </w:rPr>
      </w:pPr>
      <w:r w:rsidRPr="005B285E">
        <w:rPr>
          <w:rFonts w:ascii="Cambria" w:eastAsia="Cambria" w:hAnsi="Cambria" w:cs="Cambria"/>
          <w:sz w:val="20"/>
          <w:szCs w:val="20"/>
        </w:rPr>
        <w:t xml:space="preserve">Pulling whale sharks by a loop hooked around its gill or holes bored into a </w:t>
      </w:r>
      <w:proofErr w:type="gramStart"/>
      <w:r w:rsidRPr="005B285E">
        <w:rPr>
          <w:rFonts w:ascii="Cambria" w:eastAsia="Cambria" w:hAnsi="Cambria" w:cs="Cambria"/>
          <w:sz w:val="20"/>
          <w:szCs w:val="20"/>
        </w:rPr>
        <w:t>fin;</w:t>
      </w:r>
      <w:proofErr w:type="gramEnd"/>
    </w:p>
    <w:p w14:paraId="00000044" w14:textId="77777777" w:rsidR="00A83B26" w:rsidRPr="005B285E" w:rsidRDefault="00A83B26">
      <w:pPr>
        <w:widowControl w:val="0"/>
        <w:ind w:left="1276"/>
        <w:jc w:val="both"/>
        <w:rPr>
          <w:rFonts w:ascii="Cambria" w:eastAsia="Cambria" w:hAnsi="Cambria" w:cs="Cambria"/>
          <w:sz w:val="20"/>
          <w:szCs w:val="20"/>
        </w:rPr>
      </w:pPr>
    </w:p>
    <w:p w14:paraId="00000045" w14:textId="77777777" w:rsidR="00A83B26" w:rsidRPr="005B285E" w:rsidRDefault="00402F6D">
      <w:pPr>
        <w:widowControl w:val="0"/>
        <w:numPr>
          <w:ilvl w:val="0"/>
          <w:numId w:val="3"/>
        </w:numPr>
        <w:ind w:left="851" w:hanging="425"/>
        <w:jc w:val="both"/>
        <w:rPr>
          <w:rFonts w:ascii="Cambria" w:eastAsia="Cambria" w:hAnsi="Cambria" w:cs="Cambria"/>
          <w:sz w:val="20"/>
          <w:szCs w:val="20"/>
        </w:rPr>
      </w:pPr>
      <w:proofErr w:type="gramStart"/>
      <w:r w:rsidRPr="005B285E">
        <w:rPr>
          <w:rFonts w:ascii="Cambria" w:eastAsia="Cambria" w:hAnsi="Cambria" w:cs="Cambria"/>
          <w:sz w:val="20"/>
          <w:szCs w:val="20"/>
        </w:rPr>
        <w:t>Gaffing;</w:t>
      </w:r>
      <w:proofErr w:type="gramEnd"/>
    </w:p>
    <w:p w14:paraId="00000046" w14:textId="77777777" w:rsidR="00A83B26" w:rsidRPr="005B285E" w:rsidRDefault="00A83B26">
      <w:pPr>
        <w:widowControl w:val="0"/>
        <w:ind w:left="1276"/>
        <w:jc w:val="both"/>
        <w:rPr>
          <w:rFonts w:ascii="Cambria" w:eastAsia="Cambria" w:hAnsi="Cambria" w:cs="Cambria"/>
          <w:sz w:val="20"/>
          <w:szCs w:val="20"/>
        </w:rPr>
      </w:pPr>
    </w:p>
    <w:p w14:paraId="00000047" w14:textId="7E33C539" w:rsidR="00A83B26" w:rsidRPr="005B285E" w:rsidRDefault="00402F6D">
      <w:pPr>
        <w:widowControl w:val="0"/>
        <w:numPr>
          <w:ilvl w:val="0"/>
          <w:numId w:val="3"/>
        </w:numPr>
        <w:ind w:left="851" w:hanging="425"/>
        <w:jc w:val="both"/>
        <w:rPr>
          <w:rFonts w:ascii="Cambria" w:eastAsia="Cambria" w:hAnsi="Cambria" w:cs="Cambria"/>
          <w:sz w:val="20"/>
          <w:szCs w:val="20"/>
        </w:rPr>
      </w:pPr>
      <w:r w:rsidRPr="005B285E">
        <w:rPr>
          <w:rFonts w:ascii="Cambria" w:eastAsia="Cambria" w:hAnsi="Cambria" w:cs="Cambria"/>
          <w:sz w:val="20"/>
          <w:szCs w:val="20"/>
        </w:rPr>
        <w:t xml:space="preserve">Leaving towing ropes attached to the trunk of whale </w:t>
      </w:r>
      <w:proofErr w:type="gramStart"/>
      <w:r w:rsidRPr="005B285E">
        <w:rPr>
          <w:rFonts w:ascii="Cambria" w:eastAsia="Cambria" w:hAnsi="Cambria" w:cs="Cambria"/>
          <w:sz w:val="20"/>
          <w:szCs w:val="20"/>
        </w:rPr>
        <w:t>sharks;</w:t>
      </w:r>
      <w:proofErr w:type="gramEnd"/>
    </w:p>
    <w:p w14:paraId="00000048" w14:textId="77777777" w:rsidR="00A83B26" w:rsidRPr="005B285E" w:rsidRDefault="00A83B26">
      <w:pPr>
        <w:widowControl w:val="0"/>
        <w:ind w:left="1276"/>
        <w:jc w:val="both"/>
        <w:rPr>
          <w:rFonts w:ascii="Cambria" w:eastAsia="Cambria" w:hAnsi="Cambria" w:cs="Cambria"/>
          <w:sz w:val="20"/>
          <w:szCs w:val="20"/>
        </w:rPr>
      </w:pPr>
    </w:p>
    <w:p w14:paraId="00000049" w14:textId="77777777" w:rsidR="00A83B26" w:rsidRPr="005B285E" w:rsidRDefault="00402F6D">
      <w:pPr>
        <w:widowControl w:val="0"/>
        <w:numPr>
          <w:ilvl w:val="0"/>
          <w:numId w:val="3"/>
        </w:numPr>
        <w:ind w:left="851" w:hanging="425"/>
        <w:jc w:val="both"/>
        <w:rPr>
          <w:rFonts w:ascii="Cambria" w:eastAsia="Cambria" w:hAnsi="Cambria" w:cs="Cambria"/>
          <w:sz w:val="20"/>
          <w:szCs w:val="20"/>
        </w:rPr>
      </w:pPr>
      <w:r w:rsidRPr="005B285E">
        <w:rPr>
          <w:rFonts w:ascii="Cambria" w:eastAsia="Cambria" w:hAnsi="Cambria" w:cs="Cambria"/>
          <w:sz w:val="20"/>
          <w:szCs w:val="20"/>
        </w:rPr>
        <w:t xml:space="preserve">Brailing whale sharks larger than 2 </w:t>
      </w:r>
      <w:proofErr w:type="gramStart"/>
      <w:r w:rsidRPr="005B285E">
        <w:rPr>
          <w:rFonts w:ascii="Cambria" w:eastAsia="Cambria" w:hAnsi="Cambria" w:cs="Cambria"/>
          <w:sz w:val="20"/>
          <w:szCs w:val="20"/>
        </w:rPr>
        <w:t>meters;</w:t>
      </w:r>
      <w:proofErr w:type="gramEnd"/>
    </w:p>
    <w:p w14:paraId="0000004A" w14:textId="77777777" w:rsidR="00A83B26" w:rsidRPr="005B285E" w:rsidRDefault="00A83B26">
      <w:pPr>
        <w:widowControl w:val="0"/>
        <w:ind w:left="1276"/>
        <w:jc w:val="both"/>
        <w:rPr>
          <w:rFonts w:ascii="Cambria" w:eastAsia="Cambria" w:hAnsi="Cambria" w:cs="Cambria"/>
          <w:sz w:val="20"/>
          <w:szCs w:val="20"/>
        </w:rPr>
      </w:pPr>
    </w:p>
    <w:p w14:paraId="0000004B" w14:textId="77777777" w:rsidR="00A83B26" w:rsidRPr="005B285E" w:rsidRDefault="00402F6D">
      <w:pPr>
        <w:widowControl w:val="0"/>
        <w:numPr>
          <w:ilvl w:val="0"/>
          <w:numId w:val="3"/>
        </w:numPr>
        <w:ind w:left="851" w:hanging="425"/>
        <w:jc w:val="both"/>
        <w:rPr>
          <w:rFonts w:ascii="Cambria" w:eastAsia="Cambria" w:hAnsi="Cambria" w:cs="Cambria"/>
          <w:sz w:val="20"/>
          <w:szCs w:val="20"/>
        </w:rPr>
      </w:pPr>
      <w:r w:rsidRPr="005B285E">
        <w:rPr>
          <w:rFonts w:ascii="Cambria" w:eastAsia="Cambria" w:hAnsi="Cambria" w:cs="Cambria"/>
          <w:sz w:val="20"/>
          <w:szCs w:val="20"/>
        </w:rPr>
        <w:t xml:space="preserve">Brailing whale sharks onto the </w:t>
      </w:r>
      <w:proofErr w:type="gramStart"/>
      <w:r w:rsidRPr="005B285E">
        <w:rPr>
          <w:rFonts w:ascii="Cambria" w:eastAsia="Cambria" w:hAnsi="Cambria" w:cs="Cambria"/>
          <w:sz w:val="20"/>
          <w:szCs w:val="20"/>
        </w:rPr>
        <w:t>deck;</w:t>
      </w:r>
      <w:proofErr w:type="gramEnd"/>
    </w:p>
    <w:p w14:paraId="0000004C" w14:textId="77777777" w:rsidR="00A83B26" w:rsidRPr="005B285E" w:rsidRDefault="00A83B26">
      <w:pPr>
        <w:widowControl w:val="0"/>
        <w:ind w:left="1276"/>
        <w:jc w:val="both"/>
        <w:rPr>
          <w:rFonts w:ascii="Cambria" w:eastAsia="Cambria" w:hAnsi="Cambria" w:cs="Cambria"/>
          <w:sz w:val="20"/>
          <w:szCs w:val="20"/>
        </w:rPr>
      </w:pPr>
    </w:p>
    <w:p w14:paraId="0000004D" w14:textId="77777777" w:rsidR="00A83B26" w:rsidRPr="005B285E" w:rsidRDefault="00402F6D">
      <w:pPr>
        <w:widowControl w:val="0"/>
        <w:numPr>
          <w:ilvl w:val="0"/>
          <w:numId w:val="3"/>
        </w:numPr>
        <w:ind w:left="851" w:hanging="425"/>
        <w:jc w:val="both"/>
        <w:rPr>
          <w:rFonts w:ascii="Cambria" w:eastAsia="Cambria" w:hAnsi="Cambria" w:cs="Cambria"/>
          <w:sz w:val="20"/>
          <w:szCs w:val="20"/>
        </w:rPr>
      </w:pPr>
      <w:r w:rsidRPr="005B285E">
        <w:rPr>
          <w:rFonts w:ascii="Cambria" w:eastAsia="Cambria" w:hAnsi="Cambria" w:cs="Cambria"/>
          <w:sz w:val="20"/>
          <w:szCs w:val="20"/>
        </w:rPr>
        <w:t>Starting the brailing process while whale shark is still in the purse seine net.</w:t>
      </w:r>
    </w:p>
    <w:sectPr w:rsidR="00A83B26" w:rsidRPr="005B285E">
      <w:footerReference w:type="default" r:id="rId8"/>
      <w:headerReference w:type="first" r:id="rId9"/>
      <w:footerReference w:type="first" r:id="rId10"/>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2D9A3" w14:textId="77777777" w:rsidR="00A76DF9" w:rsidRDefault="00A76DF9">
      <w:r>
        <w:separator/>
      </w:r>
    </w:p>
  </w:endnote>
  <w:endnote w:type="continuationSeparator" w:id="0">
    <w:p w14:paraId="501C00EB" w14:textId="77777777" w:rsidR="00A76DF9" w:rsidRDefault="00A7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F" w14:textId="5F1E60BE" w:rsidR="00A83B26" w:rsidRDefault="00402F6D">
    <w:pPr>
      <w:tabs>
        <w:tab w:val="center" w:pos="4535"/>
        <w:tab w:val="center" w:pos="4680"/>
        <w:tab w:val="left" w:pos="6150"/>
        <w:tab w:val="right" w:pos="9360"/>
      </w:tabs>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0E7F16">
      <w:rPr>
        <w:rFonts w:ascii="Cambria" w:eastAsia="Cambria" w:hAnsi="Cambria" w:cs="Cambria"/>
        <w:noProof/>
        <w:sz w:val="20"/>
        <w:szCs w:val="20"/>
      </w:rPr>
      <w:t>1</w:t>
    </w:r>
    <w:r>
      <w:rPr>
        <w:rFonts w:ascii="Cambria" w:eastAsia="Cambria" w:hAnsi="Cambria" w:cs="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0" w14:textId="615C4F17" w:rsidR="00A83B26" w:rsidRDefault="00402F6D">
    <w:pPr>
      <w:tabs>
        <w:tab w:val="center" w:pos="4535"/>
        <w:tab w:val="center" w:pos="4680"/>
        <w:tab w:val="left" w:pos="6150"/>
        <w:tab w:val="right" w:pos="9360"/>
      </w:tabs>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end"/>
    </w:r>
    <w:r>
      <w:rPr>
        <w:rFonts w:ascii="Cambria" w:eastAsia="Cambria" w:hAnsi="Cambria" w:cs="Cambria"/>
        <w:sz w:val="20"/>
        <w:szCs w:val="20"/>
      </w:rPr>
      <w:t xml:space="preserve"> / </w:t>
    </w:r>
    <w:r>
      <w:rPr>
        <w:rFonts w:ascii="Cambria" w:eastAsia="Cambria" w:hAnsi="Cambria" w:cs="Cambria"/>
        <w:sz w:val="20"/>
        <w:szCs w:val="20"/>
      </w:rPr>
      <w:fldChar w:fldCharType="begin"/>
    </w:r>
    <w:r>
      <w:rPr>
        <w:rFonts w:ascii="Cambria" w:eastAsia="Cambria" w:hAnsi="Cambria" w:cs="Cambria"/>
        <w:sz w:val="20"/>
        <w:szCs w:val="20"/>
      </w:rPr>
      <w:instrText>NUMPAGES</w:instrText>
    </w:r>
    <w:r>
      <w:rPr>
        <w:rFonts w:ascii="Cambria" w:eastAsia="Cambria" w:hAnsi="Cambria" w:cs="Cambria"/>
        <w:sz w:val="20"/>
        <w:szCs w:val="20"/>
      </w:rPr>
      <w:fldChar w:fldCharType="separate"/>
    </w:r>
    <w:r w:rsidR="00A87295">
      <w:rPr>
        <w:rFonts w:ascii="Cambria" w:eastAsia="Cambria" w:hAnsi="Cambria" w:cs="Cambria"/>
        <w:noProof/>
        <w:sz w:val="20"/>
        <w:szCs w:val="20"/>
      </w:rPr>
      <w:t>3</w:t>
    </w:r>
    <w:r>
      <w:rPr>
        <w:rFonts w:ascii="Cambria" w:eastAsia="Cambria" w:hAnsi="Cambria" w:cs="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00327" w14:textId="77777777" w:rsidR="00A76DF9" w:rsidRDefault="00A76DF9">
      <w:r>
        <w:separator/>
      </w:r>
    </w:p>
  </w:footnote>
  <w:footnote w:type="continuationSeparator" w:id="0">
    <w:p w14:paraId="3E248E30" w14:textId="77777777" w:rsidR="00A76DF9" w:rsidRDefault="00A7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E" w14:textId="77777777" w:rsidR="00A83B26" w:rsidRDefault="00402F6D">
    <w:pPr>
      <w:pBdr>
        <w:top w:val="nil"/>
        <w:left w:val="nil"/>
        <w:bottom w:val="nil"/>
        <w:right w:val="nil"/>
        <w:between w:val="nil"/>
      </w:pBdr>
      <w:tabs>
        <w:tab w:val="center" w:pos="4153"/>
        <w:tab w:val="right" w:pos="8306"/>
      </w:tabs>
      <w:jc w:val="right"/>
      <w:rPr>
        <w:rFonts w:ascii="Cambria" w:eastAsia="Cambria" w:hAnsi="Cambria" w:cs="Cambria"/>
        <w:b/>
        <w:color w:val="000000"/>
        <w:sz w:val="20"/>
        <w:szCs w:val="20"/>
      </w:rPr>
    </w:pPr>
    <w:r>
      <w:rPr>
        <w:rFonts w:ascii="Cambria" w:eastAsia="Cambria" w:hAnsi="Cambria" w:cs="Cambria"/>
        <w:b/>
        <w:color w:val="000000"/>
        <w:sz w:val="20"/>
        <w:szCs w:val="20"/>
      </w:rPr>
      <w:t>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4754201">
    <w:abstractNumId w:val="2"/>
  </w:num>
  <w:num w:numId="2" w16cid:durableId="1148519694">
    <w:abstractNumId w:val="0"/>
  </w:num>
  <w:num w:numId="3" w16cid:durableId="117830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26"/>
    <w:rsid w:val="00052785"/>
    <w:rsid w:val="00094956"/>
    <w:rsid w:val="000E7F16"/>
    <w:rsid w:val="002A375D"/>
    <w:rsid w:val="002D2E60"/>
    <w:rsid w:val="002F3A9C"/>
    <w:rsid w:val="003356CE"/>
    <w:rsid w:val="00402F6D"/>
    <w:rsid w:val="005018E1"/>
    <w:rsid w:val="00513A77"/>
    <w:rsid w:val="00523C5F"/>
    <w:rsid w:val="00583372"/>
    <w:rsid w:val="005B285E"/>
    <w:rsid w:val="006A7463"/>
    <w:rsid w:val="00742C30"/>
    <w:rsid w:val="00877D8E"/>
    <w:rsid w:val="009321CB"/>
    <w:rsid w:val="009C11D9"/>
    <w:rsid w:val="00A10ED0"/>
    <w:rsid w:val="00A216B9"/>
    <w:rsid w:val="00A76DF9"/>
    <w:rsid w:val="00A83B26"/>
    <w:rsid w:val="00A87295"/>
    <w:rsid w:val="00C22ED1"/>
    <w:rsid w:val="00E043DD"/>
    <w:rsid w:val="00EF62B4"/>
    <w:rsid w:val="00F82950"/>
    <w:rsid w:val="00FD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mallCap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2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2E60"/>
    <w:rPr>
      <w:b/>
      <w:bCs/>
    </w:rPr>
  </w:style>
  <w:style w:type="character" w:customStyle="1" w:styleId="CommentSubjectChar">
    <w:name w:val="Comment Subject Char"/>
    <w:basedOn w:val="CommentTextChar"/>
    <w:link w:val="CommentSubject"/>
    <w:uiPriority w:val="99"/>
    <w:semiHidden/>
    <w:rsid w:val="002D2E60"/>
    <w:rPr>
      <w:b/>
      <w:bCs/>
      <w:sz w:val="20"/>
      <w:szCs w:val="20"/>
    </w:rPr>
  </w:style>
  <w:style w:type="paragraph" w:styleId="Header">
    <w:name w:val="header"/>
    <w:basedOn w:val="Normal"/>
    <w:link w:val="HeaderChar"/>
    <w:uiPriority w:val="99"/>
    <w:unhideWhenUsed/>
    <w:rsid w:val="000E7F16"/>
    <w:pPr>
      <w:tabs>
        <w:tab w:val="center" w:pos="4680"/>
        <w:tab w:val="right" w:pos="9360"/>
      </w:tabs>
    </w:pPr>
  </w:style>
  <w:style w:type="character" w:customStyle="1" w:styleId="HeaderChar">
    <w:name w:val="Header Char"/>
    <w:basedOn w:val="DefaultParagraphFont"/>
    <w:link w:val="Header"/>
    <w:uiPriority w:val="99"/>
    <w:rsid w:val="000E7F16"/>
  </w:style>
  <w:style w:type="paragraph" w:styleId="Footer">
    <w:name w:val="footer"/>
    <w:basedOn w:val="Normal"/>
    <w:link w:val="FooterChar"/>
    <w:uiPriority w:val="99"/>
    <w:unhideWhenUsed/>
    <w:rsid w:val="000E7F16"/>
    <w:pPr>
      <w:tabs>
        <w:tab w:val="center" w:pos="4680"/>
        <w:tab w:val="right" w:pos="9360"/>
      </w:tabs>
    </w:pPr>
  </w:style>
  <w:style w:type="character" w:customStyle="1" w:styleId="FooterChar">
    <w:name w:val="Footer Char"/>
    <w:basedOn w:val="DefaultParagraphFont"/>
    <w:link w:val="Footer"/>
    <w:uiPriority w:val="99"/>
    <w:rsid w:val="000E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cat.int/documents/meetings/docs/2009-scrs_e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2024-11-13T08:21:00Z</dcterms:created>
  <dcterms:modified xsi:type="dcterms:W3CDTF">2024-12-19T11:45:00Z</dcterms:modified>
</cp:coreProperties>
</file>