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01C2" w14:textId="279AAAD0" w:rsidR="00E4568E" w:rsidRPr="00C94211" w:rsidRDefault="00E4568E" w:rsidP="00931333">
      <w:pPr>
        <w:spacing w:after="0" w:line="240" w:lineRule="auto"/>
        <w:jc w:val="right"/>
        <w:rPr>
          <w:rFonts w:ascii="Cambria" w:eastAsia="Cambria" w:hAnsi="Cambria" w:cs="Cambria"/>
          <w:b/>
          <w:bCs/>
          <w:sz w:val="20"/>
          <w:szCs w:val="20"/>
        </w:rPr>
      </w:pPr>
    </w:p>
    <w:p w14:paraId="343BD6A1" w14:textId="25D5D03F" w:rsidR="00253DD1" w:rsidRPr="00931333" w:rsidRDefault="00680958" w:rsidP="00931333">
      <w:pPr>
        <w:pBdr>
          <w:top w:val="double" w:sz="4" w:space="1" w:color="auto"/>
          <w:left w:val="double" w:sz="4" w:space="4" w:color="auto"/>
          <w:bottom w:val="double" w:sz="4" w:space="1" w:color="auto"/>
          <w:right w:val="double" w:sz="4" w:space="4" w:color="auto"/>
        </w:pBdr>
        <w:spacing w:after="0" w:line="240" w:lineRule="auto"/>
        <w:jc w:val="both"/>
        <w:rPr>
          <w:rFonts w:ascii="Cambria" w:eastAsia="Cambria" w:hAnsi="Cambria" w:cs="Cambria"/>
          <w:b/>
          <w:bCs/>
          <w:sz w:val="20"/>
          <w:szCs w:val="20"/>
        </w:rPr>
      </w:pPr>
      <w:r w:rsidRPr="00931333">
        <w:rPr>
          <w:rFonts w:ascii="Cambria" w:eastAsia="Cambria" w:hAnsi="Cambria" w:cs="Cambria"/>
          <w:b/>
          <w:bCs/>
          <w:sz w:val="20"/>
          <w:szCs w:val="20"/>
        </w:rPr>
        <w:t>23-</w:t>
      </w:r>
      <w:r w:rsidR="004A5B15" w:rsidRPr="00931333">
        <w:rPr>
          <w:rFonts w:ascii="Cambria" w:eastAsia="Cambria" w:hAnsi="Cambria" w:cs="Cambria"/>
          <w:b/>
          <w:bCs/>
          <w:sz w:val="20"/>
          <w:szCs w:val="20"/>
        </w:rPr>
        <w:t>11</w:t>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Pr="00931333">
        <w:rPr>
          <w:rFonts w:ascii="Cambria" w:eastAsia="Cambria" w:hAnsi="Cambria" w:cs="Cambria"/>
          <w:b/>
          <w:bCs/>
          <w:sz w:val="20"/>
          <w:szCs w:val="20"/>
        </w:rPr>
        <w:tab/>
      </w:r>
      <w:r w:rsidR="004A5B15" w:rsidRPr="00931333">
        <w:rPr>
          <w:rFonts w:ascii="Cambria" w:eastAsia="Cambria" w:hAnsi="Cambria" w:cs="Cambria"/>
          <w:b/>
          <w:bCs/>
          <w:sz w:val="20"/>
          <w:szCs w:val="20"/>
        </w:rPr>
        <w:t>SHK</w:t>
      </w:r>
    </w:p>
    <w:p w14:paraId="2BDEA42C" w14:textId="77777777" w:rsidR="00680958" w:rsidRPr="00931333" w:rsidRDefault="00680958" w:rsidP="00931333">
      <w:pPr>
        <w:pBdr>
          <w:top w:val="double" w:sz="4" w:space="1" w:color="auto"/>
          <w:left w:val="double" w:sz="4" w:space="4" w:color="auto"/>
          <w:bottom w:val="double" w:sz="4" w:space="1" w:color="auto"/>
          <w:right w:val="double" w:sz="4" w:space="4" w:color="auto"/>
        </w:pBdr>
        <w:spacing w:after="0" w:line="240" w:lineRule="auto"/>
        <w:jc w:val="center"/>
        <w:rPr>
          <w:rFonts w:ascii="Cambria" w:eastAsia="Cambria" w:hAnsi="Cambria" w:cs="Cambria"/>
          <w:b/>
          <w:bCs/>
          <w:sz w:val="20"/>
          <w:szCs w:val="20"/>
        </w:rPr>
      </w:pPr>
    </w:p>
    <w:p w14:paraId="13B377CC" w14:textId="4B935576" w:rsidR="00253DD1" w:rsidRPr="00931333" w:rsidRDefault="00680958" w:rsidP="00931333">
      <w:pPr>
        <w:pBdr>
          <w:top w:val="double" w:sz="4" w:space="1" w:color="auto"/>
          <w:left w:val="double" w:sz="4" w:space="4" w:color="auto"/>
          <w:bottom w:val="double" w:sz="4" w:space="1" w:color="auto"/>
          <w:right w:val="double" w:sz="4" w:space="4" w:color="auto"/>
        </w:pBdr>
        <w:spacing w:after="0" w:line="240" w:lineRule="auto"/>
        <w:jc w:val="center"/>
        <w:rPr>
          <w:rFonts w:ascii="Cambria" w:eastAsia="Cambria" w:hAnsi="Cambria" w:cs="Cambria"/>
          <w:i/>
          <w:iCs/>
          <w:sz w:val="20"/>
          <w:szCs w:val="20"/>
        </w:rPr>
      </w:pPr>
      <w:bookmarkStart w:id="0" w:name="_Hlk148451026"/>
      <w:r w:rsidRPr="00931333">
        <w:rPr>
          <w:rFonts w:ascii="Cambria" w:hAnsi="Cambria"/>
          <w:b/>
          <w:bCs/>
          <w:sz w:val="20"/>
          <w:szCs w:val="20"/>
        </w:rPr>
        <w:t>RECOMMANDATION DE L'ICCAT REMPLAÇANT LA RECOMMANDATION 19-08 SUR DES MESURES DE GESTION POUR LA CONSERVATION DU REQUIN PEAU BLEUE DE L’ATLANTIQUE SUD CAPTUR</w:t>
      </w:r>
      <w:r w:rsidR="006B16A5">
        <w:rPr>
          <w:rFonts w:ascii="Cambria" w:hAnsi="Cambria"/>
          <w:b/>
          <w:bCs/>
          <w:sz w:val="20"/>
          <w:szCs w:val="20"/>
        </w:rPr>
        <w:t>É</w:t>
      </w:r>
      <w:r w:rsidRPr="00931333">
        <w:rPr>
          <w:rFonts w:ascii="Cambria" w:hAnsi="Cambria"/>
          <w:b/>
          <w:bCs/>
          <w:sz w:val="20"/>
          <w:szCs w:val="20"/>
        </w:rPr>
        <w:t xml:space="preserve"> EN ASSOCIATION AVEC LES P</w:t>
      </w:r>
      <w:r w:rsidR="005200D7" w:rsidRPr="00931333">
        <w:rPr>
          <w:rFonts w:ascii="Cambria" w:hAnsi="Cambria"/>
          <w:b/>
          <w:bCs/>
          <w:sz w:val="20"/>
          <w:szCs w:val="20"/>
        </w:rPr>
        <w:t>Ê</w:t>
      </w:r>
      <w:r w:rsidRPr="00931333">
        <w:rPr>
          <w:rFonts w:ascii="Cambria" w:hAnsi="Cambria"/>
          <w:b/>
          <w:bCs/>
          <w:sz w:val="20"/>
          <w:szCs w:val="20"/>
        </w:rPr>
        <w:t>CHERIES DE L’ICCAT</w:t>
      </w:r>
      <w:bookmarkEnd w:id="0"/>
    </w:p>
    <w:p w14:paraId="7B1D2D0C" w14:textId="77777777" w:rsidR="00885E93" w:rsidRPr="00931333" w:rsidRDefault="00885E93" w:rsidP="00931333">
      <w:pPr>
        <w:pBdr>
          <w:top w:val="double" w:sz="4" w:space="1" w:color="auto"/>
          <w:left w:val="double" w:sz="4" w:space="4" w:color="auto"/>
          <w:bottom w:val="double" w:sz="4" w:space="1" w:color="auto"/>
          <w:right w:val="double" w:sz="4" w:space="4" w:color="auto"/>
        </w:pBdr>
        <w:spacing w:after="0" w:line="240" w:lineRule="auto"/>
        <w:ind w:left="284" w:hanging="284"/>
        <w:jc w:val="center"/>
        <w:rPr>
          <w:rFonts w:ascii="Cambria" w:eastAsia="Cambria" w:hAnsi="Cambria" w:cs="Cambria"/>
          <w:b/>
          <w:bCs/>
          <w:sz w:val="20"/>
          <w:szCs w:val="20"/>
        </w:rPr>
      </w:pPr>
    </w:p>
    <w:p w14:paraId="30FDEE7E" w14:textId="77777777" w:rsidR="00B35AB6" w:rsidRPr="00931333" w:rsidRDefault="00B35AB6" w:rsidP="00931333">
      <w:pPr>
        <w:spacing w:after="0" w:line="240" w:lineRule="auto"/>
        <w:ind w:left="284" w:hanging="284"/>
        <w:jc w:val="center"/>
        <w:rPr>
          <w:rFonts w:ascii="Cambria" w:eastAsia="Cambria" w:hAnsi="Cambria" w:cs="Cambria"/>
          <w:b/>
          <w:bCs/>
          <w:sz w:val="20"/>
          <w:szCs w:val="20"/>
        </w:rPr>
      </w:pPr>
    </w:p>
    <w:p w14:paraId="1FE39670" w14:textId="77777777" w:rsidR="00680958" w:rsidRPr="00931333" w:rsidRDefault="00680958" w:rsidP="00931333">
      <w:pPr>
        <w:spacing w:after="0" w:line="240" w:lineRule="auto"/>
        <w:ind w:left="284" w:hanging="284"/>
        <w:jc w:val="center"/>
        <w:rPr>
          <w:rFonts w:ascii="Cambria" w:eastAsia="Cambria" w:hAnsi="Cambria" w:cs="Cambria"/>
          <w:b/>
          <w:bCs/>
          <w:sz w:val="20"/>
          <w:szCs w:val="20"/>
        </w:rPr>
      </w:pPr>
    </w:p>
    <w:p w14:paraId="44B77F5F" w14:textId="77777777" w:rsidR="00EA039D" w:rsidRPr="00931333" w:rsidRDefault="00EA039D" w:rsidP="00931333">
      <w:pPr>
        <w:spacing w:after="0" w:line="240" w:lineRule="auto"/>
        <w:ind w:firstLine="426"/>
        <w:jc w:val="both"/>
        <w:rPr>
          <w:rFonts w:ascii="Cambria" w:eastAsia="Cambria" w:hAnsi="Cambria" w:cs="Cambria"/>
          <w:iCs/>
          <w:sz w:val="20"/>
          <w:szCs w:val="20"/>
        </w:rPr>
      </w:pPr>
      <w:r w:rsidRPr="00931333">
        <w:rPr>
          <w:rFonts w:ascii="Cambria" w:hAnsi="Cambria"/>
          <w:i/>
          <w:iCs/>
          <w:sz w:val="20"/>
          <w:szCs w:val="20"/>
        </w:rPr>
        <w:t>RAPPELANT</w:t>
      </w:r>
      <w:r w:rsidRPr="00931333">
        <w:rPr>
          <w:rFonts w:ascii="Cambria" w:hAnsi="Cambria"/>
          <w:sz w:val="20"/>
          <w:szCs w:val="20"/>
        </w:rPr>
        <w:t xml:space="preserve"> que la Commission a adopté la </w:t>
      </w:r>
      <w:r w:rsidRPr="00931333">
        <w:rPr>
          <w:rFonts w:ascii="Cambria" w:hAnsi="Cambria"/>
          <w:i/>
          <w:iCs/>
          <w:sz w:val="20"/>
          <w:szCs w:val="20"/>
        </w:rPr>
        <w:t>Résolution de l’ICCAT sur les requins atlantiques</w:t>
      </w:r>
      <w:r w:rsidRPr="00931333">
        <w:rPr>
          <w:rFonts w:ascii="Cambria" w:hAnsi="Cambria"/>
          <w:sz w:val="20"/>
          <w:szCs w:val="20"/>
        </w:rPr>
        <w:t xml:space="preserve"> (Rés. 01-11), la </w:t>
      </w:r>
      <w:r w:rsidRPr="00931333">
        <w:rPr>
          <w:rFonts w:ascii="Cambria" w:hAnsi="Cambria"/>
          <w:i/>
          <w:iCs/>
          <w:sz w:val="20"/>
          <w:szCs w:val="20"/>
        </w:rPr>
        <w:t>Recommandation de l’ICCAT concernant la conservation des requins capturés en association avec les pêcheries gérées par l’ICCAT</w:t>
      </w:r>
      <w:r w:rsidRPr="00931333">
        <w:rPr>
          <w:rFonts w:ascii="Cambria" w:hAnsi="Cambria"/>
          <w:sz w:val="20"/>
          <w:szCs w:val="20"/>
        </w:rPr>
        <w:t xml:space="preserve"> (Rec. 04-10), la </w:t>
      </w:r>
      <w:r w:rsidRPr="00931333">
        <w:rPr>
          <w:rFonts w:ascii="Cambria" w:hAnsi="Cambria"/>
          <w:i/>
          <w:iCs/>
          <w:sz w:val="20"/>
          <w:szCs w:val="20"/>
        </w:rPr>
        <w:t>Recommandation supplémentaire de l’ICCAT concernant les requins</w:t>
      </w:r>
      <w:r w:rsidRPr="00931333">
        <w:rPr>
          <w:rFonts w:ascii="Cambria" w:hAnsi="Cambria"/>
          <w:sz w:val="20"/>
          <w:szCs w:val="20"/>
        </w:rPr>
        <w:t xml:space="preserve"> (Rec. 07-06), y compris l’obligation pour les CPC de déclarer chaque année les données de tâche 1 et de tâche 2 concernant les requins, conformément aux procédures de déclaration des données de l'ICCAT et la </w:t>
      </w:r>
      <w:r w:rsidRPr="00931333">
        <w:rPr>
          <w:rFonts w:ascii="Cambria" w:hAnsi="Cambria"/>
          <w:i/>
          <w:iCs/>
          <w:sz w:val="20"/>
          <w:szCs w:val="20"/>
        </w:rPr>
        <w:t>Recommandation de l’ICCAT sur le développement de règles de contrôle de l’exploitation et d'une évaluation de la stratégie de gestion</w:t>
      </w:r>
      <w:r w:rsidRPr="00931333">
        <w:rPr>
          <w:rFonts w:ascii="Cambria" w:hAnsi="Cambria"/>
          <w:sz w:val="20"/>
          <w:szCs w:val="20"/>
        </w:rPr>
        <w:t xml:space="preserve"> (Rec. 15-07) ;</w:t>
      </w:r>
    </w:p>
    <w:p w14:paraId="40EA7AE8" w14:textId="77777777"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31B35E52" w14:textId="0C7A2473" w:rsidR="00BC4836" w:rsidRPr="00931333" w:rsidRDefault="00BC4836" w:rsidP="00931333">
      <w:pPr>
        <w:spacing w:after="0" w:line="240" w:lineRule="auto"/>
        <w:ind w:firstLine="426"/>
        <w:jc w:val="both"/>
        <w:rPr>
          <w:rFonts w:ascii="Cambria" w:eastAsia="Cambria" w:hAnsi="Cambria" w:cs="Cambria"/>
          <w:i/>
          <w:iCs/>
          <w:sz w:val="20"/>
          <w:szCs w:val="20"/>
        </w:rPr>
      </w:pPr>
      <w:r w:rsidRPr="00931333">
        <w:rPr>
          <w:rFonts w:ascii="Cambria" w:hAnsi="Cambria"/>
          <w:i/>
          <w:iCs/>
          <w:sz w:val="20"/>
          <w:szCs w:val="20"/>
        </w:rPr>
        <w:t xml:space="preserve">RAPPELANT </w:t>
      </w:r>
      <w:r w:rsidR="00EA039D" w:rsidRPr="00931333">
        <w:rPr>
          <w:rFonts w:ascii="Cambria" w:hAnsi="Cambria"/>
          <w:i/>
          <w:iCs/>
          <w:sz w:val="20"/>
          <w:szCs w:val="20"/>
        </w:rPr>
        <w:t>EN OUTRE</w:t>
      </w:r>
      <w:r w:rsidRPr="00931333">
        <w:rPr>
          <w:rFonts w:ascii="Cambria" w:hAnsi="Cambria"/>
          <w:i/>
          <w:iCs/>
          <w:sz w:val="20"/>
          <w:szCs w:val="20"/>
        </w:rPr>
        <w:t xml:space="preserve"> </w:t>
      </w:r>
      <w:r w:rsidRPr="00931333">
        <w:rPr>
          <w:rFonts w:ascii="Cambria" w:hAnsi="Cambria"/>
          <w:sz w:val="20"/>
          <w:szCs w:val="20"/>
        </w:rPr>
        <w:t>que la Commission a adopté des mesures de gestion s'appliquant aux espèces de requins considérées vulnérables à la surpêche et capturées en association avec les pêcheries gérées par l'ICCAT</w:t>
      </w:r>
      <w:r w:rsidR="00432BE2" w:rsidRPr="00931333">
        <w:rPr>
          <w:rFonts w:ascii="Cambria" w:hAnsi="Cambria"/>
          <w:sz w:val="20"/>
          <w:szCs w:val="20"/>
        </w:rPr>
        <w:t> ;</w:t>
      </w:r>
    </w:p>
    <w:p w14:paraId="5FA2C84B" w14:textId="77777777"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31663D21" w14:textId="7AEE275C" w:rsidR="00BC4836" w:rsidRPr="00931333" w:rsidRDefault="00BC4836" w:rsidP="00931333">
      <w:pPr>
        <w:tabs>
          <w:tab w:val="left" w:pos="480"/>
        </w:tabs>
        <w:spacing w:after="0" w:line="240" w:lineRule="auto"/>
        <w:ind w:firstLine="426"/>
        <w:jc w:val="both"/>
        <w:rPr>
          <w:rFonts w:ascii="Cambria" w:eastAsia="Cambria" w:hAnsi="Cambria" w:cs="Cambria"/>
          <w:sz w:val="20"/>
          <w:szCs w:val="20"/>
        </w:rPr>
      </w:pPr>
      <w:r w:rsidRPr="00931333">
        <w:rPr>
          <w:rFonts w:ascii="Cambria" w:hAnsi="Cambria"/>
          <w:i/>
          <w:iCs/>
          <w:sz w:val="20"/>
          <w:szCs w:val="20"/>
        </w:rPr>
        <w:t>RECONNAISSANT</w:t>
      </w:r>
      <w:r w:rsidRPr="00931333">
        <w:rPr>
          <w:rFonts w:ascii="Cambria" w:hAnsi="Cambria"/>
          <w:sz w:val="20"/>
          <w:szCs w:val="20"/>
        </w:rPr>
        <w:t xml:space="preserve"> que le requin peau bleue de l'Atlantique (</w:t>
      </w:r>
      <w:r w:rsidRPr="00931333">
        <w:rPr>
          <w:rFonts w:ascii="Cambria" w:hAnsi="Cambria"/>
          <w:i/>
          <w:iCs/>
          <w:sz w:val="20"/>
          <w:szCs w:val="20"/>
        </w:rPr>
        <w:t>Prionace glauca</w:t>
      </w:r>
      <w:r w:rsidRPr="00931333">
        <w:rPr>
          <w:rFonts w:ascii="Cambria" w:hAnsi="Cambria"/>
          <w:sz w:val="20"/>
          <w:szCs w:val="20"/>
        </w:rPr>
        <w:t>) est capturé en association avec des pêcheries gérées par l’ICCAT</w:t>
      </w:r>
      <w:r w:rsidR="00432BE2" w:rsidRPr="00931333">
        <w:rPr>
          <w:rFonts w:ascii="Cambria" w:hAnsi="Cambria"/>
          <w:sz w:val="20"/>
          <w:szCs w:val="20"/>
        </w:rPr>
        <w:t> ;</w:t>
      </w:r>
    </w:p>
    <w:p w14:paraId="46595413" w14:textId="77777777"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0FBB2340" w14:textId="0B652D1C"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r w:rsidRPr="00931333">
        <w:rPr>
          <w:rFonts w:ascii="Cambria" w:hAnsi="Cambria"/>
          <w:i/>
          <w:iCs/>
          <w:sz w:val="20"/>
        </w:rPr>
        <w:t>CONSIDÉRANT</w:t>
      </w:r>
      <w:r w:rsidRPr="00931333">
        <w:rPr>
          <w:rFonts w:ascii="Cambria" w:hAnsi="Cambria"/>
          <w:sz w:val="20"/>
        </w:rPr>
        <w:t xml:space="preserve"> que la dernière évaluation du </w:t>
      </w:r>
      <w:r w:rsidR="00CD1F10" w:rsidRPr="00931333">
        <w:rPr>
          <w:rFonts w:ascii="Cambria" w:hAnsi="Cambria"/>
          <w:sz w:val="20"/>
        </w:rPr>
        <w:t>stock</w:t>
      </w:r>
      <w:r w:rsidRPr="00931333">
        <w:rPr>
          <w:rFonts w:ascii="Cambria" w:hAnsi="Cambria"/>
          <w:sz w:val="20"/>
        </w:rPr>
        <w:t xml:space="preserve"> requin peau bleue de l'Atlantique Sud réalisée par le SCRS en 2023 a conclu que le stock n'était pas surexploité mais qu'il faisait l'objet de surpêche</w:t>
      </w:r>
      <w:r w:rsidR="00432BE2" w:rsidRPr="00931333">
        <w:rPr>
          <w:rFonts w:ascii="Cambria" w:hAnsi="Cambria"/>
          <w:sz w:val="20"/>
        </w:rPr>
        <w:t> ;</w:t>
      </w:r>
    </w:p>
    <w:p w14:paraId="1FE53879" w14:textId="4F9EB336"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5547B869" w14:textId="2F72C31E" w:rsidR="00BC4836" w:rsidRPr="00931333" w:rsidRDefault="14C68559" w:rsidP="00931333">
      <w:pPr>
        <w:tabs>
          <w:tab w:val="left" w:pos="480"/>
        </w:tabs>
        <w:spacing w:after="0" w:line="240" w:lineRule="auto"/>
        <w:ind w:firstLine="426"/>
        <w:jc w:val="both"/>
        <w:rPr>
          <w:rFonts w:ascii="Cambria" w:eastAsia="Cambria" w:hAnsi="Cambria" w:cs="Cambria"/>
          <w:sz w:val="20"/>
          <w:szCs w:val="20"/>
        </w:rPr>
      </w:pPr>
      <w:r w:rsidRPr="00931333">
        <w:rPr>
          <w:rFonts w:ascii="Cambria" w:hAnsi="Cambria"/>
          <w:i/>
          <w:iCs/>
          <w:sz w:val="20"/>
          <w:szCs w:val="20"/>
        </w:rPr>
        <w:t>RECONNAISSANT</w:t>
      </w:r>
      <w:r w:rsidRPr="00931333">
        <w:rPr>
          <w:rFonts w:ascii="Cambria" w:hAnsi="Cambria"/>
          <w:sz w:val="20"/>
          <w:szCs w:val="20"/>
        </w:rPr>
        <w:t xml:space="preserve"> que les captures de requin peau bleue dans l'Atlantique Sud ont fluctué récemment à des niveaux supérieurs au </w:t>
      </w:r>
      <w:r w:rsidR="00C94211" w:rsidRPr="00931333">
        <w:rPr>
          <w:rFonts w:ascii="Cambria" w:hAnsi="Cambria"/>
          <w:sz w:val="20"/>
          <w:szCs w:val="20"/>
        </w:rPr>
        <w:t>total des prises admissibles (</w:t>
      </w:r>
      <w:r w:rsidRPr="00931333">
        <w:rPr>
          <w:rFonts w:ascii="Cambria" w:hAnsi="Cambria"/>
          <w:sz w:val="20"/>
          <w:szCs w:val="20"/>
        </w:rPr>
        <w:t>TAC</w:t>
      </w:r>
      <w:r w:rsidR="00C94211" w:rsidRPr="00931333">
        <w:rPr>
          <w:rFonts w:ascii="Cambria" w:hAnsi="Cambria"/>
          <w:sz w:val="20"/>
          <w:szCs w:val="20"/>
        </w:rPr>
        <w:t>)</w:t>
      </w:r>
      <w:r w:rsidRPr="00931333">
        <w:rPr>
          <w:rFonts w:ascii="Cambria" w:hAnsi="Cambria"/>
          <w:sz w:val="20"/>
          <w:szCs w:val="20"/>
        </w:rPr>
        <w:t xml:space="preserve"> figurant dans la Recommandation 19-08</w:t>
      </w:r>
      <w:r w:rsidR="006733C4" w:rsidRPr="00931333">
        <w:rPr>
          <w:rFonts w:ascii="Cambria" w:hAnsi="Cambria"/>
          <w:sz w:val="20"/>
          <w:szCs w:val="20"/>
        </w:rPr>
        <w:t xml:space="preserve"> et à la </w:t>
      </w:r>
      <w:r w:rsidR="00C94211" w:rsidRPr="00931333">
        <w:rPr>
          <w:rFonts w:ascii="Cambria" w:hAnsi="Cambria"/>
          <w:sz w:val="20"/>
          <w:szCs w:val="20"/>
        </w:rPr>
        <w:t>production maximale équilibrée (</w:t>
      </w:r>
      <w:r w:rsidR="006733C4" w:rsidRPr="00931333">
        <w:rPr>
          <w:rFonts w:ascii="Cambria" w:hAnsi="Cambria"/>
          <w:sz w:val="20"/>
          <w:szCs w:val="20"/>
        </w:rPr>
        <w:t>PME</w:t>
      </w:r>
      <w:r w:rsidR="00C94211" w:rsidRPr="00931333">
        <w:rPr>
          <w:rFonts w:ascii="Cambria" w:hAnsi="Cambria"/>
          <w:sz w:val="20"/>
          <w:szCs w:val="20"/>
        </w:rPr>
        <w:t>)</w:t>
      </w:r>
      <w:r w:rsidR="006733C4" w:rsidRPr="00931333">
        <w:rPr>
          <w:rFonts w:ascii="Cambria" w:hAnsi="Cambria"/>
          <w:sz w:val="20"/>
          <w:szCs w:val="20"/>
        </w:rPr>
        <w:t xml:space="preserve"> estimée de 2021 dans l'évaluation du stock 2023 ;</w:t>
      </w:r>
    </w:p>
    <w:p w14:paraId="7D1DAA54" w14:textId="6576FCF7"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45C5934F" w14:textId="41B622CB" w:rsidR="00BC4836" w:rsidRPr="00931333" w:rsidRDefault="008E651E" w:rsidP="00931333">
      <w:pPr>
        <w:spacing w:after="0" w:line="240" w:lineRule="auto"/>
        <w:ind w:firstLine="426"/>
        <w:jc w:val="both"/>
        <w:rPr>
          <w:rFonts w:ascii="Cambria" w:eastAsia="Cambria" w:hAnsi="Cambria" w:cs="Cambria"/>
          <w:sz w:val="20"/>
          <w:szCs w:val="20"/>
        </w:rPr>
      </w:pPr>
      <w:r w:rsidRPr="00931333">
        <w:rPr>
          <w:rFonts w:ascii="Cambria" w:hAnsi="Cambria"/>
          <w:i/>
          <w:iCs/>
          <w:sz w:val="20"/>
          <w:szCs w:val="20"/>
        </w:rPr>
        <w:t>NOTANT</w:t>
      </w:r>
      <w:r w:rsidRPr="00931333">
        <w:rPr>
          <w:rFonts w:ascii="Cambria" w:hAnsi="Cambria"/>
          <w:sz w:val="20"/>
          <w:szCs w:val="20"/>
        </w:rPr>
        <w:t xml:space="preserve"> que le SCRS indique que le maintien des niveaux de capture actuels devrait entraîner un déclin rapide de la biomasse du stock, avec un risque de tomber en dessous de 20</w:t>
      </w:r>
      <w:r w:rsidR="00CD1F10" w:rsidRPr="00931333">
        <w:rPr>
          <w:rFonts w:ascii="Cambria" w:hAnsi="Cambria"/>
          <w:sz w:val="20"/>
          <w:szCs w:val="20"/>
        </w:rPr>
        <w:t> </w:t>
      </w:r>
      <w:r w:rsidRPr="00931333">
        <w:rPr>
          <w:rFonts w:ascii="Cambria" w:hAnsi="Cambria"/>
          <w:sz w:val="20"/>
          <w:szCs w:val="20"/>
        </w:rPr>
        <w:t>% du niveau de référence de B</w:t>
      </w:r>
      <w:r w:rsidRPr="00931333">
        <w:rPr>
          <w:rFonts w:ascii="Cambria" w:hAnsi="Cambria"/>
          <w:sz w:val="20"/>
          <w:szCs w:val="20"/>
          <w:vertAlign w:val="subscript"/>
        </w:rPr>
        <w:t>PME</w:t>
      </w:r>
      <w:r w:rsidRPr="00931333">
        <w:rPr>
          <w:rFonts w:ascii="Cambria" w:hAnsi="Cambria"/>
          <w:sz w:val="20"/>
          <w:szCs w:val="20"/>
        </w:rPr>
        <w:t xml:space="preserve"> estimé</w:t>
      </w:r>
      <w:r w:rsidR="00CD1F10" w:rsidRPr="00931333">
        <w:rPr>
          <w:rFonts w:ascii="Cambria" w:hAnsi="Cambria"/>
          <w:sz w:val="20"/>
          <w:szCs w:val="20"/>
        </w:rPr>
        <w:t> ;</w:t>
      </w:r>
    </w:p>
    <w:p w14:paraId="49F205A4" w14:textId="77777777" w:rsidR="008E651E" w:rsidRPr="00931333" w:rsidRDefault="008E651E" w:rsidP="00931333">
      <w:pPr>
        <w:tabs>
          <w:tab w:val="left" w:pos="480"/>
        </w:tabs>
        <w:spacing w:after="0" w:line="240" w:lineRule="auto"/>
        <w:ind w:firstLine="426"/>
        <w:jc w:val="both"/>
        <w:rPr>
          <w:rFonts w:ascii="Cambria" w:eastAsia="Cambria" w:hAnsi="Cambria" w:cs="Cambria"/>
          <w:sz w:val="20"/>
          <w:szCs w:val="20"/>
          <w:shd w:val="clear" w:color="auto" w:fill="E6E6E6"/>
        </w:rPr>
      </w:pPr>
    </w:p>
    <w:p w14:paraId="6CCCBCBF" w14:textId="7898C393" w:rsidR="00BC4836" w:rsidRPr="00931333" w:rsidRDefault="4523CD84" w:rsidP="00931333">
      <w:pPr>
        <w:tabs>
          <w:tab w:val="left" w:pos="480"/>
        </w:tabs>
        <w:spacing w:after="0" w:line="240" w:lineRule="auto"/>
        <w:ind w:firstLine="426"/>
        <w:jc w:val="both"/>
        <w:rPr>
          <w:rFonts w:ascii="Cambria" w:eastAsia="Cambria" w:hAnsi="Cambria" w:cs="Cambria"/>
          <w:sz w:val="20"/>
          <w:szCs w:val="20"/>
        </w:rPr>
      </w:pPr>
      <w:r w:rsidRPr="00931333">
        <w:rPr>
          <w:rFonts w:ascii="Cambria" w:hAnsi="Cambria"/>
          <w:i/>
          <w:iCs/>
          <w:sz w:val="20"/>
        </w:rPr>
        <w:t>CONSIDÉRANT EN OUTRE</w:t>
      </w:r>
      <w:r w:rsidRPr="00931333">
        <w:rPr>
          <w:rFonts w:ascii="Cambria" w:hAnsi="Cambria"/>
          <w:sz w:val="20"/>
        </w:rPr>
        <w:t xml:space="preserve"> que, selon le rapport du SCRS de 2023, un TAC de 27.711</w:t>
      </w:r>
      <w:r w:rsidR="00CD1F10" w:rsidRPr="00931333">
        <w:rPr>
          <w:rFonts w:ascii="Cambria" w:hAnsi="Cambria"/>
          <w:sz w:val="20"/>
        </w:rPr>
        <w:t> </w:t>
      </w:r>
      <w:r w:rsidRPr="00931333">
        <w:rPr>
          <w:rFonts w:ascii="Cambria" w:hAnsi="Cambria"/>
          <w:sz w:val="20"/>
        </w:rPr>
        <w:t xml:space="preserve">t </w:t>
      </w:r>
      <w:r w:rsidR="006528BA" w:rsidRPr="00931333">
        <w:rPr>
          <w:rFonts w:ascii="Cambria" w:hAnsi="Cambria"/>
          <w:sz w:val="20"/>
        </w:rPr>
        <w:t xml:space="preserve">ou moins </w:t>
      </w:r>
      <w:r w:rsidRPr="00931333">
        <w:rPr>
          <w:rFonts w:ascii="Cambria" w:hAnsi="Cambria"/>
          <w:sz w:val="20"/>
        </w:rPr>
        <w:t>mettrait immédiatement fin à la surpêche et maintiendrait le stock dans le quadrant vert du diagramme de Kobe avec une probabilité d'au moins 54</w:t>
      </w:r>
      <w:r w:rsidR="00CD1F10" w:rsidRPr="00931333">
        <w:rPr>
          <w:rFonts w:ascii="Cambria" w:hAnsi="Cambria"/>
          <w:sz w:val="20"/>
        </w:rPr>
        <w:t> </w:t>
      </w:r>
      <w:r w:rsidRPr="00931333">
        <w:rPr>
          <w:rFonts w:ascii="Cambria" w:hAnsi="Cambria"/>
          <w:sz w:val="20"/>
        </w:rPr>
        <w:t>% jusqu'en 2033</w:t>
      </w:r>
      <w:r w:rsidR="00B35AB6" w:rsidRPr="00931333">
        <w:rPr>
          <w:rFonts w:ascii="Cambria" w:hAnsi="Cambria"/>
          <w:sz w:val="20"/>
        </w:rPr>
        <w:t> ;</w:t>
      </w:r>
    </w:p>
    <w:p w14:paraId="5DAE76AA" w14:textId="77777777" w:rsidR="00BC4836" w:rsidRPr="00931333" w:rsidRDefault="00BC4836" w:rsidP="00931333">
      <w:pPr>
        <w:tabs>
          <w:tab w:val="left" w:pos="480"/>
        </w:tabs>
        <w:spacing w:after="0" w:line="240" w:lineRule="auto"/>
        <w:ind w:firstLine="426"/>
        <w:jc w:val="both"/>
        <w:rPr>
          <w:rFonts w:ascii="Cambria" w:eastAsia="Cambria" w:hAnsi="Cambria" w:cs="Cambria"/>
          <w:i/>
          <w:iCs/>
          <w:sz w:val="20"/>
          <w:szCs w:val="20"/>
        </w:rPr>
      </w:pPr>
    </w:p>
    <w:p w14:paraId="5728515D" w14:textId="232D0A20" w:rsidR="00BC4836" w:rsidRPr="00931333" w:rsidRDefault="4523CD84" w:rsidP="00931333">
      <w:pPr>
        <w:tabs>
          <w:tab w:val="left" w:pos="480"/>
        </w:tabs>
        <w:spacing w:after="0" w:line="240" w:lineRule="auto"/>
        <w:ind w:firstLine="426"/>
        <w:jc w:val="both"/>
        <w:rPr>
          <w:rFonts w:ascii="Cambria" w:eastAsia="Cambria" w:hAnsi="Cambria" w:cs="Cambria"/>
          <w:sz w:val="20"/>
          <w:szCs w:val="20"/>
        </w:rPr>
      </w:pPr>
      <w:r w:rsidRPr="00931333">
        <w:rPr>
          <w:rFonts w:ascii="Cambria" w:hAnsi="Cambria"/>
          <w:i/>
          <w:iCs/>
          <w:sz w:val="20"/>
          <w:szCs w:val="20"/>
        </w:rPr>
        <w:t>RECONNAISSANT</w:t>
      </w:r>
      <w:r w:rsidRPr="00931333">
        <w:rPr>
          <w:rFonts w:ascii="Cambria" w:hAnsi="Cambria"/>
          <w:sz w:val="20"/>
          <w:szCs w:val="20"/>
        </w:rPr>
        <w:t xml:space="preserve"> la nécessité de stabiliser les modes d'exploitation de cette pêcherie, en particulier pour éviter, dans la mesure du possible, des fluctuations importantes des captures</w:t>
      </w:r>
      <w:r w:rsidR="00B35AB6" w:rsidRPr="00931333">
        <w:rPr>
          <w:rFonts w:ascii="Cambria" w:hAnsi="Cambria"/>
          <w:sz w:val="20"/>
          <w:szCs w:val="20"/>
        </w:rPr>
        <w:t> ;</w:t>
      </w:r>
      <w:r w:rsidRPr="00931333">
        <w:rPr>
          <w:rFonts w:ascii="Cambria" w:hAnsi="Cambria"/>
          <w:sz w:val="20"/>
          <w:szCs w:val="20"/>
        </w:rPr>
        <w:t xml:space="preserve"> </w:t>
      </w:r>
    </w:p>
    <w:p w14:paraId="585369F4" w14:textId="77777777" w:rsidR="00885E93" w:rsidRPr="00931333" w:rsidRDefault="00885E93" w:rsidP="00931333">
      <w:pPr>
        <w:spacing w:after="0" w:line="240" w:lineRule="auto"/>
        <w:jc w:val="center"/>
        <w:rPr>
          <w:rFonts w:ascii="Cambria" w:eastAsia="Cambria" w:hAnsi="Cambria" w:cs="Cambria"/>
          <w:sz w:val="20"/>
          <w:szCs w:val="20"/>
        </w:rPr>
      </w:pPr>
    </w:p>
    <w:p w14:paraId="131498C6" w14:textId="77777777" w:rsidR="00885E93" w:rsidRPr="00931333" w:rsidRDefault="00885E93" w:rsidP="00931333">
      <w:pPr>
        <w:spacing w:after="0" w:line="240" w:lineRule="auto"/>
        <w:jc w:val="center"/>
        <w:rPr>
          <w:rFonts w:ascii="Cambria" w:eastAsia="Cambria" w:hAnsi="Cambria" w:cs="Cambria"/>
          <w:sz w:val="20"/>
          <w:szCs w:val="20"/>
        </w:rPr>
      </w:pPr>
    </w:p>
    <w:p w14:paraId="1835A352" w14:textId="77777777" w:rsidR="00885E93" w:rsidRPr="00931333" w:rsidRDefault="19EB1D4A" w:rsidP="00931333">
      <w:pPr>
        <w:spacing w:after="0" w:line="240" w:lineRule="auto"/>
        <w:jc w:val="center"/>
        <w:rPr>
          <w:rFonts w:ascii="Cambria" w:eastAsia="Cambria" w:hAnsi="Cambria" w:cs="Cambria"/>
          <w:sz w:val="20"/>
          <w:szCs w:val="20"/>
        </w:rPr>
      </w:pPr>
      <w:r w:rsidRPr="00931333">
        <w:rPr>
          <w:rFonts w:ascii="Cambria" w:hAnsi="Cambria"/>
          <w:sz w:val="20"/>
          <w:szCs w:val="20"/>
        </w:rPr>
        <w:t>LA COMMISSION INTERNATIONALE POUR LA CONSERVATION</w:t>
      </w:r>
    </w:p>
    <w:p w14:paraId="5CC74DE4" w14:textId="77777777" w:rsidR="00885E93" w:rsidRPr="00931333" w:rsidRDefault="19EB1D4A" w:rsidP="00931333">
      <w:pPr>
        <w:spacing w:after="0" w:line="240" w:lineRule="auto"/>
        <w:jc w:val="center"/>
        <w:rPr>
          <w:rFonts w:ascii="Cambria" w:eastAsia="Cambria" w:hAnsi="Cambria" w:cs="Cambria"/>
          <w:sz w:val="20"/>
          <w:szCs w:val="20"/>
        </w:rPr>
      </w:pPr>
      <w:r w:rsidRPr="00931333">
        <w:rPr>
          <w:rFonts w:ascii="Cambria" w:hAnsi="Cambria"/>
          <w:sz w:val="20"/>
          <w:szCs w:val="20"/>
        </w:rPr>
        <w:t>DES THONIDÉS DE L’ATLANTIQUE (ICCAT) RECOMMANDE CE QUI SUIT :</w:t>
      </w:r>
    </w:p>
    <w:p w14:paraId="6503FA25" w14:textId="77777777" w:rsidR="00885E93" w:rsidRPr="00931333" w:rsidRDefault="00885E93" w:rsidP="00931333">
      <w:pPr>
        <w:spacing w:after="0" w:line="240" w:lineRule="auto"/>
        <w:jc w:val="center"/>
        <w:rPr>
          <w:rFonts w:ascii="Cambria" w:eastAsia="Cambria" w:hAnsi="Cambria" w:cs="Cambria"/>
          <w:sz w:val="20"/>
          <w:szCs w:val="20"/>
        </w:rPr>
      </w:pPr>
    </w:p>
    <w:p w14:paraId="30CCC2E0" w14:textId="746DE06D" w:rsidR="00BC4836" w:rsidRPr="00931333" w:rsidRDefault="4523CD84" w:rsidP="00931333">
      <w:pPr>
        <w:pStyle w:val="ListParagraph"/>
        <w:widowControl w:val="0"/>
        <w:numPr>
          <w:ilvl w:val="0"/>
          <w:numId w:val="7"/>
        </w:numPr>
        <w:spacing w:after="0" w:line="240" w:lineRule="auto"/>
        <w:ind w:left="426" w:hanging="426"/>
        <w:jc w:val="both"/>
        <w:rPr>
          <w:rFonts w:ascii="Cambria" w:eastAsia="Cambria" w:hAnsi="Cambria" w:cs="Cambria"/>
          <w:sz w:val="20"/>
          <w:szCs w:val="20"/>
        </w:rPr>
      </w:pPr>
      <w:bookmarkStart w:id="1" w:name="_Hlk119423086"/>
      <w:r w:rsidRPr="00931333">
        <w:rPr>
          <w:rFonts w:ascii="Cambria" w:hAnsi="Cambria"/>
          <w:sz w:val="20"/>
        </w:rPr>
        <w:t>Les Parties contractantes et Parties, Entités ou Entités de pêche non contractantes coopérantes (CPC) dont les navires pêchent le requin peau bleue en association avec les pêcheries de l’ICCAT dans la zone de la Convention devront mettre en œuvre des mesures de gestion afin de garantir la conservation et la gestion durable du requin peau bleue de l'Atlantique Sud (</w:t>
      </w:r>
      <w:r w:rsidRPr="00931333">
        <w:rPr>
          <w:rFonts w:ascii="Cambria" w:hAnsi="Cambria"/>
          <w:i/>
          <w:iCs/>
          <w:sz w:val="20"/>
        </w:rPr>
        <w:t>Prionace glauca</w:t>
      </w:r>
      <w:r w:rsidRPr="00931333">
        <w:rPr>
          <w:rFonts w:ascii="Cambria" w:hAnsi="Cambria"/>
          <w:sz w:val="20"/>
        </w:rPr>
        <w:t>) conformément aux objectifs de la Convention de l'ICCAT.</w:t>
      </w:r>
    </w:p>
    <w:p w14:paraId="252508B3" w14:textId="77777777" w:rsidR="00BC4836" w:rsidRPr="00931333" w:rsidRDefault="00BC4836" w:rsidP="00931333">
      <w:pPr>
        <w:pStyle w:val="ListParagraph"/>
        <w:widowControl w:val="0"/>
        <w:spacing w:after="0" w:line="240" w:lineRule="auto"/>
        <w:ind w:left="780"/>
        <w:jc w:val="both"/>
        <w:rPr>
          <w:rFonts w:ascii="Cambria" w:eastAsia="Cambria" w:hAnsi="Cambria" w:cs="Cambria"/>
          <w:sz w:val="20"/>
          <w:szCs w:val="20"/>
        </w:rPr>
      </w:pPr>
    </w:p>
    <w:p w14:paraId="2C56867C" w14:textId="3442FFAF" w:rsidR="00BC4836" w:rsidRPr="00931333" w:rsidRDefault="1744B81C" w:rsidP="00931333">
      <w:pPr>
        <w:widowControl w:val="0"/>
        <w:spacing w:after="0" w:line="240" w:lineRule="auto"/>
        <w:ind w:left="360" w:hanging="360"/>
        <w:jc w:val="both"/>
        <w:rPr>
          <w:rFonts w:ascii="Cambria" w:eastAsia="Cambria" w:hAnsi="Cambria" w:cs="Cambria"/>
          <w:b/>
          <w:bCs/>
          <w:sz w:val="20"/>
          <w:szCs w:val="20"/>
        </w:rPr>
      </w:pPr>
      <w:r w:rsidRPr="00931333">
        <w:rPr>
          <w:rFonts w:ascii="Cambria" w:hAnsi="Cambria"/>
          <w:b/>
          <w:bCs/>
          <w:sz w:val="20"/>
          <w:szCs w:val="20"/>
        </w:rPr>
        <w:t>Limites de capture s'appliquant au requin peau bleue</w:t>
      </w:r>
    </w:p>
    <w:p w14:paraId="39AA211C" w14:textId="77777777" w:rsidR="00BC4836" w:rsidRPr="00931333" w:rsidRDefault="00BC4836" w:rsidP="00931333">
      <w:pPr>
        <w:pStyle w:val="ListParagraph"/>
        <w:widowControl w:val="0"/>
        <w:spacing w:after="0" w:line="240" w:lineRule="auto"/>
        <w:ind w:left="780"/>
        <w:jc w:val="both"/>
        <w:rPr>
          <w:rFonts w:ascii="Cambria" w:eastAsia="Cambria" w:hAnsi="Cambria" w:cs="Cambria"/>
          <w:sz w:val="20"/>
          <w:szCs w:val="20"/>
        </w:rPr>
      </w:pPr>
    </w:p>
    <w:p w14:paraId="386CD044" w14:textId="2CB3679A" w:rsidR="00BC4836"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2. </w:t>
      </w:r>
      <w:r w:rsidRPr="00931333">
        <w:rPr>
          <w:rFonts w:ascii="Cambria" w:hAnsi="Cambria"/>
          <w:sz w:val="20"/>
          <w:szCs w:val="20"/>
        </w:rPr>
        <w:tab/>
      </w:r>
      <w:r w:rsidR="2E8FB8D3" w:rsidRPr="00931333">
        <w:rPr>
          <w:rFonts w:ascii="Cambria" w:hAnsi="Cambria"/>
          <w:sz w:val="20"/>
          <w:szCs w:val="20"/>
        </w:rPr>
        <w:t xml:space="preserve">Un TAC </w:t>
      </w:r>
      <w:r w:rsidR="00C94211" w:rsidRPr="00931333">
        <w:rPr>
          <w:rFonts w:ascii="Cambria" w:hAnsi="Cambria"/>
          <w:sz w:val="20"/>
          <w:szCs w:val="20"/>
        </w:rPr>
        <w:t xml:space="preserve">annuel </w:t>
      </w:r>
      <w:r w:rsidR="2E8FB8D3" w:rsidRPr="00931333">
        <w:rPr>
          <w:rFonts w:ascii="Cambria" w:hAnsi="Cambria"/>
          <w:sz w:val="20"/>
          <w:szCs w:val="20"/>
        </w:rPr>
        <w:t>de 27.711</w:t>
      </w:r>
      <w:r w:rsidR="009E4899" w:rsidRPr="00931333">
        <w:rPr>
          <w:rFonts w:ascii="Cambria" w:hAnsi="Cambria"/>
          <w:sz w:val="20"/>
          <w:szCs w:val="20"/>
        </w:rPr>
        <w:t> </w:t>
      </w:r>
      <w:r w:rsidR="2E8FB8D3" w:rsidRPr="00931333">
        <w:rPr>
          <w:rFonts w:ascii="Cambria" w:hAnsi="Cambria"/>
          <w:sz w:val="20"/>
          <w:szCs w:val="20"/>
        </w:rPr>
        <w:t>t est établi pour le requin peau bleue de l'Atlantique Sud.</w:t>
      </w:r>
    </w:p>
    <w:p w14:paraId="417E9E4A" w14:textId="726E7997" w:rsidR="009C4F5A" w:rsidRPr="00931333" w:rsidRDefault="009C4F5A" w:rsidP="00931333">
      <w:pPr>
        <w:rPr>
          <w:rFonts w:ascii="Cambria" w:eastAsia="Cambria" w:hAnsi="Cambria" w:cs="Cambria"/>
          <w:sz w:val="20"/>
          <w:szCs w:val="20"/>
        </w:rPr>
      </w:pPr>
      <w:r w:rsidRPr="00931333">
        <w:rPr>
          <w:rFonts w:ascii="Cambria" w:eastAsia="Cambria" w:hAnsi="Cambria" w:cs="Cambria"/>
          <w:sz w:val="20"/>
          <w:szCs w:val="20"/>
        </w:rPr>
        <w:br w:type="page"/>
      </w:r>
    </w:p>
    <w:p w14:paraId="6E953E4F" w14:textId="6D20207E" w:rsidR="00E43FD1"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lastRenderedPageBreak/>
        <w:t xml:space="preserve">3. </w:t>
      </w:r>
      <w:r w:rsidRPr="00931333">
        <w:rPr>
          <w:rFonts w:ascii="Cambria" w:hAnsi="Cambria"/>
          <w:sz w:val="20"/>
          <w:szCs w:val="20"/>
        </w:rPr>
        <w:tab/>
      </w:r>
      <w:r w:rsidR="7948E003" w:rsidRPr="00931333">
        <w:rPr>
          <w:rFonts w:ascii="Cambria" w:hAnsi="Cambria"/>
          <w:sz w:val="20"/>
          <w:szCs w:val="20"/>
        </w:rPr>
        <w:t>Les CPC suivantes devront être soumises aux limites de capture suivantes</w:t>
      </w:r>
      <w:r w:rsidR="00B35AB6" w:rsidRPr="00931333">
        <w:rPr>
          <w:rFonts w:ascii="Cambria" w:hAnsi="Cambria"/>
          <w:sz w:val="20"/>
          <w:szCs w:val="20"/>
        </w:rPr>
        <w:t> :</w:t>
      </w:r>
    </w:p>
    <w:p w14:paraId="2EC40612" w14:textId="77777777" w:rsidR="009C4F5A" w:rsidRPr="00931333" w:rsidRDefault="009C4F5A" w:rsidP="00931333">
      <w:pPr>
        <w:pStyle w:val="ListParagraph"/>
        <w:widowControl w:val="0"/>
        <w:spacing w:after="0" w:line="240" w:lineRule="auto"/>
        <w:ind w:left="426"/>
        <w:jc w:val="both"/>
        <w:rPr>
          <w:rFonts w:ascii="Cambria" w:eastAsia="Cambria" w:hAnsi="Cambria" w:cs="Cambria"/>
          <w:sz w:val="20"/>
          <w:szCs w:val="20"/>
        </w:rPr>
      </w:pPr>
    </w:p>
    <w:tbl>
      <w:tblPr>
        <w:tblStyle w:val="TableGrid"/>
        <w:tblW w:w="4394" w:type="dxa"/>
        <w:tblInd w:w="2122" w:type="dxa"/>
        <w:tblLook w:val="04A0" w:firstRow="1" w:lastRow="0" w:firstColumn="1" w:lastColumn="0" w:noHBand="0" w:noVBand="1"/>
      </w:tblPr>
      <w:tblGrid>
        <w:gridCol w:w="2043"/>
        <w:gridCol w:w="2351"/>
      </w:tblGrid>
      <w:tr w:rsidR="008E651E" w:rsidRPr="00931333" w14:paraId="7A6ED441" w14:textId="77777777" w:rsidTr="00B35AB6">
        <w:trPr>
          <w:trHeight w:val="300"/>
        </w:trPr>
        <w:tc>
          <w:tcPr>
            <w:tcW w:w="2043" w:type="dxa"/>
          </w:tcPr>
          <w:p w14:paraId="4466CA7E" w14:textId="2D38EE11" w:rsidR="00FD1902" w:rsidRPr="00931333" w:rsidRDefault="006733C4" w:rsidP="00931333">
            <w:pPr>
              <w:pStyle w:val="ListParagraph"/>
              <w:ind w:left="0"/>
              <w:jc w:val="center"/>
              <w:rPr>
                <w:rFonts w:ascii="Cambria" w:eastAsia="Cambria" w:hAnsi="Cambria" w:cs="Cambria"/>
                <w:i/>
                <w:iCs/>
                <w:sz w:val="20"/>
                <w:szCs w:val="20"/>
              </w:rPr>
            </w:pPr>
            <w:r w:rsidRPr="00931333">
              <w:rPr>
                <w:rFonts w:ascii="Cambria" w:eastAsia="Cambria" w:hAnsi="Cambria" w:cs="Cambria"/>
                <w:i/>
                <w:iCs/>
                <w:sz w:val="20"/>
                <w:szCs w:val="20"/>
              </w:rPr>
              <w:t>CPC</w:t>
            </w:r>
          </w:p>
        </w:tc>
        <w:tc>
          <w:tcPr>
            <w:tcW w:w="2351" w:type="dxa"/>
          </w:tcPr>
          <w:p w14:paraId="36732568" w14:textId="0F47BA4C" w:rsidR="00FD1902" w:rsidRPr="00931333" w:rsidRDefault="516D4565" w:rsidP="00931333">
            <w:pPr>
              <w:pStyle w:val="ListParagraph"/>
              <w:ind w:left="0"/>
              <w:jc w:val="center"/>
              <w:rPr>
                <w:rFonts w:ascii="Cambria" w:hAnsi="Cambria"/>
                <w:i/>
                <w:sz w:val="20"/>
              </w:rPr>
            </w:pPr>
            <w:r w:rsidRPr="00931333">
              <w:rPr>
                <w:rFonts w:ascii="Cambria" w:hAnsi="Cambria"/>
                <w:i/>
                <w:iCs/>
                <w:sz w:val="20"/>
                <w:szCs w:val="20"/>
              </w:rPr>
              <w:t>Limite</w:t>
            </w:r>
            <w:r w:rsidR="009E4899" w:rsidRPr="00931333">
              <w:rPr>
                <w:rFonts w:ascii="Cambria" w:hAnsi="Cambria"/>
                <w:i/>
                <w:iCs/>
                <w:sz w:val="20"/>
                <w:szCs w:val="20"/>
              </w:rPr>
              <w:t xml:space="preserve"> </w:t>
            </w:r>
            <w:r w:rsidRPr="00931333">
              <w:rPr>
                <w:rFonts w:ascii="Cambria" w:hAnsi="Cambria"/>
                <w:i/>
                <w:iCs/>
                <w:sz w:val="20"/>
                <w:szCs w:val="20"/>
              </w:rPr>
              <w:t>de capture</w:t>
            </w:r>
          </w:p>
        </w:tc>
      </w:tr>
      <w:tr w:rsidR="006733C4" w:rsidRPr="00931333" w14:paraId="50B4051E" w14:textId="77777777" w:rsidTr="006528BA">
        <w:trPr>
          <w:trHeight w:val="300"/>
        </w:trPr>
        <w:tc>
          <w:tcPr>
            <w:tcW w:w="2043" w:type="dxa"/>
          </w:tcPr>
          <w:p w14:paraId="08D1BAC7" w14:textId="51C335C1" w:rsidR="006733C4" w:rsidRPr="00931333" w:rsidRDefault="006733C4" w:rsidP="00931333">
            <w:pPr>
              <w:pStyle w:val="ListParagraph"/>
              <w:ind w:left="0"/>
              <w:jc w:val="center"/>
              <w:rPr>
                <w:rFonts w:ascii="Cambria" w:eastAsia="Cambria" w:hAnsi="Cambria" w:cs="Cambria"/>
                <w:sz w:val="20"/>
                <w:szCs w:val="20"/>
              </w:rPr>
            </w:pPr>
            <w:r w:rsidRPr="00931333">
              <w:rPr>
                <w:rFonts w:ascii="Cambria" w:hAnsi="Cambria"/>
                <w:sz w:val="20"/>
                <w:szCs w:val="20"/>
              </w:rPr>
              <w:t>UE</w:t>
            </w:r>
          </w:p>
        </w:tc>
        <w:tc>
          <w:tcPr>
            <w:tcW w:w="2351" w:type="dxa"/>
            <w:vAlign w:val="center"/>
          </w:tcPr>
          <w:p w14:paraId="70F70CD4" w14:textId="0475D64B" w:rsidR="006733C4" w:rsidRPr="00931333" w:rsidRDefault="006733C4" w:rsidP="00931333">
            <w:pPr>
              <w:pStyle w:val="ListParagraph"/>
              <w:ind w:left="0"/>
              <w:jc w:val="center"/>
              <w:rPr>
                <w:rFonts w:ascii="Cambria" w:eastAsia="Cambria" w:hAnsi="Cambria" w:cs="Cambria"/>
                <w:sz w:val="20"/>
                <w:szCs w:val="20"/>
              </w:rPr>
            </w:pPr>
            <w:r w:rsidRPr="00931333">
              <w:rPr>
                <w:rFonts w:ascii="Cambria" w:eastAsia="Cambria" w:hAnsi="Cambria" w:cs="Cambria"/>
                <w:sz w:val="20"/>
                <w:szCs w:val="20"/>
              </w:rPr>
              <w:t>17.</w:t>
            </w:r>
            <w:r w:rsidR="0004250B" w:rsidRPr="00931333">
              <w:rPr>
                <w:rFonts w:ascii="Cambria" w:eastAsia="Cambria" w:hAnsi="Cambria" w:cs="Cambria"/>
                <w:sz w:val="20"/>
                <w:szCs w:val="20"/>
              </w:rPr>
              <w:t>405</w:t>
            </w:r>
            <w:r w:rsidRPr="00931333">
              <w:rPr>
                <w:rFonts w:ascii="Cambria" w:eastAsia="Cambria" w:hAnsi="Cambria" w:cs="Cambria"/>
                <w:sz w:val="20"/>
                <w:szCs w:val="20"/>
              </w:rPr>
              <w:t xml:space="preserve"> t</w:t>
            </w:r>
          </w:p>
        </w:tc>
      </w:tr>
      <w:tr w:rsidR="006733C4" w:rsidRPr="00931333" w14:paraId="500425A8" w14:textId="77777777" w:rsidTr="006528BA">
        <w:trPr>
          <w:trHeight w:val="300"/>
        </w:trPr>
        <w:tc>
          <w:tcPr>
            <w:tcW w:w="2043" w:type="dxa"/>
          </w:tcPr>
          <w:p w14:paraId="25354384" w14:textId="1BB5AE3A" w:rsidR="006733C4" w:rsidRPr="00931333" w:rsidRDefault="006733C4" w:rsidP="00931333">
            <w:pPr>
              <w:pStyle w:val="ListParagraph"/>
              <w:ind w:left="0"/>
              <w:jc w:val="center"/>
              <w:rPr>
                <w:rFonts w:ascii="Cambria" w:eastAsia="Cambria" w:hAnsi="Cambria" w:cs="Cambria"/>
                <w:sz w:val="20"/>
                <w:szCs w:val="20"/>
              </w:rPr>
            </w:pPr>
            <w:r w:rsidRPr="00931333">
              <w:rPr>
                <w:rFonts w:ascii="Cambria" w:hAnsi="Cambria"/>
                <w:sz w:val="20"/>
                <w:szCs w:val="20"/>
              </w:rPr>
              <w:t>Brésil</w:t>
            </w:r>
          </w:p>
        </w:tc>
        <w:tc>
          <w:tcPr>
            <w:tcW w:w="2351" w:type="dxa"/>
            <w:vAlign w:val="center"/>
          </w:tcPr>
          <w:p w14:paraId="076BDCD9" w14:textId="57DB3BC6" w:rsidR="006733C4" w:rsidRPr="00931333" w:rsidRDefault="006733C4" w:rsidP="00931333">
            <w:pPr>
              <w:pStyle w:val="ListParagraph"/>
              <w:ind w:left="0"/>
              <w:jc w:val="center"/>
              <w:rPr>
                <w:rFonts w:ascii="Cambria" w:eastAsia="Cambria" w:hAnsi="Cambria" w:cs="Cambria"/>
                <w:sz w:val="20"/>
                <w:szCs w:val="20"/>
              </w:rPr>
            </w:pPr>
            <w:r w:rsidRPr="00931333">
              <w:rPr>
                <w:rFonts w:ascii="Cambria" w:eastAsia="Cambria" w:hAnsi="Cambria" w:cs="Cambria"/>
                <w:sz w:val="20"/>
                <w:szCs w:val="20"/>
              </w:rPr>
              <w:t>3.4</w:t>
            </w:r>
            <w:r w:rsidR="0004250B" w:rsidRPr="00931333">
              <w:rPr>
                <w:rFonts w:ascii="Cambria" w:eastAsia="Cambria" w:hAnsi="Cambria" w:cs="Cambria"/>
                <w:sz w:val="20"/>
                <w:szCs w:val="20"/>
              </w:rPr>
              <w:t>81</w:t>
            </w:r>
            <w:r w:rsidRPr="00931333">
              <w:rPr>
                <w:rFonts w:ascii="Cambria" w:eastAsia="Cambria" w:hAnsi="Cambria" w:cs="Cambria"/>
                <w:sz w:val="20"/>
                <w:szCs w:val="20"/>
              </w:rPr>
              <w:t xml:space="preserve"> t</w:t>
            </w:r>
          </w:p>
        </w:tc>
      </w:tr>
      <w:tr w:rsidR="006733C4" w:rsidRPr="00931333" w14:paraId="7F1A4CCA" w14:textId="77777777" w:rsidTr="006528BA">
        <w:trPr>
          <w:trHeight w:val="300"/>
        </w:trPr>
        <w:tc>
          <w:tcPr>
            <w:tcW w:w="2043" w:type="dxa"/>
          </w:tcPr>
          <w:p w14:paraId="4A257A0B" w14:textId="4EC10207" w:rsidR="006733C4" w:rsidRPr="00931333" w:rsidRDefault="006733C4" w:rsidP="00931333">
            <w:pPr>
              <w:pStyle w:val="ListParagraph"/>
              <w:ind w:left="0"/>
              <w:jc w:val="center"/>
              <w:rPr>
                <w:rFonts w:ascii="Cambria" w:eastAsia="Cambria" w:hAnsi="Cambria" w:cs="Cambria"/>
                <w:sz w:val="20"/>
                <w:szCs w:val="20"/>
              </w:rPr>
            </w:pPr>
            <w:r w:rsidRPr="00931333">
              <w:rPr>
                <w:rFonts w:ascii="Cambria" w:hAnsi="Cambria"/>
                <w:sz w:val="20"/>
                <w:szCs w:val="20"/>
              </w:rPr>
              <w:t>Namibie</w:t>
            </w:r>
          </w:p>
        </w:tc>
        <w:tc>
          <w:tcPr>
            <w:tcW w:w="2351" w:type="dxa"/>
            <w:vAlign w:val="center"/>
          </w:tcPr>
          <w:p w14:paraId="1AC7D3F0" w14:textId="30F4FB4C" w:rsidR="006733C4" w:rsidRPr="00931333" w:rsidRDefault="006733C4" w:rsidP="00931333">
            <w:pPr>
              <w:pStyle w:val="ListParagraph"/>
              <w:ind w:left="0"/>
              <w:jc w:val="center"/>
              <w:rPr>
                <w:rFonts w:ascii="Cambria" w:eastAsia="Cambria" w:hAnsi="Cambria" w:cs="Cambria"/>
                <w:sz w:val="20"/>
                <w:szCs w:val="20"/>
              </w:rPr>
            </w:pPr>
            <w:r w:rsidRPr="00931333">
              <w:rPr>
                <w:rFonts w:ascii="Cambria" w:eastAsia="Cambria" w:hAnsi="Cambria" w:cs="Cambria"/>
                <w:sz w:val="20"/>
                <w:szCs w:val="20"/>
              </w:rPr>
              <w:t>3.</w:t>
            </w:r>
            <w:r w:rsidR="0004250B" w:rsidRPr="00931333">
              <w:rPr>
                <w:rFonts w:ascii="Cambria" w:eastAsia="Cambria" w:hAnsi="Cambria" w:cs="Cambria"/>
                <w:sz w:val="20"/>
                <w:szCs w:val="20"/>
              </w:rPr>
              <w:t>238</w:t>
            </w:r>
            <w:r w:rsidRPr="00931333">
              <w:rPr>
                <w:rFonts w:ascii="Cambria" w:eastAsia="Cambria" w:hAnsi="Cambria" w:cs="Cambria"/>
                <w:sz w:val="20"/>
                <w:szCs w:val="20"/>
              </w:rPr>
              <w:t xml:space="preserve"> t</w:t>
            </w:r>
          </w:p>
        </w:tc>
      </w:tr>
      <w:tr w:rsidR="006733C4" w:rsidRPr="00931333" w14:paraId="523E269C" w14:textId="77777777" w:rsidTr="006528BA">
        <w:trPr>
          <w:trHeight w:val="300"/>
        </w:trPr>
        <w:tc>
          <w:tcPr>
            <w:tcW w:w="2043" w:type="dxa"/>
          </w:tcPr>
          <w:p w14:paraId="2F00E0D6" w14:textId="709D0C06" w:rsidR="006733C4" w:rsidRPr="00931333" w:rsidRDefault="006733C4" w:rsidP="00931333">
            <w:pPr>
              <w:pStyle w:val="ListParagraph"/>
              <w:ind w:left="0"/>
              <w:jc w:val="center"/>
              <w:rPr>
                <w:rFonts w:ascii="Cambria" w:eastAsia="Cambria" w:hAnsi="Cambria" w:cs="Cambria"/>
                <w:sz w:val="20"/>
                <w:szCs w:val="20"/>
              </w:rPr>
            </w:pPr>
            <w:r w:rsidRPr="00931333">
              <w:rPr>
                <w:rFonts w:ascii="Cambria" w:hAnsi="Cambria"/>
                <w:sz w:val="20"/>
                <w:szCs w:val="20"/>
              </w:rPr>
              <w:t>Japon</w:t>
            </w:r>
          </w:p>
        </w:tc>
        <w:tc>
          <w:tcPr>
            <w:tcW w:w="2351" w:type="dxa"/>
            <w:vAlign w:val="center"/>
          </w:tcPr>
          <w:p w14:paraId="4FBE4A88" w14:textId="701CB731" w:rsidR="006733C4" w:rsidRPr="00931333" w:rsidRDefault="006733C4" w:rsidP="00931333">
            <w:pPr>
              <w:pStyle w:val="ListParagraph"/>
              <w:ind w:left="0"/>
              <w:jc w:val="center"/>
              <w:rPr>
                <w:rFonts w:ascii="Cambria" w:eastAsia="Cambria" w:hAnsi="Cambria" w:cs="Cambria"/>
                <w:sz w:val="20"/>
                <w:szCs w:val="20"/>
              </w:rPr>
            </w:pPr>
            <w:r w:rsidRPr="00931333">
              <w:rPr>
                <w:rFonts w:ascii="Cambria" w:eastAsia="Cambria" w:hAnsi="Cambria" w:cs="Cambria"/>
                <w:sz w:val="20"/>
                <w:szCs w:val="20"/>
              </w:rPr>
              <w:t>1.5</w:t>
            </w:r>
            <w:r w:rsidR="0004250B" w:rsidRPr="00931333">
              <w:rPr>
                <w:rFonts w:ascii="Cambria" w:eastAsia="Cambria" w:hAnsi="Cambria" w:cs="Cambria"/>
                <w:sz w:val="20"/>
                <w:szCs w:val="20"/>
              </w:rPr>
              <w:t>2</w:t>
            </w:r>
            <w:r w:rsidRPr="00931333">
              <w:rPr>
                <w:rFonts w:ascii="Cambria" w:eastAsia="Cambria" w:hAnsi="Cambria" w:cs="Cambria"/>
                <w:sz w:val="20"/>
                <w:szCs w:val="20"/>
              </w:rPr>
              <w:t>0 t</w:t>
            </w:r>
          </w:p>
        </w:tc>
      </w:tr>
      <w:tr w:rsidR="006733C4" w:rsidRPr="00931333" w14:paraId="236D2F2E" w14:textId="77777777" w:rsidTr="006528BA">
        <w:trPr>
          <w:trHeight w:val="300"/>
        </w:trPr>
        <w:tc>
          <w:tcPr>
            <w:tcW w:w="2043" w:type="dxa"/>
          </w:tcPr>
          <w:p w14:paraId="355C1B65" w14:textId="387B25F0" w:rsidR="006733C4" w:rsidRPr="00931333" w:rsidRDefault="006733C4" w:rsidP="00931333">
            <w:pPr>
              <w:pStyle w:val="ListParagraph"/>
              <w:ind w:left="0"/>
              <w:jc w:val="center"/>
              <w:rPr>
                <w:rFonts w:ascii="Cambria" w:eastAsia="Cambria" w:hAnsi="Cambria" w:cs="Cambria"/>
                <w:sz w:val="20"/>
                <w:szCs w:val="20"/>
              </w:rPr>
            </w:pPr>
            <w:r w:rsidRPr="00931333">
              <w:rPr>
                <w:rFonts w:ascii="Cambria" w:hAnsi="Cambria"/>
                <w:sz w:val="20"/>
                <w:szCs w:val="20"/>
              </w:rPr>
              <w:t>Taipei chinois</w:t>
            </w:r>
          </w:p>
        </w:tc>
        <w:tc>
          <w:tcPr>
            <w:tcW w:w="2351" w:type="dxa"/>
            <w:vAlign w:val="center"/>
          </w:tcPr>
          <w:p w14:paraId="2993BAAC" w14:textId="7110EA2F" w:rsidR="006733C4" w:rsidRPr="00931333" w:rsidRDefault="008C13AF" w:rsidP="00931333">
            <w:pPr>
              <w:pStyle w:val="ListParagraph"/>
              <w:ind w:left="0"/>
              <w:jc w:val="center"/>
              <w:rPr>
                <w:rFonts w:ascii="Cambria" w:eastAsia="Cambria" w:hAnsi="Cambria" w:cs="Cambria"/>
                <w:sz w:val="20"/>
                <w:szCs w:val="20"/>
              </w:rPr>
            </w:pPr>
            <w:r w:rsidRPr="00931333">
              <w:rPr>
                <w:rFonts w:ascii="Cambria" w:eastAsia="Cambria" w:hAnsi="Cambria" w:cs="Cambria"/>
                <w:sz w:val="20"/>
                <w:szCs w:val="20"/>
              </w:rPr>
              <w:t>8</w:t>
            </w:r>
            <w:r w:rsidR="0004250B" w:rsidRPr="00931333">
              <w:rPr>
                <w:rFonts w:ascii="Cambria" w:eastAsia="Cambria" w:hAnsi="Cambria" w:cs="Cambria"/>
                <w:sz w:val="20"/>
                <w:szCs w:val="20"/>
              </w:rPr>
              <w:t>67</w:t>
            </w:r>
            <w:r w:rsidRPr="00931333">
              <w:rPr>
                <w:rFonts w:ascii="Cambria" w:eastAsia="Cambria" w:hAnsi="Cambria" w:cs="Cambria"/>
                <w:sz w:val="20"/>
                <w:szCs w:val="20"/>
              </w:rPr>
              <w:t xml:space="preserve"> t</w:t>
            </w:r>
          </w:p>
        </w:tc>
      </w:tr>
    </w:tbl>
    <w:p w14:paraId="0842326D" w14:textId="77777777" w:rsidR="00FD1902" w:rsidRPr="00931333" w:rsidRDefault="00FD1902" w:rsidP="00931333">
      <w:pPr>
        <w:pStyle w:val="ListParagraph"/>
        <w:spacing w:after="0" w:line="240" w:lineRule="auto"/>
        <w:ind w:left="780" w:hanging="354"/>
        <w:jc w:val="both"/>
        <w:rPr>
          <w:rFonts w:ascii="Cambria" w:eastAsia="Cambria" w:hAnsi="Cambria" w:cs="Cambria"/>
          <w:sz w:val="20"/>
          <w:szCs w:val="20"/>
        </w:rPr>
      </w:pPr>
    </w:p>
    <w:p w14:paraId="3251781E" w14:textId="1A7F3B13" w:rsidR="00BC4836" w:rsidRPr="00931333" w:rsidRDefault="006733C4" w:rsidP="00931333">
      <w:pPr>
        <w:pStyle w:val="ListParagraph"/>
        <w:spacing w:after="0" w:line="240" w:lineRule="auto"/>
        <w:ind w:left="851" w:hanging="425"/>
        <w:rPr>
          <w:rFonts w:ascii="Cambria" w:eastAsia="Cambria" w:hAnsi="Cambria" w:cs="Cambria"/>
          <w:sz w:val="20"/>
          <w:szCs w:val="20"/>
        </w:rPr>
      </w:pPr>
      <w:r w:rsidRPr="00931333">
        <w:rPr>
          <w:rFonts w:ascii="Cambria" w:hAnsi="Cambria"/>
          <w:sz w:val="20"/>
          <w:szCs w:val="20"/>
        </w:rPr>
        <w:t xml:space="preserve">a) </w:t>
      </w:r>
      <w:r w:rsidRPr="00931333">
        <w:rPr>
          <w:rFonts w:ascii="Cambria" w:hAnsi="Cambria"/>
          <w:sz w:val="20"/>
          <w:szCs w:val="20"/>
        </w:rPr>
        <w:tab/>
      </w:r>
      <w:r w:rsidR="7948E003" w:rsidRPr="00931333">
        <w:rPr>
          <w:rFonts w:ascii="Cambria" w:hAnsi="Cambria"/>
          <w:sz w:val="20"/>
          <w:szCs w:val="20"/>
        </w:rPr>
        <w:t xml:space="preserve">Toutes les autres CPC devront </w:t>
      </w:r>
      <w:r w:rsidRPr="00931333">
        <w:rPr>
          <w:rFonts w:ascii="Cambria" w:hAnsi="Cambria"/>
          <w:sz w:val="20"/>
          <w:szCs w:val="20"/>
        </w:rPr>
        <w:t xml:space="preserve">s’efforcer de </w:t>
      </w:r>
      <w:r w:rsidR="7948E003" w:rsidRPr="00931333">
        <w:rPr>
          <w:rFonts w:ascii="Cambria" w:hAnsi="Cambria"/>
          <w:sz w:val="20"/>
          <w:szCs w:val="20"/>
        </w:rPr>
        <w:t>maintenir ou réduire leurs captures.</w:t>
      </w:r>
    </w:p>
    <w:p w14:paraId="1CCA0038" w14:textId="77777777" w:rsidR="00F02B20" w:rsidRPr="00931333" w:rsidRDefault="00F02B20" w:rsidP="00931333">
      <w:pPr>
        <w:pStyle w:val="ListParagraph"/>
        <w:spacing w:after="0" w:line="240" w:lineRule="auto"/>
        <w:ind w:left="1080"/>
        <w:rPr>
          <w:rFonts w:ascii="Cambria" w:eastAsia="Cambria" w:hAnsi="Cambria" w:cs="Cambria"/>
          <w:sz w:val="20"/>
          <w:szCs w:val="20"/>
        </w:rPr>
      </w:pPr>
    </w:p>
    <w:p w14:paraId="58BEAB5C" w14:textId="1082C117" w:rsidR="00B30B12" w:rsidRPr="00931333" w:rsidRDefault="006733C4" w:rsidP="00931333">
      <w:pPr>
        <w:pStyle w:val="ListParagraph"/>
        <w:spacing w:after="0" w:line="240" w:lineRule="auto"/>
        <w:ind w:left="851" w:hanging="425"/>
        <w:jc w:val="both"/>
        <w:rPr>
          <w:rFonts w:ascii="Cambria" w:eastAsia="Cambria" w:hAnsi="Cambria" w:cs="Cambria"/>
          <w:sz w:val="20"/>
          <w:szCs w:val="20"/>
        </w:rPr>
      </w:pPr>
      <w:r w:rsidRPr="00931333">
        <w:rPr>
          <w:rFonts w:ascii="Cambria" w:hAnsi="Cambria"/>
          <w:sz w:val="20"/>
        </w:rPr>
        <w:t>b)</w:t>
      </w:r>
      <w:r w:rsidRPr="00931333">
        <w:rPr>
          <w:rFonts w:ascii="Cambria" w:hAnsi="Cambria"/>
          <w:sz w:val="20"/>
        </w:rPr>
        <w:tab/>
      </w:r>
      <w:r w:rsidR="0004250B" w:rsidRPr="00931333">
        <w:rPr>
          <w:rFonts w:ascii="Cambria" w:hAnsi="Cambria"/>
          <w:sz w:val="20"/>
        </w:rPr>
        <w:t xml:space="preserve">Si les captures d'une CPC qui est un État côtier en développement et qui n'est pas incluse dans le tableau d'allocation dépassent 1.000 t au cours d'une année donnée, </w:t>
      </w:r>
      <w:r w:rsidR="1458D18D" w:rsidRPr="00931333">
        <w:rPr>
          <w:rFonts w:ascii="Cambria" w:hAnsi="Cambria"/>
          <w:sz w:val="20"/>
        </w:rPr>
        <w:t xml:space="preserve">cette CPC devra être </w:t>
      </w:r>
      <w:r w:rsidRPr="00931333">
        <w:rPr>
          <w:rFonts w:ascii="Cambria" w:hAnsi="Cambria"/>
          <w:sz w:val="20"/>
        </w:rPr>
        <w:t xml:space="preserve">automatiquement </w:t>
      </w:r>
      <w:r w:rsidR="1458D18D" w:rsidRPr="00931333">
        <w:rPr>
          <w:rFonts w:ascii="Cambria" w:hAnsi="Cambria"/>
          <w:sz w:val="20"/>
        </w:rPr>
        <w:t>incluse dans le tableau d'allocation.</w:t>
      </w:r>
      <w:r w:rsidR="1458D18D" w:rsidRPr="00931333">
        <w:rPr>
          <w:rFonts w:ascii="Cambria" w:hAnsi="Cambria"/>
          <w:sz w:val="20"/>
          <w:szCs w:val="20"/>
        </w:rPr>
        <w:t xml:space="preserve"> </w:t>
      </w:r>
      <w:r w:rsidR="1458D18D" w:rsidRPr="00931333">
        <w:rPr>
          <w:rFonts w:ascii="Cambria" w:hAnsi="Cambria"/>
          <w:sz w:val="20"/>
        </w:rPr>
        <w:t xml:space="preserve">La limite de capture de cette CPC devra être fixée au niveau de </w:t>
      </w:r>
      <w:r w:rsidRPr="00931333">
        <w:rPr>
          <w:rFonts w:ascii="Cambria" w:hAnsi="Cambria"/>
          <w:sz w:val="20"/>
        </w:rPr>
        <w:t>cette année</w:t>
      </w:r>
      <w:r w:rsidR="0004250B" w:rsidRPr="00931333">
        <w:rPr>
          <w:rFonts w:ascii="Cambria" w:hAnsi="Cambria"/>
          <w:sz w:val="20"/>
        </w:rPr>
        <w:t>.</w:t>
      </w:r>
    </w:p>
    <w:p w14:paraId="35D280B0" w14:textId="77777777" w:rsidR="00E43FD1" w:rsidRPr="00931333" w:rsidRDefault="00E43FD1" w:rsidP="00931333">
      <w:pPr>
        <w:pStyle w:val="ListParagraph"/>
        <w:rPr>
          <w:rFonts w:ascii="Cambria" w:eastAsia="Cambria" w:hAnsi="Cambria" w:cs="Cambria"/>
          <w:sz w:val="20"/>
          <w:szCs w:val="20"/>
        </w:rPr>
      </w:pPr>
    </w:p>
    <w:p w14:paraId="555C9B74" w14:textId="4C3AD087" w:rsidR="0004250B" w:rsidRPr="00931333" w:rsidRDefault="006733C4" w:rsidP="00931333">
      <w:pPr>
        <w:pStyle w:val="ListParagraph"/>
        <w:spacing w:after="0" w:line="240" w:lineRule="auto"/>
        <w:ind w:left="851" w:hanging="425"/>
        <w:rPr>
          <w:rFonts w:ascii="Cambria" w:eastAsia="Cambria" w:hAnsi="Cambria" w:cs="Cambria"/>
          <w:sz w:val="20"/>
          <w:szCs w:val="20"/>
        </w:rPr>
      </w:pPr>
      <w:r w:rsidRPr="00931333">
        <w:rPr>
          <w:rFonts w:ascii="Cambria" w:eastAsia="Cambria" w:hAnsi="Cambria" w:cs="Cambria"/>
          <w:sz w:val="20"/>
          <w:szCs w:val="20"/>
        </w:rPr>
        <w:t xml:space="preserve">c) </w:t>
      </w:r>
      <w:r w:rsidRPr="00931333">
        <w:rPr>
          <w:rFonts w:ascii="Cambria" w:eastAsia="Cambria" w:hAnsi="Cambria" w:cs="Cambria"/>
          <w:sz w:val="20"/>
          <w:szCs w:val="20"/>
        </w:rPr>
        <w:tab/>
      </w:r>
      <w:r w:rsidR="0004250B" w:rsidRPr="00931333">
        <w:rPr>
          <w:rFonts w:ascii="Cambria" w:eastAsia="Cambria" w:hAnsi="Cambria" w:cs="Cambria"/>
          <w:sz w:val="20"/>
          <w:szCs w:val="20"/>
        </w:rPr>
        <w:t>Si les captures d'une CPC qui n'est pas un État côtier en développement et qui n'est pas incluse dans le tableau d'allocation dépassent 750 t au cours d'une année donnée, cette CPC devra être automatiquement incluse dans le tableau d'allocation avec une limite de capture de 750 t.</w:t>
      </w:r>
    </w:p>
    <w:p w14:paraId="57D961E4" w14:textId="77777777" w:rsidR="0004250B" w:rsidRPr="00931333" w:rsidRDefault="0004250B" w:rsidP="00931333">
      <w:pPr>
        <w:pStyle w:val="ListParagraph"/>
        <w:spacing w:after="0" w:line="240" w:lineRule="auto"/>
        <w:ind w:left="851" w:hanging="425"/>
        <w:rPr>
          <w:rFonts w:ascii="Cambria" w:eastAsia="Cambria" w:hAnsi="Cambria" w:cs="Cambria"/>
          <w:sz w:val="20"/>
          <w:szCs w:val="20"/>
        </w:rPr>
      </w:pPr>
    </w:p>
    <w:p w14:paraId="3ECC43E2" w14:textId="31715AD6" w:rsidR="0004250B" w:rsidRPr="00931333" w:rsidRDefault="0004250B" w:rsidP="00931333">
      <w:pPr>
        <w:pStyle w:val="ListParagraph"/>
        <w:spacing w:after="0" w:line="240" w:lineRule="auto"/>
        <w:ind w:left="851" w:hanging="425"/>
        <w:jc w:val="both"/>
        <w:rPr>
          <w:rFonts w:ascii="Cambria" w:eastAsia="Cambria" w:hAnsi="Cambria" w:cs="Cambria"/>
          <w:sz w:val="20"/>
          <w:szCs w:val="20"/>
        </w:rPr>
      </w:pPr>
      <w:r w:rsidRPr="00931333">
        <w:rPr>
          <w:rFonts w:ascii="Cambria" w:eastAsia="Cambria" w:hAnsi="Cambria" w:cs="Cambria"/>
          <w:sz w:val="20"/>
          <w:szCs w:val="20"/>
        </w:rPr>
        <w:t>d)</w:t>
      </w:r>
      <w:r w:rsidRPr="00931333">
        <w:rPr>
          <w:rFonts w:ascii="Cambria" w:eastAsia="Cambria" w:hAnsi="Cambria" w:cs="Cambria"/>
          <w:sz w:val="20"/>
          <w:szCs w:val="20"/>
        </w:rPr>
        <w:tab/>
        <w:t xml:space="preserve">Si le total </w:t>
      </w:r>
      <w:r w:rsidR="00336C40" w:rsidRPr="00931333">
        <w:rPr>
          <w:rFonts w:ascii="Cambria" w:eastAsia="Cambria" w:hAnsi="Cambria" w:cs="Cambria"/>
          <w:sz w:val="20"/>
          <w:szCs w:val="20"/>
        </w:rPr>
        <w:t xml:space="preserve">des captures annuelles ou le total </w:t>
      </w:r>
      <w:r w:rsidRPr="00931333">
        <w:rPr>
          <w:rFonts w:ascii="Cambria" w:eastAsia="Cambria" w:hAnsi="Cambria" w:cs="Cambria"/>
          <w:sz w:val="20"/>
          <w:szCs w:val="20"/>
        </w:rPr>
        <w:t>des limites de capture figurant dans le tableau d’allocation dépasse le TAC établi au paragraphe 2 ci-dessus, la Commission devra examiner les limites de capture afin d'aligner les niveaux de capture sur le TAC.</w:t>
      </w:r>
    </w:p>
    <w:p w14:paraId="09FF70EA" w14:textId="3E1F240C" w:rsidR="006733C4" w:rsidRPr="00931333" w:rsidRDefault="006733C4" w:rsidP="00931333">
      <w:pPr>
        <w:spacing w:after="0" w:line="240" w:lineRule="auto"/>
        <w:rPr>
          <w:rFonts w:ascii="Cambria" w:eastAsia="Cambria" w:hAnsi="Cambria" w:cs="Cambria"/>
          <w:sz w:val="20"/>
          <w:szCs w:val="20"/>
        </w:rPr>
      </w:pPr>
    </w:p>
    <w:p w14:paraId="10EB8385" w14:textId="4194C1F2" w:rsidR="6FAB6983" w:rsidRPr="00931333" w:rsidRDefault="005200D7" w:rsidP="00931333">
      <w:pPr>
        <w:tabs>
          <w:tab w:val="left" w:pos="426"/>
        </w:tabs>
        <w:spacing w:after="0" w:line="240" w:lineRule="auto"/>
        <w:ind w:left="851" w:hanging="851"/>
        <w:jc w:val="both"/>
      </w:pPr>
      <w:r w:rsidRPr="00931333">
        <w:rPr>
          <w:rFonts w:ascii="Cambria" w:hAnsi="Cambria"/>
          <w:sz w:val="20"/>
          <w:szCs w:val="20"/>
        </w:rPr>
        <w:t>4.</w:t>
      </w:r>
      <w:r w:rsidRPr="00931333">
        <w:rPr>
          <w:rFonts w:ascii="Cambria" w:hAnsi="Cambria"/>
          <w:sz w:val="20"/>
          <w:szCs w:val="20"/>
        </w:rPr>
        <w:tab/>
      </w:r>
      <w:r w:rsidR="006A7F58" w:rsidRPr="00931333">
        <w:rPr>
          <w:rFonts w:ascii="Cambria" w:hAnsi="Cambria"/>
          <w:sz w:val="20"/>
          <w:szCs w:val="20"/>
        </w:rPr>
        <w:t xml:space="preserve">a) </w:t>
      </w:r>
      <w:r w:rsidR="006A7F58" w:rsidRPr="00931333">
        <w:rPr>
          <w:rFonts w:ascii="Cambria" w:hAnsi="Cambria"/>
          <w:sz w:val="20"/>
          <w:szCs w:val="20"/>
        </w:rPr>
        <w:tab/>
      </w:r>
      <w:r w:rsidR="10122A97" w:rsidRPr="00931333">
        <w:rPr>
          <w:rFonts w:ascii="Cambria" w:hAnsi="Cambria"/>
          <w:sz w:val="20"/>
          <w:szCs w:val="20"/>
        </w:rPr>
        <w:t xml:space="preserve">Tout montant dépassant les limites de </w:t>
      </w:r>
      <w:r w:rsidR="006733C4" w:rsidRPr="00931333">
        <w:rPr>
          <w:rFonts w:ascii="Cambria" w:hAnsi="Cambria"/>
          <w:sz w:val="20"/>
          <w:szCs w:val="20"/>
        </w:rPr>
        <w:t>capture</w:t>
      </w:r>
      <w:r w:rsidR="10122A97" w:rsidRPr="00931333">
        <w:rPr>
          <w:rFonts w:ascii="Cambria" w:hAnsi="Cambria"/>
          <w:sz w:val="20"/>
          <w:szCs w:val="20"/>
        </w:rPr>
        <w:t xml:space="preserve"> annuelles établies au paragraphe 3 devra être déduit des limites de </w:t>
      </w:r>
      <w:r w:rsidR="006733C4" w:rsidRPr="00931333">
        <w:rPr>
          <w:rFonts w:ascii="Cambria" w:hAnsi="Cambria"/>
          <w:sz w:val="20"/>
          <w:szCs w:val="20"/>
        </w:rPr>
        <w:t xml:space="preserve">capture </w:t>
      </w:r>
      <w:r w:rsidR="10122A97" w:rsidRPr="00931333">
        <w:rPr>
          <w:rFonts w:ascii="Cambria" w:hAnsi="Cambria"/>
          <w:sz w:val="20"/>
          <w:szCs w:val="20"/>
        </w:rPr>
        <w:t>respectives pendant, ou avant, l’année d’ajustement, de la manière suivante</w:t>
      </w:r>
      <w:r w:rsidR="00C94211" w:rsidRPr="00931333">
        <w:rPr>
          <w:rFonts w:ascii="Cambria" w:hAnsi="Cambria"/>
          <w:sz w:val="20"/>
          <w:szCs w:val="20"/>
        </w:rPr>
        <w:t> :</w:t>
      </w:r>
    </w:p>
    <w:p w14:paraId="3EDA5347" w14:textId="77777777" w:rsidR="00A91DFF" w:rsidRPr="00931333" w:rsidRDefault="00A91DFF" w:rsidP="00931333">
      <w:pPr>
        <w:pStyle w:val="ListParagraph"/>
        <w:spacing w:after="0" w:line="240" w:lineRule="auto"/>
        <w:ind w:left="780"/>
      </w:pPr>
    </w:p>
    <w:tbl>
      <w:tblPr>
        <w:tblStyle w:val="TableGrid"/>
        <w:tblW w:w="0" w:type="auto"/>
        <w:tblInd w:w="28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70"/>
        <w:gridCol w:w="2325"/>
      </w:tblGrid>
      <w:tr w:rsidR="008E651E" w:rsidRPr="00931333" w14:paraId="65A96BC5" w14:textId="77777777" w:rsidTr="008E651E">
        <w:trPr>
          <w:trHeight w:val="300"/>
        </w:trPr>
        <w:tc>
          <w:tcPr>
            <w:tcW w:w="2370" w:type="dxa"/>
            <w:tcMar>
              <w:left w:w="105" w:type="dxa"/>
              <w:right w:w="105" w:type="dxa"/>
            </w:tcMar>
          </w:tcPr>
          <w:p w14:paraId="54C51CEC" w14:textId="25A40C07" w:rsidR="60C40930" w:rsidRPr="00931333" w:rsidRDefault="60C40930" w:rsidP="00931333">
            <w:pPr>
              <w:jc w:val="center"/>
              <w:rPr>
                <w:rFonts w:ascii="Cambria" w:eastAsia="Cambria" w:hAnsi="Cambria" w:cs="Cambria"/>
                <w:i/>
                <w:iCs/>
                <w:sz w:val="20"/>
                <w:szCs w:val="20"/>
              </w:rPr>
            </w:pPr>
            <w:r w:rsidRPr="00931333">
              <w:rPr>
                <w:rFonts w:ascii="Cambria" w:hAnsi="Cambria"/>
                <w:i/>
                <w:iCs/>
                <w:sz w:val="20"/>
                <w:szCs w:val="20"/>
              </w:rPr>
              <w:t>Année de capture</w:t>
            </w:r>
          </w:p>
        </w:tc>
        <w:tc>
          <w:tcPr>
            <w:tcW w:w="2325" w:type="dxa"/>
            <w:tcMar>
              <w:left w:w="105" w:type="dxa"/>
              <w:right w:w="105" w:type="dxa"/>
            </w:tcMar>
          </w:tcPr>
          <w:p w14:paraId="68ADE14A" w14:textId="3BCF6153" w:rsidR="60C40930" w:rsidRPr="00931333" w:rsidRDefault="60C40930" w:rsidP="00931333">
            <w:pPr>
              <w:jc w:val="center"/>
              <w:rPr>
                <w:rFonts w:ascii="Cambria" w:eastAsia="Cambria" w:hAnsi="Cambria" w:cs="Cambria"/>
                <w:i/>
                <w:iCs/>
                <w:sz w:val="20"/>
                <w:szCs w:val="20"/>
              </w:rPr>
            </w:pPr>
            <w:r w:rsidRPr="00931333">
              <w:rPr>
                <w:rFonts w:ascii="Cambria" w:hAnsi="Cambria"/>
                <w:i/>
                <w:iCs/>
                <w:sz w:val="20"/>
                <w:szCs w:val="20"/>
              </w:rPr>
              <w:t>Année d’ajustement</w:t>
            </w:r>
          </w:p>
        </w:tc>
      </w:tr>
      <w:tr w:rsidR="008E651E" w:rsidRPr="00931333" w14:paraId="3372C42B" w14:textId="77777777" w:rsidTr="008E651E">
        <w:trPr>
          <w:trHeight w:val="300"/>
        </w:trPr>
        <w:tc>
          <w:tcPr>
            <w:tcW w:w="2370" w:type="dxa"/>
            <w:tcMar>
              <w:left w:w="105" w:type="dxa"/>
              <w:right w:w="105" w:type="dxa"/>
            </w:tcMar>
          </w:tcPr>
          <w:p w14:paraId="11AEB452" w14:textId="04A47E54"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2024</w:t>
            </w:r>
          </w:p>
        </w:tc>
        <w:tc>
          <w:tcPr>
            <w:tcW w:w="2325" w:type="dxa"/>
            <w:tcMar>
              <w:left w:w="105" w:type="dxa"/>
              <w:right w:w="105" w:type="dxa"/>
            </w:tcMar>
          </w:tcPr>
          <w:p w14:paraId="374C8120" w14:textId="705D7AF8"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2026</w:t>
            </w:r>
          </w:p>
        </w:tc>
      </w:tr>
      <w:tr w:rsidR="008E651E" w:rsidRPr="00931333" w14:paraId="4781EFE4" w14:textId="77777777" w:rsidTr="008E651E">
        <w:trPr>
          <w:trHeight w:val="300"/>
        </w:trPr>
        <w:tc>
          <w:tcPr>
            <w:tcW w:w="2370" w:type="dxa"/>
            <w:tcMar>
              <w:left w:w="105" w:type="dxa"/>
              <w:right w:w="105" w:type="dxa"/>
            </w:tcMar>
          </w:tcPr>
          <w:p w14:paraId="5C507412" w14:textId="4F7AC2B8"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2025</w:t>
            </w:r>
          </w:p>
        </w:tc>
        <w:tc>
          <w:tcPr>
            <w:tcW w:w="2325" w:type="dxa"/>
            <w:tcMar>
              <w:left w:w="105" w:type="dxa"/>
              <w:right w:w="105" w:type="dxa"/>
            </w:tcMar>
          </w:tcPr>
          <w:p w14:paraId="759732DF" w14:textId="6977A2B3"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2027</w:t>
            </w:r>
          </w:p>
        </w:tc>
      </w:tr>
      <w:tr w:rsidR="008E651E" w:rsidRPr="00931333" w14:paraId="39E5BE45" w14:textId="77777777" w:rsidTr="008E651E">
        <w:trPr>
          <w:trHeight w:val="300"/>
        </w:trPr>
        <w:tc>
          <w:tcPr>
            <w:tcW w:w="2370" w:type="dxa"/>
            <w:tcMar>
              <w:left w:w="105" w:type="dxa"/>
              <w:right w:w="105" w:type="dxa"/>
            </w:tcMar>
          </w:tcPr>
          <w:p w14:paraId="7910CF25" w14:textId="52CDD3CC"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2026</w:t>
            </w:r>
          </w:p>
        </w:tc>
        <w:tc>
          <w:tcPr>
            <w:tcW w:w="2325" w:type="dxa"/>
            <w:tcMar>
              <w:left w:w="105" w:type="dxa"/>
              <w:right w:w="105" w:type="dxa"/>
            </w:tcMar>
          </w:tcPr>
          <w:p w14:paraId="391F6D21" w14:textId="34C876E1"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2028</w:t>
            </w:r>
          </w:p>
        </w:tc>
      </w:tr>
      <w:tr w:rsidR="008E651E" w:rsidRPr="00931333" w14:paraId="618375AF" w14:textId="77777777" w:rsidTr="008E651E">
        <w:trPr>
          <w:trHeight w:val="300"/>
        </w:trPr>
        <w:tc>
          <w:tcPr>
            <w:tcW w:w="2370" w:type="dxa"/>
            <w:tcMar>
              <w:left w:w="105" w:type="dxa"/>
              <w:right w:w="105" w:type="dxa"/>
            </w:tcMar>
          </w:tcPr>
          <w:p w14:paraId="699981A5" w14:textId="3057074A"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2027</w:t>
            </w:r>
          </w:p>
        </w:tc>
        <w:tc>
          <w:tcPr>
            <w:tcW w:w="2325" w:type="dxa"/>
            <w:tcMar>
              <w:left w:w="105" w:type="dxa"/>
              <w:right w:w="105" w:type="dxa"/>
            </w:tcMar>
          </w:tcPr>
          <w:p w14:paraId="3315BD40" w14:textId="468A5484"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2029</w:t>
            </w:r>
          </w:p>
        </w:tc>
      </w:tr>
      <w:tr w:rsidR="008E651E" w:rsidRPr="00931333" w14:paraId="74D89858" w14:textId="77777777" w:rsidTr="008E651E">
        <w:trPr>
          <w:trHeight w:val="300"/>
        </w:trPr>
        <w:tc>
          <w:tcPr>
            <w:tcW w:w="2370" w:type="dxa"/>
            <w:tcMar>
              <w:left w:w="105" w:type="dxa"/>
              <w:right w:w="105" w:type="dxa"/>
            </w:tcMar>
          </w:tcPr>
          <w:p w14:paraId="276387A4" w14:textId="34B5492B"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2028</w:t>
            </w:r>
          </w:p>
        </w:tc>
        <w:tc>
          <w:tcPr>
            <w:tcW w:w="2325" w:type="dxa"/>
            <w:tcMar>
              <w:left w:w="105" w:type="dxa"/>
              <w:right w:w="105" w:type="dxa"/>
            </w:tcMar>
          </w:tcPr>
          <w:p w14:paraId="61CEEF85" w14:textId="28C4784E"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2030</w:t>
            </w:r>
          </w:p>
        </w:tc>
      </w:tr>
      <w:tr w:rsidR="008E651E" w:rsidRPr="00931333" w14:paraId="675F896A" w14:textId="77777777" w:rsidTr="008E651E">
        <w:trPr>
          <w:trHeight w:val="300"/>
        </w:trPr>
        <w:tc>
          <w:tcPr>
            <w:tcW w:w="2370" w:type="dxa"/>
            <w:tcMar>
              <w:left w:w="105" w:type="dxa"/>
              <w:right w:w="105" w:type="dxa"/>
            </w:tcMar>
          </w:tcPr>
          <w:p w14:paraId="2A5FB905" w14:textId="6C810870"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2029</w:t>
            </w:r>
          </w:p>
        </w:tc>
        <w:tc>
          <w:tcPr>
            <w:tcW w:w="2325" w:type="dxa"/>
            <w:tcMar>
              <w:left w:w="105" w:type="dxa"/>
              <w:right w:w="105" w:type="dxa"/>
            </w:tcMar>
          </w:tcPr>
          <w:p w14:paraId="52E077DD" w14:textId="218F1F26" w:rsidR="60C40930" w:rsidRPr="00931333" w:rsidRDefault="60C40930" w:rsidP="00931333">
            <w:pPr>
              <w:jc w:val="center"/>
              <w:rPr>
                <w:rFonts w:ascii="Cambria" w:eastAsia="Cambria" w:hAnsi="Cambria" w:cs="Cambria"/>
                <w:sz w:val="20"/>
                <w:szCs w:val="20"/>
              </w:rPr>
            </w:pPr>
            <w:r w:rsidRPr="00931333">
              <w:rPr>
                <w:rFonts w:ascii="Cambria" w:hAnsi="Cambria"/>
                <w:sz w:val="20"/>
                <w:szCs w:val="20"/>
              </w:rPr>
              <w:t>2031</w:t>
            </w:r>
          </w:p>
        </w:tc>
      </w:tr>
    </w:tbl>
    <w:p w14:paraId="55D73261" w14:textId="7B43E8BE" w:rsidR="60C40930" w:rsidRPr="00931333" w:rsidRDefault="60C40930" w:rsidP="00931333">
      <w:pPr>
        <w:spacing w:after="0" w:line="240" w:lineRule="auto"/>
        <w:jc w:val="center"/>
        <w:rPr>
          <w:rFonts w:ascii="Cambria" w:eastAsia="Cambria" w:hAnsi="Cambria" w:cs="Cambria"/>
          <w:sz w:val="20"/>
          <w:szCs w:val="20"/>
        </w:rPr>
      </w:pPr>
    </w:p>
    <w:p w14:paraId="0D0A881F" w14:textId="2DE6D582" w:rsidR="6FAB6983" w:rsidRPr="00931333" w:rsidRDefault="10122A97" w:rsidP="00931333">
      <w:pPr>
        <w:tabs>
          <w:tab w:val="left" w:pos="851"/>
        </w:tabs>
        <w:spacing w:after="0" w:line="240" w:lineRule="auto"/>
        <w:ind w:left="851" w:hanging="425"/>
        <w:jc w:val="both"/>
        <w:rPr>
          <w:rFonts w:ascii="Cambria" w:eastAsia="Cambria" w:hAnsi="Cambria" w:cs="Cambria"/>
          <w:sz w:val="20"/>
          <w:szCs w:val="20"/>
        </w:rPr>
      </w:pPr>
      <w:r w:rsidRPr="00931333">
        <w:rPr>
          <w:rFonts w:ascii="Cambria" w:hAnsi="Cambria"/>
          <w:sz w:val="20"/>
          <w:szCs w:val="20"/>
        </w:rPr>
        <w:t xml:space="preserve">b) </w:t>
      </w:r>
      <w:r w:rsidR="00B35AB6" w:rsidRPr="00931333">
        <w:rPr>
          <w:rFonts w:ascii="Cambria" w:hAnsi="Cambria"/>
          <w:sz w:val="20"/>
          <w:szCs w:val="20"/>
        </w:rPr>
        <w:tab/>
      </w:r>
      <w:r w:rsidRPr="00931333">
        <w:rPr>
          <w:rFonts w:ascii="Cambria" w:hAnsi="Cambria"/>
          <w:sz w:val="20"/>
          <w:szCs w:val="20"/>
        </w:rPr>
        <w:t xml:space="preserve">Nonobstant les dispositions du sous-paragraphe a) ci-dessus, si une CPC dépasse sa limite de </w:t>
      </w:r>
      <w:r w:rsidR="006733C4" w:rsidRPr="00931333">
        <w:rPr>
          <w:rFonts w:ascii="Cambria" w:hAnsi="Cambria"/>
          <w:sz w:val="20"/>
          <w:szCs w:val="20"/>
        </w:rPr>
        <w:t xml:space="preserve">capture </w:t>
      </w:r>
      <w:r w:rsidRPr="00931333">
        <w:rPr>
          <w:rFonts w:ascii="Cambria" w:hAnsi="Cambria"/>
          <w:sz w:val="20"/>
          <w:szCs w:val="20"/>
        </w:rPr>
        <w:t xml:space="preserve">au cours de deux années consécutives, sa limite de </w:t>
      </w:r>
      <w:r w:rsidR="006733C4" w:rsidRPr="00931333">
        <w:rPr>
          <w:rFonts w:ascii="Cambria" w:hAnsi="Cambria"/>
          <w:sz w:val="20"/>
          <w:szCs w:val="20"/>
        </w:rPr>
        <w:t xml:space="preserve">capture </w:t>
      </w:r>
      <w:r w:rsidRPr="00931333">
        <w:rPr>
          <w:rFonts w:ascii="Cambria" w:hAnsi="Cambria"/>
          <w:sz w:val="20"/>
          <w:szCs w:val="20"/>
        </w:rPr>
        <w:t>devra être réduite de 125</w:t>
      </w:r>
      <w:r w:rsidR="002E550B" w:rsidRPr="00931333">
        <w:rPr>
          <w:rFonts w:ascii="Cambria" w:hAnsi="Cambria"/>
          <w:sz w:val="20"/>
          <w:szCs w:val="20"/>
        </w:rPr>
        <w:t> </w:t>
      </w:r>
      <w:r w:rsidRPr="00931333">
        <w:rPr>
          <w:rFonts w:ascii="Cambria" w:hAnsi="Cambria"/>
          <w:sz w:val="20"/>
          <w:szCs w:val="20"/>
        </w:rPr>
        <w:t>% de la capture excédentaire, et la Commission pourra recommander des mesures supplémentaires, le cas échéant.</w:t>
      </w:r>
    </w:p>
    <w:p w14:paraId="14D936BE" w14:textId="450CD51C" w:rsidR="60C40930" w:rsidRPr="00931333" w:rsidRDefault="60C40930" w:rsidP="00931333">
      <w:pPr>
        <w:spacing w:after="0" w:line="240" w:lineRule="auto"/>
        <w:jc w:val="both"/>
        <w:rPr>
          <w:rFonts w:ascii="Cambria" w:eastAsia="Cambria" w:hAnsi="Cambria" w:cs="Cambria"/>
          <w:sz w:val="20"/>
          <w:szCs w:val="20"/>
        </w:rPr>
      </w:pPr>
    </w:p>
    <w:p w14:paraId="1BC03486" w14:textId="4898F590" w:rsidR="00BC4836" w:rsidRPr="00931333" w:rsidRDefault="1744B81C" w:rsidP="00931333">
      <w:pPr>
        <w:widowControl w:val="0"/>
        <w:spacing w:after="0" w:line="240" w:lineRule="auto"/>
        <w:ind w:left="360" w:hanging="360"/>
        <w:jc w:val="both"/>
        <w:rPr>
          <w:rFonts w:ascii="Cambria" w:eastAsia="Cambria" w:hAnsi="Cambria" w:cs="Cambria"/>
          <w:b/>
          <w:bCs/>
          <w:sz w:val="20"/>
          <w:szCs w:val="20"/>
        </w:rPr>
      </w:pPr>
      <w:r w:rsidRPr="00931333">
        <w:rPr>
          <w:rFonts w:ascii="Cambria" w:hAnsi="Cambria"/>
          <w:b/>
          <w:bCs/>
          <w:sz w:val="20"/>
          <w:szCs w:val="20"/>
        </w:rPr>
        <w:t>Enregistrement, déclaration et utilisation des informations de capture</w:t>
      </w:r>
    </w:p>
    <w:p w14:paraId="1FE3B141" w14:textId="77777777" w:rsidR="005D6CAF" w:rsidRPr="00931333" w:rsidRDefault="005D6CAF" w:rsidP="00931333">
      <w:pPr>
        <w:spacing w:after="0" w:line="240" w:lineRule="auto"/>
        <w:rPr>
          <w:rFonts w:ascii="Cambria" w:eastAsia="Cambria" w:hAnsi="Cambria" w:cs="Cambria"/>
          <w:b/>
          <w:bCs/>
          <w:i/>
          <w:iCs/>
          <w:sz w:val="20"/>
          <w:szCs w:val="20"/>
        </w:rPr>
      </w:pPr>
    </w:p>
    <w:p w14:paraId="530D0E6B" w14:textId="2E8A3EB9" w:rsidR="00BC4836"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5. </w:t>
      </w:r>
      <w:r w:rsidRPr="00931333">
        <w:rPr>
          <w:rFonts w:ascii="Cambria" w:hAnsi="Cambria"/>
          <w:sz w:val="20"/>
          <w:szCs w:val="20"/>
        </w:rPr>
        <w:tab/>
      </w:r>
      <w:r w:rsidR="16ED2D5B" w:rsidRPr="00931333">
        <w:rPr>
          <w:rFonts w:ascii="Cambria" w:hAnsi="Cambria"/>
          <w:sz w:val="20"/>
          <w:szCs w:val="20"/>
        </w:rPr>
        <w:t xml:space="preserve">Chaque CPC devra s'assurer que ses navires pêchant le requin peau bleue de l’Atlantique Sud en association avec les pêcheries de l’ICCAT dans la zone de la Convention consignent leur prise conformément aux exigences énoncées dans la </w:t>
      </w:r>
      <w:r w:rsidR="00EA039D" w:rsidRPr="00931333">
        <w:rPr>
          <w:rFonts w:ascii="Cambria" w:hAnsi="Cambria"/>
          <w:i/>
          <w:iCs/>
          <w:sz w:val="20"/>
          <w:szCs w:val="20"/>
        </w:rPr>
        <w:t>Recommandation de l’ICCAT relative à l’enregistrement des captures par les navires de pêche dans la zone de la Convention ICCAT</w:t>
      </w:r>
      <w:r w:rsidR="16ED2D5B" w:rsidRPr="00931333">
        <w:rPr>
          <w:rFonts w:ascii="Cambria" w:hAnsi="Cambria"/>
          <w:sz w:val="20"/>
          <w:szCs w:val="20"/>
        </w:rPr>
        <w:t xml:space="preserve"> (Rec. 03-13).</w:t>
      </w:r>
    </w:p>
    <w:p w14:paraId="220EACF7" w14:textId="77777777" w:rsidR="00BC4836" w:rsidRPr="00931333" w:rsidRDefault="00BC4836" w:rsidP="00931333">
      <w:pPr>
        <w:spacing w:after="0" w:line="240" w:lineRule="auto"/>
        <w:jc w:val="both"/>
        <w:rPr>
          <w:rFonts w:ascii="Cambria" w:eastAsia="Cambria" w:hAnsi="Cambria" w:cs="Cambria"/>
          <w:sz w:val="20"/>
          <w:szCs w:val="20"/>
        </w:rPr>
      </w:pPr>
    </w:p>
    <w:p w14:paraId="7F609C61" w14:textId="0BE4E62A" w:rsidR="00BC4836"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6. </w:t>
      </w:r>
      <w:r w:rsidRPr="00931333">
        <w:rPr>
          <w:rFonts w:ascii="Cambria" w:hAnsi="Cambria"/>
          <w:sz w:val="20"/>
          <w:szCs w:val="20"/>
        </w:rPr>
        <w:tab/>
      </w:r>
      <w:r w:rsidR="2DE499DA" w:rsidRPr="00931333">
        <w:rPr>
          <w:rFonts w:ascii="Cambria" w:hAnsi="Cambria"/>
          <w:sz w:val="20"/>
          <w:szCs w:val="20"/>
        </w:rPr>
        <w:t>Les CPC devront mettre en œuvre des programmes de collecte de données qui garantissent la déclaration à l’ICCAT de données précises de prise, d’effort, de taille et de rejets sur le requin peau bleue de l’Atlantique Sud, en pleine conformité avec les exigences de l’ICCAT en matière de soumission des données de la tâche 1 et de la tâche 2.</w:t>
      </w:r>
    </w:p>
    <w:p w14:paraId="2C939A11" w14:textId="77777777" w:rsidR="00821E6E" w:rsidRPr="00931333" w:rsidRDefault="00821E6E" w:rsidP="00931333">
      <w:pPr>
        <w:pStyle w:val="ListParagraph"/>
        <w:spacing w:after="0" w:line="240" w:lineRule="auto"/>
        <w:rPr>
          <w:rFonts w:ascii="Cambria" w:eastAsia="Cambria" w:hAnsi="Cambria" w:cs="Cambria"/>
          <w:sz w:val="20"/>
          <w:szCs w:val="20"/>
        </w:rPr>
      </w:pPr>
    </w:p>
    <w:p w14:paraId="397997E3" w14:textId="77777777" w:rsidR="00415311" w:rsidRPr="00931333" w:rsidRDefault="00415311" w:rsidP="00931333">
      <w:pPr>
        <w:rPr>
          <w:rFonts w:ascii="Cambria" w:hAnsi="Cambria"/>
          <w:sz w:val="20"/>
          <w:szCs w:val="20"/>
        </w:rPr>
      </w:pPr>
      <w:r w:rsidRPr="00931333">
        <w:rPr>
          <w:rFonts w:ascii="Cambria" w:hAnsi="Cambria"/>
          <w:sz w:val="20"/>
          <w:szCs w:val="20"/>
        </w:rPr>
        <w:br w:type="page"/>
      </w:r>
    </w:p>
    <w:p w14:paraId="3EF3DDDF" w14:textId="32CF095A" w:rsidR="00821E6E"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lastRenderedPageBreak/>
        <w:t xml:space="preserve">7. </w:t>
      </w:r>
      <w:r w:rsidRPr="00931333">
        <w:rPr>
          <w:rFonts w:ascii="Cambria" w:hAnsi="Cambria"/>
          <w:sz w:val="20"/>
          <w:szCs w:val="20"/>
        </w:rPr>
        <w:tab/>
      </w:r>
      <w:r w:rsidR="78CFE2D4" w:rsidRPr="00931333">
        <w:rPr>
          <w:rFonts w:ascii="Cambria" w:hAnsi="Cambria"/>
          <w:sz w:val="20"/>
          <w:szCs w:val="20"/>
        </w:rPr>
        <w:t xml:space="preserve">Dans les cas où le requin peau bleue de l'Atlantique </w:t>
      </w:r>
      <w:r w:rsidR="006733C4" w:rsidRPr="00931333">
        <w:rPr>
          <w:rFonts w:ascii="Cambria" w:hAnsi="Cambria"/>
          <w:sz w:val="20"/>
          <w:szCs w:val="20"/>
        </w:rPr>
        <w:t>Sud</w:t>
      </w:r>
      <w:r w:rsidR="78CFE2D4" w:rsidRPr="00931333">
        <w:rPr>
          <w:rFonts w:ascii="Cambria" w:hAnsi="Cambria"/>
          <w:sz w:val="20"/>
          <w:szCs w:val="20"/>
        </w:rPr>
        <w:t xml:space="preserve"> n'est pas conservé, les CPC devront déployer tous les efforts raisonnables afin que les spécimens capturés accidentellement dans les pêcheries de l'ICCAT soient remis à l'eau sains et saufs et dès que possible. Les CPC devront déclarer au Secrétariat de l'ICCAT, conformément aux exigences de déclaration des données de l'ICCAT, le nombre de spécimens remis à l'eau, y compris leur état au moment de la remise à l'eau (vivant, mort, moribond, non connu).</w:t>
      </w:r>
    </w:p>
    <w:p w14:paraId="3912A88E" w14:textId="77777777" w:rsidR="00BC4836" w:rsidRPr="00931333" w:rsidRDefault="00BC4836" w:rsidP="00931333">
      <w:pPr>
        <w:pStyle w:val="ListParagraph"/>
        <w:spacing w:after="0" w:line="240" w:lineRule="auto"/>
        <w:ind w:left="780"/>
        <w:jc w:val="both"/>
        <w:rPr>
          <w:rFonts w:ascii="Cambria" w:eastAsia="Cambria" w:hAnsi="Cambria" w:cs="Cambria"/>
          <w:sz w:val="20"/>
          <w:szCs w:val="20"/>
        </w:rPr>
      </w:pPr>
    </w:p>
    <w:p w14:paraId="671F1235" w14:textId="3D22507D" w:rsidR="00BC4836"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8. </w:t>
      </w:r>
      <w:r w:rsidRPr="00931333">
        <w:rPr>
          <w:rFonts w:ascii="Cambria" w:hAnsi="Cambria"/>
          <w:sz w:val="20"/>
          <w:szCs w:val="20"/>
        </w:rPr>
        <w:tab/>
      </w:r>
      <w:r w:rsidR="16ED2D5B" w:rsidRPr="00931333">
        <w:rPr>
          <w:rFonts w:ascii="Cambria" w:hAnsi="Cambria"/>
          <w:sz w:val="20"/>
          <w:szCs w:val="20"/>
        </w:rPr>
        <w:t xml:space="preserve">Les CPC devront inclure, dans leur feuille de contrôle de la mise en œuvre des mesures s'appliquant aux requins </w:t>
      </w:r>
      <w:r w:rsidR="00EB2612" w:rsidRPr="00931333">
        <w:rPr>
          <w:rFonts w:ascii="Cambria" w:hAnsi="Cambria"/>
          <w:sz w:val="20"/>
          <w:szCs w:val="20"/>
        </w:rPr>
        <w:t>soumises</w:t>
      </w:r>
      <w:r w:rsidR="16ED2D5B" w:rsidRPr="00931333">
        <w:rPr>
          <w:rFonts w:ascii="Cambria" w:hAnsi="Cambria"/>
          <w:sz w:val="20"/>
          <w:szCs w:val="20"/>
        </w:rPr>
        <w:t xml:space="preserve"> à l’ICCAT, des informations sur les mesures </w:t>
      </w:r>
      <w:r w:rsidR="00EB2612" w:rsidRPr="00931333">
        <w:rPr>
          <w:rFonts w:ascii="Cambria" w:hAnsi="Cambria"/>
          <w:sz w:val="20"/>
          <w:szCs w:val="20"/>
        </w:rPr>
        <w:t>qu’elles ont prises</w:t>
      </w:r>
      <w:r w:rsidR="16ED2D5B" w:rsidRPr="00931333">
        <w:rPr>
          <w:rFonts w:ascii="Cambria" w:hAnsi="Cambria"/>
          <w:sz w:val="20"/>
          <w:szCs w:val="20"/>
        </w:rPr>
        <w:t xml:space="preserve"> au niveau national </w:t>
      </w:r>
      <w:r w:rsidR="00EB2612" w:rsidRPr="00931333">
        <w:rPr>
          <w:rFonts w:ascii="Cambria" w:hAnsi="Cambria"/>
          <w:sz w:val="20"/>
          <w:szCs w:val="20"/>
        </w:rPr>
        <w:t xml:space="preserve">en vue de contrôler les captures et de conserver et gérer durablement le requin peau bleue de l’Atlantique </w:t>
      </w:r>
      <w:r w:rsidR="16ED2D5B" w:rsidRPr="00931333">
        <w:rPr>
          <w:rFonts w:ascii="Cambria" w:hAnsi="Cambria"/>
          <w:sz w:val="20"/>
          <w:szCs w:val="20"/>
        </w:rPr>
        <w:t>Sud.</w:t>
      </w:r>
    </w:p>
    <w:p w14:paraId="476C4ACA" w14:textId="77777777" w:rsidR="006733C4" w:rsidRPr="00931333" w:rsidRDefault="006733C4" w:rsidP="00931333">
      <w:pPr>
        <w:widowControl w:val="0"/>
        <w:spacing w:after="0" w:line="240" w:lineRule="auto"/>
        <w:ind w:left="360" w:hanging="360"/>
        <w:jc w:val="both"/>
        <w:rPr>
          <w:rFonts w:ascii="Cambria" w:hAnsi="Cambria"/>
          <w:b/>
          <w:bCs/>
          <w:i/>
          <w:iCs/>
          <w:sz w:val="20"/>
          <w:szCs w:val="20"/>
        </w:rPr>
      </w:pPr>
    </w:p>
    <w:p w14:paraId="47262CC2" w14:textId="65FD7487" w:rsidR="00BC4836" w:rsidRPr="00931333" w:rsidRDefault="1744B81C" w:rsidP="00931333">
      <w:pPr>
        <w:widowControl w:val="0"/>
        <w:spacing w:after="0" w:line="240" w:lineRule="auto"/>
        <w:ind w:left="360" w:hanging="360"/>
        <w:jc w:val="both"/>
        <w:rPr>
          <w:rFonts w:ascii="Cambria" w:eastAsia="Cambria" w:hAnsi="Cambria" w:cs="Cambria"/>
          <w:b/>
          <w:bCs/>
          <w:sz w:val="20"/>
          <w:szCs w:val="20"/>
        </w:rPr>
      </w:pPr>
      <w:r w:rsidRPr="00931333">
        <w:rPr>
          <w:rFonts w:ascii="Cambria" w:hAnsi="Cambria"/>
          <w:b/>
          <w:bCs/>
          <w:sz w:val="20"/>
          <w:szCs w:val="20"/>
        </w:rPr>
        <w:t>Recherche scientifique</w:t>
      </w:r>
    </w:p>
    <w:p w14:paraId="7329423B" w14:textId="77777777" w:rsidR="005D6CAF" w:rsidRPr="00931333" w:rsidRDefault="005D6CAF" w:rsidP="00931333">
      <w:pPr>
        <w:widowControl w:val="0"/>
        <w:spacing w:after="0" w:line="240" w:lineRule="auto"/>
        <w:ind w:left="360" w:hanging="360"/>
        <w:jc w:val="both"/>
        <w:rPr>
          <w:rFonts w:ascii="Cambria" w:eastAsia="Cambria" w:hAnsi="Cambria" w:cs="Cambria"/>
          <w:b/>
          <w:bCs/>
          <w:sz w:val="20"/>
          <w:szCs w:val="20"/>
        </w:rPr>
      </w:pPr>
    </w:p>
    <w:p w14:paraId="0F009035" w14:textId="2BE763E6" w:rsidR="00BC4836"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9. </w:t>
      </w:r>
      <w:r w:rsidRPr="00931333">
        <w:rPr>
          <w:rFonts w:ascii="Cambria" w:hAnsi="Cambria"/>
          <w:sz w:val="20"/>
          <w:szCs w:val="20"/>
        </w:rPr>
        <w:tab/>
      </w:r>
      <w:r w:rsidR="16ED2D5B" w:rsidRPr="00931333">
        <w:rPr>
          <w:rFonts w:ascii="Cambria" w:hAnsi="Cambria"/>
          <w:sz w:val="20"/>
          <w:szCs w:val="20"/>
        </w:rPr>
        <w:t>Les CPC sont encouragées à entreprendre des travaux de recherche scientifique qui fournissent des informations sur les paramètres biologiques et écologiques clés, le cycle vital, les migrations, la survie suivant la remise à l'eau et les caractéristiques comportementales du requin peau bleue. Ces informations devront être mises à la disposition du SCRS.</w:t>
      </w:r>
    </w:p>
    <w:p w14:paraId="23A90CC9" w14:textId="77777777" w:rsidR="00BC4836" w:rsidRPr="00931333" w:rsidRDefault="00BC4836" w:rsidP="00931333">
      <w:pPr>
        <w:pStyle w:val="ListParagraph"/>
        <w:spacing w:after="0" w:line="240" w:lineRule="auto"/>
        <w:jc w:val="both"/>
        <w:rPr>
          <w:rFonts w:ascii="Cambria" w:eastAsia="Cambria" w:hAnsi="Cambria" w:cs="Cambria"/>
          <w:sz w:val="20"/>
          <w:szCs w:val="20"/>
        </w:rPr>
      </w:pPr>
    </w:p>
    <w:p w14:paraId="0F172A5E" w14:textId="2B1BC0EB" w:rsidR="00885E93"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rPr>
        <w:t>10.</w:t>
      </w:r>
      <w:r w:rsidRPr="00931333">
        <w:rPr>
          <w:rFonts w:ascii="Cambria" w:hAnsi="Cambria"/>
          <w:sz w:val="20"/>
        </w:rPr>
        <w:tab/>
      </w:r>
      <w:r w:rsidR="004B7B62" w:rsidRPr="00931333">
        <w:rPr>
          <w:rFonts w:ascii="Cambria" w:hAnsi="Cambria"/>
          <w:sz w:val="20"/>
          <w:szCs w:val="20"/>
        </w:rPr>
        <w:t>Pour</w:t>
      </w:r>
      <w:r w:rsidR="004B7B62" w:rsidRPr="00931333">
        <w:rPr>
          <w:rFonts w:ascii="Cambria" w:hAnsi="Cambria"/>
          <w:sz w:val="20"/>
        </w:rPr>
        <w:t xml:space="preserve"> donner suite à</w:t>
      </w:r>
      <w:r w:rsidR="46B4104D" w:rsidRPr="00931333">
        <w:rPr>
          <w:rFonts w:ascii="Cambria" w:hAnsi="Cambria"/>
          <w:sz w:val="20"/>
        </w:rPr>
        <w:t xml:space="preserve"> la tâche confiée dans la Recommandation 19-08, le SCRS devra informer la Commission, d'ici 202</w:t>
      </w:r>
      <w:r w:rsidR="00336C40" w:rsidRPr="00931333">
        <w:rPr>
          <w:rFonts w:ascii="Cambria" w:hAnsi="Cambria"/>
          <w:sz w:val="20"/>
        </w:rPr>
        <w:t>5</w:t>
      </w:r>
      <w:r w:rsidR="46B4104D" w:rsidRPr="00931333">
        <w:rPr>
          <w:rFonts w:ascii="Cambria" w:hAnsi="Cambria"/>
          <w:sz w:val="20"/>
        </w:rPr>
        <w:t xml:space="preserve">, de la faisabilité, </w:t>
      </w:r>
      <w:r w:rsidR="006733C4" w:rsidRPr="00931333">
        <w:rPr>
          <w:rFonts w:ascii="Cambria" w:hAnsi="Cambria"/>
          <w:sz w:val="20"/>
        </w:rPr>
        <w:t xml:space="preserve">des coûts, </w:t>
      </w:r>
      <w:r w:rsidR="46B4104D" w:rsidRPr="00931333">
        <w:rPr>
          <w:rFonts w:ascii="Cambria" w:hAnsi="Cambria"/>
          <w:sz w:val="20"/>
        </w:rPr>
        <w:t xml:space="preserve">des options et de la feuille de route provisoire pour l'élaboration d'un cadre de MSE (y compris, entre autres, </w:t>
      </w:r>
      <w:r w:rsidR="008B628B" w:rsidRPr="00931333">
        <w:rPr>
          <w:rFonts w:ascii="Cambria" w:hAnsi="Cambria"/>
          <w:sz w:val="20"/>
        </w:rPr>
        <w:t>la</w:t>
      </w:r>
      <w:r w:rsidR="46B4104D" w:rsidRPr="00931333">
        <w:rPr>
          <w:rFonts w:ascii="Cambria" w:hAnsi="Cambria"/>
          <w:sz w:val="20"/>
        </w:rPr>
        <w:t xml:space="preserve"> HCR potentielle avec</w:t>
      </w:r>
      <w:r w:rsidR="0046595D" w:rsidRPr="00931333">
        <w:rPr>
          <w:rFonts w:ascii="Cambria" w:hAnsi="Cambria"/>
          <w:sz w:val="20"/>
        </w:rPr>
        <w:t xml:space="preserve"> ses</w:t>
      </w:r>
      <w:r w:rsidR="46B4104D" w:rsidRPr="00931333">
        <w:rPr>
          <w:rFonts w:ascii="Cambria" w:hAnsi="Cambria"/>
          <w:sz w:val="20"/>
        </w:rPr>
        <w:t xml:space="preserve"> points de référence </w:t>
      </w:r>
      <w:r w:rsidR="0046595D" w:rsidRPr="00931333">
        <w:rPr>
          <w:rFonts w:ascii="Cambria" w:hAnsi="Cambria"/>
          <w:sz w:val="20"/>
        </w:rPr>
        <w:t xml:space="preserve">limites, </w:t>
      </w:r>
      <w:r w:rsidR="46B4104D" w:rsidRPr="00931333">
        <w:rPr>
          <w:rFonts w:ascii="Cambria" w:hAnsi="Cambria"/>
          <w:sz w:val="20"/>
        </w:rPr>
        <w:t xml:space="preserve">cibles et seuils, </w:t>
      </w:r>
      <w:r w:rsidR="0046595D" w:rsidRPr="00931333">
        <w:rPr>
          <w:rFonts w:ascii="Cambria" w:hAnsi="Cambria"/>
          <w:sz w:val="20"/>
        </w:rPr>
        <w:t>associés potentiels</w:t>
      </w:r>
      <w:r w:rsidR="46B4104D" w:rsidRPr="00931333">
        <w:rPr>
          <w:rFonts w:ascii="Cambria" w:hAnsi="Cambria"/>
          <w:sz w:val="20"/>
        </w:rPr>
        <w:t>) pour la gestion de ce stock dans la zone de la Convention de l’ICCAT.</w:t>
      </w:r>
      <w:bookmarkEnd w:id="1"/>
    </w:p>
    <w:p w14:paraId="35376A7E" w14:textId="77777777" w:rsidR="001B7D69" w:rsidRPr="00931333" w:rsidRDefault="001B7D69" w:rsidP="00931333">
      <w:pPr>
        <w:pStyle w:val="ListParagraph"/>
        <w:spacing w:after="0" w:line="240" w:lineRule="auto"/>
        <w:rPr>
          <w:rFonts w:ascii="Cambria" w:eastAsia="Cambria" w:hAnsi="Cambria" w:cs="Cambria"/>
          <w:sz w:val="20"/>
          <w:szCs w:val="20"/>
        </w:rPr>
      </w:pPr>
    </w:p>
    <w:p w14:paraId="07E3ABA0" w14:textId="7C6867A4" w:rsidR="008C15F0" w:rsidRPr="00931333"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11. </w:t>
      </w:r>
      <w:r w:rsidRPr="00931333">
        <w:rPr>
          <w:rFonts w:ascii="Cambria" w:hAnsi="Cambria"/>
          <w:sz w:val="20"/>
          <w:szCs w:val="20"/>
        </w:rPr>
        <w:tab/>
      </w:r>
      <w:r w:rsidR="001B7D69" w:rsidRPr="00931333">
        <w:rPr>
          <w:rFonts w:ascii="Cambria" w:hAnsi="Cambria"/>
          <w:sz w:val="20"/>
          <w:szCs w:val="20"/>
        </w:rPr>
        <w:t>La présente Recommandation devra être revue à la lumière des résultats de la prochaine évaluation du stock de requin peau bleue de l'Atlantique Sud du SCRS.</w:t>
      </w:r>
    </w:p>
    <w:p w14:paraId="75F142A5" w14:textId="77777777" w:rsidR="008C15F0" w:rsidRPr="00931333" w:rsidRDefault="008C15F0" w:rsidP="00931333">
      <w:pPr>
        <w:pStyle w:val="ListParagraph"/>
        <w:spacing w:after="0" w:line="240" w:lineRule="auto"/>
        <w:rPr>
          <w:rFonts w:ascii="Cambria" w:eastAsia="Cambria" w:hAnsi="Cambria" w:cs="Cambria"/>
          <w:sz w:val="20"/>
          <w:szCs w:val="20"/>
        </w:rPr>
      </w:pPr>
    </w:p>
    <w:p w14:paraId="68CDAB74" w14:textId="60E14BA0" w:rsidR="001B7D69" w:rsidRPr="004F316A" w:rsidRDefault="005200D7" w:rsidP="00931333">
      <w:pPr>
        <w:spacing w:after="0" w:line="240" w:lineRule="auto"/>
        <w:ind w:left="426" w:hanging="426"/>
        <w:jc w:val="both"/>
        <w:rPr>
          <w:rFonts w:ascii="Cambria" w:eastAsia="Cambria" w:hAnsi="Cambria" w:cs="Cambria"/>
          <w:sz w:val="20"/>
          <w:szCs w:val="20"/>
        </w:rPr>
      </w:pPr>
      <w:r w:rsidRPr="00931333">
        <w:rPr>
          <w:rFonts w:ascii="Cambria" w:hAnsi="Cambria"/>
          <w:sz w:val="20"/>
          <w:szCs w:val="20"/>
        </w:rPr>
        <w:t xml:space="preserve">12. </w:t>
      </w:r>
      <w:r w:rsidRPr="00931333">
        <w:rPr>
          <w:rFonts w:ascii="Cambria" w:hAnsi="Cambria"/>
          <w:sz w:val="20"/>
          <w:szCs w:val="20"/>
        </w:rPr>
        <w:tab/>
      </w:r>
      <w:r w:rsidR="001B7D69" w:rsidRPr="00931333">
        <w:rPr>
          <w:rFonts w:ascii="Cambria" w:hAnsi="Cambria"/>
          <w:sz w:val="20"/>
          <w:szCs w:val="20"/>
        </w:rPr>
        <w:t xml:space="preserve">La présente Recommandation abroge et remplace la </w:t>
      </w:r>
      <w:r w:rsidR="001B7D69" w:rsidRPr="00931333">
        <w:rPr>
          <w:rFonts w:ascii="Cambria" w:hAnsi="Cambria"/>
          <w:i/>
          <w:iCs/>
          <w:sz w:val="20"/>
          <w:szCs w:val="20"/>
        </w:rPr>
        <w:t>Recommandation de l’ICCAT sur des mesures de gestion pour la conservation du requin peau bleue de l’Atlantique Sud capturé en association avec les pêcheries de l’ICCAT</w:t>
      </w:r>
      <w:r w:rsidR="001B7D69" w:rsidRPr="00931333">
        <w:rPr>
          <w:rFonts w:ascii="Cambria" w:hAnsi="Cambria"/>
          <w:sz w:val="20"/>
          <w:szCs w:val="20"/>
        </w:rPr>
        <w:t xml:space="preserve"> (Rec. 19-08).</w:t>
      </w:r>
    </w:p>
    <w:sectPr w:rsidR="001B7D69" w:rsidRPr="004F316A">
      <w:footerReference w:type="default" r:id="rId12"/>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200C" w14:textId="77777777" w:rsidR="006F2682" w:rsidRDefault="006F2682">
      <w:pPr>
        <w:spacing w:after="0" w:line="240" w:lineRule="auto"/>
      </w:pPr>
      <w:r>
        <w:separator/>
      </w:r>
    </w:p>
  </w:endnote>
  <w:endnote w:type="continuationSeparator" w:id="0">
    <w:p w14:paraId="0574BE21" w14:textId="77777777" w:rsidR="006F2682" w:rsidRDefault="006F2682">
      <w:pPr>
        <w:spacing w:after="0" w:line="240" w:lineRule="auto"/>
      </w:pPr>
      <w:r>
        <w:continuationSeparator/>
      </w:r>
    </w:p>
  </w:endnote>
  <w:endnote w:type="continuationNotice" w:id="1">
    <w:p w14:paraId="4A14647B" w14:textId="77777777" w:rsidR="006F2682" w:rsidRDefault="006F2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E329" w14:textId="0D5BD026" w:rsidR="003D2158" w:rsidRPr="003D2158" w:rsidRDefault="00000000" w:rsidP="003D2158">
    <w:pPr>
      <w:tabs>
        <w:tab w:val="center" w:pos="4535"/>
        <w:tab w:val="center" w:pos="4680"/>
        <w:tab w:val="left" w:pos="6150"/>
        <w:tab w:val="right" w:pos="9360"/>
      </w:tabs>
      <w:spacing w:after="0" w:line="240" w:lineRule="auto"/>
      <w:jc w:val="center"/>
      <w:rPr>
        <w:rFonts w:ascii="Cambria" w:hAnsi="Cambria"/>
        <w:sz w:val="20"/>
      </w:rPr>
    </w:pPr>
    <w:sdt>
      <w:sdtPr>
        <w:rPr>
          <w:sz w:val="20"/>
          <w:szCs w:val="20"/>
        </w:rPr>
        <w:id w:val="857621591"/>
        <w:docPartObj>
          <w:docPartGallery w:val="Page Numbers (Top of Page)"/>
          <w:docPartUnique/>
        </w:docPartObj>
      </w:sdtPr>
      <w:sdtContent>
        <w:r w:rsidR="003D2158" w:rsidRPr="003D2158">
          <w:rPr>
            <w:rFonts w:ascii="Cambria" w:hAnsi="Cambria"/>
            <w:sz w:val="20"/>
            <w:szCs w:val="20"/>
          </w:rPr>
          <w:fldChar w:fldCharType="begin"/>
        </w:r>
        <w:r w:rsidR="003D2158" w:rsidRPr="003D2158">
          <w:rPr>
            <w:rFonts w:ascii="Cambria" w:hAnsi="Cambria"/>
            <w:sz w:val="20"/>
            <w:szCs w:val="20"/>
          </w:rPr>
          <w:instrText xml:space="preserve"> PAGE </w:instrText>
        </w:r>
        <w:r w:rsidR="003D2158" w:rsidRPr="003D2158">
          <w:rPr>
            <w:rFonts w:ascii="Cambria" w:hAnsi="Cambria"/>
            <w:sz w:val="20"/>
            <w:szCs w:val="20"/>
          </w:rPr>
          <w:fldChar w:fldCharType="separate"/>
        </w:r>
        <w:r w:rsidR="003D2158" w:rsidRPr="003D2158">
          <w:rPr>
            <w:rFonts w:ascii="Cambria" w:hAnsi="Cambria"/>
            <w:sz w:val="20"/>
            <w:szCs w:val="20"/>
          </w:rPr>
          <w:t>1</w:t>
        </w:r>
        <w:r w:rsidR="003D2158" w:rsidRPr="003D2158">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A812" w14:textId="77777777" w:rsidR="006F2682" w:rsidRDefault="006F2682">
      <w:pPr>
        <w:spacing w:after="0" w:line="240" w:lineRule="auto"/>
      </w:pPr>
      <w:r>
        <w:separator/>
      </w:r>
    </w:p>
  </w:footnote>
  <w:footnote w:type="continuationSeparator" w:id="0">
    <w:p w14:paraId="2F25B936" w14:textId="77777777" w:rsidR="006F2682" w:rsidRDefault="006F2682">
      <w:pPr>
        <w:spacing w:after="0" w:line="240" w:lineRule="auto"/>
      </w:pPr>
      <w:r>
        <w:continuationSeparator/>
      </w:r>
    </w:p>
  </w:footnote>
  <w:footnote w:type="continuationNotice" w:id="1">
    <w:p w14:paraId="7044D42C" w14:textId="77777777" w:rsidR="006F2682" w:rsidRDefault="006F26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BAD1"/>
    <w:multiLevelType w:val="hybridMultilevel"/>
    <w:tmpl w:val="DD2EDF7E"/>
    <w:lvl w:ilvl="0" w:tplc="A33229C4">
      <w:start w:val="4"/>
      <w:numFmt w:val="decimal"/>
      <w:lvlText w:val="%1."/>
      <w:lvlJc w:val="left"/>
      <w:pPr>
        <w:ind w:left="720" w:hanging="360"/>
      </w:pPr>
    </w:lvl>
    <w:lvl w:ilvl="1" w:tplc="92761D86">
      <w:start w:val="1"/>
      <w:numFmt w:val="lowerLetter"/>
      <w:lvlText w:val="%2."/>
      <w:lvlJc w:val="left"/>
      <w:pPr>
        <w:ind w:left="1440" w:hanging="360"/>
      </w:pPr>
    </w:lvl>
    <w:lvl w:ilvl="2" w:tplc="19D21654">
      <w:start w:val="1"/>
      <w:numFmt w:val="lowerRoman"/>
      <w:lvlText w:val="%3."/>
      <w:lvlJc w:val="right"/>
      <w:pPr>
        <w:ind w:left="2160" w:hanging="180"/>
      </w:pPr>
    </w:lvl>
    <w:lvl w:ilvl="3" w:tplc="1D04860A">
      <w:start w:val="1"/>
      <w:numFmt w:val="decimal"/>
      <w:lvlText w:val="%4."/>
      <w:lvlJc w:val="left"/>
      <w:pPr>
        <w:ind w:left="2880" w:hanging="360"/>
      </w:pPr>
    </w:lvl>
    <w:lvl w:ilvl="4" w:tplc="BB5686BA">
      <w:start w:val="1"/>
      <w:numFmt w:val="lowerLetter"/>
      <w:lvlText w:val="%5."/>
      <w:lvlJc w:val="left"/>
      <w:pPr>
        <w:ind w:left="3600" w:hanging="360"/>
      </w:pPr>
    </w:lvl>
    <w:lvl w:ilvl="5" w:tplc="EE921136">
      <w:start w:val="1"/>
      <w:numFmt w:val="lowerRoman"/>
      <w:lvlText w:val="%6."/>
      <w:lvlJc w:val="right"/>
      <w:pPr>
        <w:ind w:left="4320" w:hanging="180"/>
      </w:pPr>
    </w:lvl>
    <w:lvl w:ilvl="6" w:tplc="93C463C8">
      <w:start w:val="1"/>
      <w:numFmt w:val="decimal"/>
      <w:lvlText w:val="%7."/>
      <w:lvlJc w:val="left"/>
      <w:pPr>
        <w:ind w:left="5040" w:hanging="360"/>
      </w:pPr>
    </w:lvl>
    <w:lvl w:ilvl="7" w:tplc="4BAA07F4">
      <w:start w:val="1"/>
      <w:numFmt w:val="lowerLetter"/>
      <w:lvlText w:val="%8."/>
      <w:lvlJc w:val="left"/>
      <w:pPr>
        <w:ind w:left="5760" w:hanging="360"/>
      </w:pPr>
    </w:lvl>
    <w:lvl w:ilvl="8" w:tplc="9FEA5D24">
      <w:start w:val="1"/>
      <w:numFmt w:val="lowerRoman"/>
      <w:lvlText w:val="%9."/>
      <w:lvlJc w:val="right"/>
      <w:pPr>
        <w:ind w:left="6480" w:hanging="180"/>
      </w:pPr>
    </w:lvl>
  </w:abstractNum>
  <w:abstractNum w:abstractNumId="1" w15:restartNumberingAfterBreak="0">
    <w:nsid w:val="2DE77D30"/>
    <w:multiLevelType w:val="hybridMultilevel"/>
    <w:tmpl w:val="8C5AE6DC"/>
    <w:lvl w:ilvl="0" w:tplc="2AD6A2D6">
      <w:start w:val="5"/>
      <w:numFmt w:val="decimal"/>
      <w:lvlText w:val="%1."/>
      <w:lvlJc w:val="left"/>
      <w:pPr>
        <w:ind w:left="780" w:hanging="360"/>
      </w:pPr>
    </w:lvl>
    <w:lvl w:ilvl="1" w:tplc="844A9C36">
      <w:start w:val="1"/>
      <w:numFmt w:val="lowerLetter"/>
      <w:lvlText w:val="%2."/>
      <w:lvlJc w:val="left"/>
      <w:pPr>
        <w:ind w:left="1440" w:hanging="360"/>
      </w:pPr>
    </w:lvl>
    <w:lvl w:ilvl="2" w:tplc="535ECB60">
      <w:start w:val="1"/>
      <w:numFmt w:val="lowerRoman"/>
      <w:lvlText w:val="%3."/>
      <w:lvlJc w:val="right"/>
      <w:pPr>
        <w:ind w:left="2160" w:hanging="180"/>
      </w:pPr>
    </w:lvl>
    <w:lvl w:ilvl="3" w:tplc="C7E8C17C">
      <w:start w:val="1"/>
      <w:numFmt w:val="decimal"/>
      <w:lvlText w:val="%4."/>
      <w:lvlJc w:val="left"/>
      <w:pPr>
        <w:ind w:left="2880" w:hanging="360"/>
      </w:pPr>
    </w:lvl>
    <w:lvl w:ilvl="4" w:tplc="2A38EB16">
      <w:start w:val="1"/>
      <w:numFmt w:val="lowerLetter"/>
      <w:lvlText w:val="%5."/>
      <w:lvlJc w:val="left"/>
      <w:pPr>
        <w:ind w:left="3600" w:hanging="360"/>
      </w:pPr>
    </w:lvl>
    <w:lvl w:ilvl="5" w:tplc="60E8FE9E">
      <w:start w:val="1"/>
      <w:numFmt w:val="lowerRoman"/>
      <w:lvlText w:val="%6."/>
      <w:lvlJc w:val="right"/>
      <w:pPr>
        <w:ind w:left="4320" w:hanging="180"/>
      </w:pPr>
    </w:lvl>
    <w:lvl w:ilvl="6" w:tplc="941449D8">
      <w:start w:val="1"/>
      <w:numFmt w:val="decimal"/>
      <w:lvlText w:val="%7."/>
      <w:lvlJc w:val="left"/>
      <w:pPr>
        <w:ind w:left="5040" w:hanging="360"/>
      </w:pPr>
    </w:lvl>
    <w:lvl w:ilvl="7" w:tplc="38406DD6">
      <w:start w:val="1"/>
      <w:numFmt w:val="lowerLetter"/>
      <w:lvlText w:val="%8."/>
      <w:lvlJc w:val="left"/>
      <w:pPr>
        <w:ind w:left="5760" w:hanging="360"/>
      </w:pPr>
    </w:lvl>
    <w:lvl w:ilvl="8" w:tplc="370A0822">
      <w:start w:val="1"/>
      <w:numFmt w:val="lowerRoman"/>
      <w:lvlText w:val="%9."/>
      <w:lvlJc w:val="right"/>
      <w:pPr>
        <w:ind w:left="6480" w:hanging="180"/>
      </w:pPr>
    </w:lvl>
  </w:abstractNum>
  <w:abstractNum w:abstractNumId="2"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B991BCB"/>
    <w:multiLevelType w:val="hybridMultilevel"/>
    <w:tmpl w:val="17E2B2F2"/>
    <w:lvl w:ilvl="0" w:tplc="6658DEBA">
      <w:start w:val="1"/>
      <w:numFmt w:val="decimal"/>
      <w:lvlText w:val="%1."/>
      <w:lvlJc w:val="left"/>
      <w:pPr>
        <w:ind w:left="720" w:hanging="360"/>
      </w:pPr>
    </w:lvl>
    <w:lvl w:ilvl="1" w:tplc="096846AA">
      <w:start w:val="1"/>
      <w:numFmt w:val="lowerLetter"/>
      <w:lvlText w:val="%2."/>
      <w:lvlJc w:val="left"/>
      <w:pPr>
        <w:ind w:left="1440" w:hanging="360"/>
      </w:pPr>
    </w:lvl>
    <w:lvl w:ilvl="2" w:tplc="6A90905A">
      <w:start w:val="1"/>
      <w:numFmt w:val="lowerRoman"/>
      <w:lvlText w:val="%3."/>
      <w:lvlJc w:val="right"/>
      <w:pPr>
        <w:ind w:left="2160" w:hanging="180"/>
      </w:pPr>
    </w:lvl>
    <w:lvl w:ilvl="3" w:tplc="33B4F096">
      <w:start w:val="1"/>
      <w:numFmt w:val="decimal"/>
      <w:lvlText w:val="%4."/>
      <w:lvlJc w:val="left"/>
      <w:pPr>
        <w:ind w:left="2880" w:hanging="360"/>
      </w:pPr>
    </w:lvl>
    <w:lvl w:ilvl="4" w:tplc="630880CC">
      <w:start w:val="1"/>
      <w:numFmt w:val="lowerLetter"/>
      <w:lvlText w:val="%5."/>
      <w:lvlJc w:val="left"/>
      <w:pPr>
        <w:ind w:left="3600" w:hanging="360"/>
      </w:pPr>
    </w:lvl>
    <w:lvl w:ilvl="5" w:tplc="710E913E">
      <w:start w:val="1"/>
      <w:numFmt w:val="lowerRoman"/>
      <w:lvlText w:val="%6."/>
      <w:lvlJc w:val="right"/>
      <w:pPr>
        <w:ind w:left="4320" w:hanging="180"/>
      </w:pPr>
    </w:lvl>
    <w:lvl w:ilvl="6" w:tplc="A3D25624">
      <w:start w:val="1"/>
      <w:numFmt w:val="decimal"/>
      <w:lvlText w:val="%7."/>
      <w:lvlJc w:val="left"/>
      <w:pPr>
        <w:ind w:left="5040" w:hanging="360"/>
      </w:pPr>
    </w:lvl>
    <w:lvl w:ilvl="7" w:tplc="1BCA9B08">
      <w:start w:val="1"/>
      <w:numFmt w:val="lowerLetter"/>
      <w:lvlText w:val="%8."/>
      <w:lvlJc w:val="left"/>
      <w:pPr>
        <w:ind w:left="5760" w:hanging="360"/>
      </w:pPr>
    </w:lvl>
    <w:lvl w:ilvl="8" w:tplc="0B9CE038">
      <w:start w:val="1"/>
      <w:numFmt w:val="lowerRoman"/>
      <w:lvlText w:val="%9."/>
      <w:lvlJc w:val="right"/>
      <w:pPr>
        <w:ind w:left="6480" w:hanging="180"/>
      </w:pPr>
    </w:lvl>
  </w:abstractNum>
  <w:abstractNum w:abstractNumId="4" w15:restartNumberingAfterBreak="0">
    <w:nsid w:val="44CFC2F8"/>
    <w:multiLevelType w:val="hybridMultilevel"/>
    <w:tmpl w:val="45F67136"/>
    <w:lvl w:ilvl="0" w:tplc="A090346A">
      <w:start w:val="5"/>
      <w:numFmt w:val="decimal"/>
      <w:lvlText w:val="%1."/>
      <w:lvlJc w:val="left"/>
      <w:pPr>
        <w:ind w:left="780" w:hanging="420"/>
      </w:pPr>
    </w:lvl>
    <w:lvl w:ilvl="1" w:tplc="4D28913A">
      <w:start w:val="1"/>
      <w:numFmt w:val="lowerLetter"/>
      <w:lvlText w:val="%2."/>
      <w:lvlJc w:val="left"/>
      <w:pPr>
        <w:ind w:left="1440" w:hanging="360"/>
      </w:pPr>
    </w:lvl>
    <w:lvl w:ilvl="2" w:tplc="C3041576">
      <w:start w:val="1"/>
      <w:numFmt w:val="lowerRoman"/>
      <w:lvlText w:val="%3."/>
      <w:lvlJc w:val="right"/>
      <w:pPr>
        <w:ind w:left="2160" w:hanging="180"/>
      </w:pPr>
    </w:lvl>
    <w:lvl w:ilvl="3" w:tplc="D68417D6">
      <w:start w:val="1"/>
      <w:numFmt w:val="decimal"/>
      <w:lvlText w:val="%4."/>
      <w:lvlJc w:val="left"/>
      <w:pPr>
        <w:ind w:left="2880" w:hanging="360"/>
      </w:pPr>
    </w:lvl>
    <w:lvl w:ilvl="4" w:tplc="B8D0ACC8">
      <w:start w:val="1"/>
      <w:numFmt w:val="lowerLetter"/>
      <w:lvlText w:val="%5."/>
      <w:lvlJc w:val="left"/>
      <w:pPr>
        <w:ind w:left="3600" w:hanging="360"/>
      </w:pPr>
    </w:lvl>
    <w:lvl w:ilvl="5" w:tplc="F956FBFA">
      <w:start w:val="1"/>
      <w:numFmt w:val="lowerRoman"/>
      <w:lvlText w:val="%6."/>
      <w:lvlJc w:val="right"/>
      <w:pPr>
        <w:ind w:left="4320" w:hanging="180"/>
      </w:pPr>
    </w:lvl>
    <w:lvl w:ilvl="6" w:tplc="426442B6">
      <w:start w:val="1"/>
      <w:numFmt w:val="decimal"/>
      <w:lvlText w:val="%7."/>
      <w:lvlJc w:val="left"/>
      <w:pPr>
        <w:ind w:left="5040" w:hanging="360"/>
      </w:pPr>
    </w:lvl>
    <w:lvl w:ilvl="7" w:tplc="BFA80CE0">
      <w:start w:val="1"/>
      <w:numFmt w:val="lowerLetter"/>
      <w:lvlText w:val="%8."/>
      <w:lvlJc w:val="left"/>
      <w:pPr>
        <w:ind w:left="5760" w:hanging="360"/>
      </w:pPr>
    </w:lvl>
    <w:lvl w:ilvl="8" w:tplc="601EC3E0">
      <w:start w:val="1"/>
      <w:numFmt w:val="lowerRoman"/>
      <w:lvlText w:val="%9."/>
      <w:lvlJc w:val="right"/>
      <w:pPr>
        <w:ind w:left="6480" w:hanging="180"/>
      </w:pPr>
    </w:lvl>
  </w:abstractNum>
  <w:abstractNum w:abstractNumId="5" w15:restartNumberingAfterBreak="0">
    <w:nsid w:val="636FA49F"/>
    <w:multiLevelType w:val="hybridMultilevel"/>
    <w:tmpl w:val="F76A695E"/>
    <w:lvl w:ilvl="0" w:tplc="B6268902">
      <w:start w:val="1"/>
      <w:numFmt w:val="bullet"/>
      <w:lvlText w:val="%1."/>
      <w:lvlJc w:val="left"/>
      <w:pPr>
        <w:ind w:left="720" w:hanging="360"/>
      </w:pPr>
      <w:rPr>
        <w:rFonts w:ascii="Cambria" w:hAnsi="Cambria" w:hint="default"/>
      </w:rPr>
    </w:lvl>
    <w:lvl w:ilvl="1" w:tplc="89E0B88E">
      <w:start w:val="1"/>
      <w:numFmt w:val="bullet"/>
      <w:lvlText w:val="o"/>
      <w:lvlJc w:val="left"/>
      <w:pPr>
        <w:ind w:left="1440" w:hanging="360"/>
      </w:pPr>
      <w:rPr>
        <w:rFonts w:ascii="Courier New" w:hAnsi="Courier New" w:hint="default"/>
      </w:rPr>
    </w:lvl>
    <w:lvl w:ilvl="2" w:tplc="CD1E799C">
      <w:start w:val="1"/>
      <w:numFmt w:val="bullet"/>
      <w:lvlText w:val=""/>
      <w:lvlJc w:val="left"/>
      <w:pPr>
        <w:ind w:left="2160" w:hanging="360"/>
      </w:pPr>
      <w:rPr>
        <w:rFonts w:ascii="Wingdings" w:hAnsi="Wingdings" w:hint="default"/>
      </w:rPr>
    </w:lvl>
    <w:lvl w:ilvl="3" w:tplc="CEA09068">
      <w:start w:val="1"/>
      <w:numFmt w:val="bullet"/>
      <w:lvlText w:val=""/>
      <w:lvlJc w:val="left"/>
      <w:pPr>
        <w:ind w:left="2880" w:hanging="360"/>
      </w:pPr>
      <w:rPr>
        <w:rFonts w:ascii="Symbol" w:hAnsi="Symbol" w:hint="default"/>
      </w:rPr>
    </w:lvl>
    <w:lvl w:ilvl="4" w:tplc="7510474C">
      <w:start w:val="1"/>
      <w:numFmt w:val="bullet"/>
      <w:lvlText w:val="o"/>
      <w:lvlJc w:val="left"/>
      <w:pPr>
        <w:ind w:left="3600" w:hanging="360"/>
      </w:pPr>
      <w:rPr>
        <w:rFonts w:ascii="Courier New" w:hAnsi="Courier New" w:hint="default"/>
      </w:rPr>
    </w:lvl>
    <w:lvl w:ilvl="5" w:tplc="BEAEBDBA">
      <w:start w:val="1"/>
      <w:numFmt w:val="bullet"/>
      <w:lvlText w:val=""/>
      <w:lvlJc w:val="left"/>
      <w:pPr>
        <w:ind w:left="4320" w:hanging="360"/>
      </w:pPr>
      <w:rPr>
        <w:rFonts w:ascii="Wingdings" w:hAnsi="Wingdings" w:hint="default"/>
      </w:rPr>
    </w:lvl>
    <w:lvl w:ilvl="6" w:tplc="108639D4">
      <w:start w:val="1"/>
      <w:numFmt w:val="bullet"/>
      <w:lvlText w:val=""/>
      <w:lvlJc w:val="left"/>
      <w:pPr>
        <w:ind w:left="5040" w:hanging="360"/>
      </w:pPr>
      <w:rPr>
        <w:rFonts w:ascii="Symbol" w:hAnsi="Symbol" w:hint="default"/>
      </w:rPr>
    </w:lvl>
    <w:lvl w:ilvl="7" w:tplc="F60851D6">
      <w:start w:val="1"/>
      <w:numFmt w:val="bullet"/>
      <w:lvlText w:val="o"/>
      <w:lvlJc w:val="left"/>
      <w:pPr>
        <w:ind w:left="5760" w:hanging="360"/>
      </w:pPr>
      <w:rPr>
        <w:rFonts w:ascii="Courier New" w:hAnsi="Courier New" w:hint="default"/>
      </w:rPr>
    </w:lvl>
    <w:lvl w:ilvl="8" w:tplc="DFA099F6">
      <w:start w:val="1"/>
      <w:numFmt w:val="bullet"/>
      <w:lvlText w:val=""/>
      <w:lvlJc w:val="left"/>
      <w:pPr>
        <w:ind w:left="6480" w:hanging="360"/>
      </w:pPr>
      <w:rPr>
        <w:rFonts w:ascii="Wingdings" w:hAnsi="Wingdings" w:hint="default"/>
      </w:rPr>
    </w:lvl>
  </w:abstractNum>
  <w:abstractNum w:abstractNumId="6"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7" w15:restartNumberingAfterBreak="0">
    <w:nsid w:val="6B4F01F6"/>
    <w:multiLevelType w:val="hybridMultilevel"/>
    <w:tmpl w:val="84320432"/>
    <w:lvl w:ilvl="0" w:tplc="5F42E5B8">
      <w:start w:val="82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3362E"/>
    <w:multiLevelType w:val="hybridMultilevel"/>
    <w:tmpl w:val="E66C3BF4"/>
    <w:lvl w:ilvl="0" w:tplc="7C427E54">
      <w:start w:val="1"/>
      <w:numFmt w:val="decimal"/>
      <w:lvlText w:val="%1."/>
      <w:lvlJc w:val="left"/>
      <w:pPr>
        <w:ind w:left="780" w:hanging="420"/>
      </w:pPr>
      <w:rPr>
        <w:rFonts w:ascii="Cambria" w:hAnsi="Cambria"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9852804">
    <w:abstractNumId w:val="1"/>
  </w:num>
  <w:num w:numId="2" w16cid:durableId="1751848904">
    <w:abstractNumId w:val="0"/>
  </w:num>
  <w:num w:numId="3" w16cid:durableId="1630555323">
    <w:abstractNumId w:val="3"/>
  </w:num>
  <w:num w:numId="4" w16cid:durableId="1569222287">
    <w:abstractNumId w:val="5"/>
  </w:num>
  <w:num w:numId="5" w16cid:durableId="1881237345">
    <w:abstractNumId w:val="4"/>
  </w:num>
  <w:num w:numId="6" w16cid:durableId="735474555">
    <w:abstractNumId w:val="6"/>
  </w:num>
  <w:num w:numId="7" w16cid:durableId="647126436">
    <w:abstractNumId w:val="8"/>
  </w:num>
  <w:num w:numId="8" w16cid:durableId="1024138486">
    <w:abstractNumId w:val="2"/>
  </w:num>
  <w:num w:numId="9" w16cid:durableId="1956867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IE" w:vendorID="64" w:dllVersion="0" w:nlCheck="1" w:checkStyle="0"/>
  <w:activeWritingStyle w:appName="MSWord" w:lang="en-AU"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7D4D"/>
    <w:rsid w:val="00013D77"/>
    <w:rsid w:val="000325D2"/>
    <w:rsid w:val="0003520E"/>
    <w:rsid w:val="0004250B"/>
    <w:rsid w:val="00075080"/>
    <w:rsid w:val="0007563E"/>
    <w:rsid w:val="0007720D"/>
    <w:rsid w:val="00082DB5"/>
    <w:rsid w:val="000906D6"/>
    <w:rsid w:val="000A05D5"/>
    <w:rsid w:val="000C5DED"/>
    <w:rsid w:val="000C69BB"/>
    <w:rsid w:val="000D111E"/>
    <w:rsid w:val="000D66F5"/>
    <w:rsid w:val="000E57E2"/>
    <w:rsid w:val="000E7BDE"/>
    <w:rsid w:val="001100E4"/>
    <w:rsid w:val="001166DD"/>
    <w:rsid w:val="00150E37"/>
    <w:rsid w:val="00152E95"/>
    <w:rsid w:val="00154F3A"/>
    <w:rsid w:val="00156B65"/>
    <w:rsid w:val="001816B9"/>
    <w:rsid w:val="00191065"/>
    <w:rsid w:val="001A3548"/>
    <w:rsid w:val="001B7D69"/>
    <w:rsid w:val="001D3008"/>
    <w:rsid w:val="001E0C2A"/>
    <w:rsid w:val="001E2106"/>
    <w:rsid w:val="001F013D"/>
    <w:rsid w:val="00210875"/>
    <w:rsid w:val="0021154D"/>
    <w:rsid w:val="002164C9"/>
    <w:rsid w:val="00222C73"/>
    <w:rsid w:val="00232DEA"/>
    <w:rsid w:val="00236B09"/>
    <w:rsid w:val="00252F1F"/>
    <w:rsid w:val="00253C37"/>
    <w:rsid w:val="00253DD1"/>
    <w:rsid w:val="00254327"/>
    <w:rsid w:val="002551F0"/>
    <w:rsid w:val="0029062F"/>
    <w:rsid w:val="00296F36"/>
    <w:rsid w:val="0029EF48"/>
    <w:rsid w:val="002C3CB8"/>
    <w:rsid w:val="002E550B"/>
    <w:rsid w:val="00307E8F"/>
    <w:rsid w:val="003115BE"/>
    <w:rsid w:val="00336C40"/>
    <w:rsid w:val="003711E6"/>
    <w:rsid w:val="00391AB7"/>
    <w:rsid w:val="003A5856"/>
    <w:rsid w:val="003D0398"/>
    <w:rsid w:val="003D2158"/>
    <w:rsid w:val="003D3B08"/>
    <w:rsid w:val="003F68F3"/>
    <w:rsid w:val="003F7797"/>
    <w:rsid w:val="003F77A9"/>
    <w:rsid w:val="0041213B"/>
    <w:rsid w:val="00415311"/>
    <w:rsid w:val="00424AA3"/>
    <w:rsid w:val="00432BE2"/>
    <w:rsid w:val="0044333D"/>
    <w:rsid w:val="004526D2"/>
    <w:rsid w:val="0046595D"/>
    <w:rsid w:val="0048117C"/>
    <w:rsid w:val="00496A86"/>
    <w:rsid w:val="004A5B15"/>
    <w:rsid w:val="004B6B54"/>
    <w:rsid w:val="004B7540"/>
    <w:rsid w:val="004B7B62"/>
    <w:rsid w:val="004B7E05"/>
    <w:rsid w:val="004F316A"/>
    <w:rsid w:val="00516782"/>
    <w:rsid w:val="005200D7"/>
    <w:rsid w:val="005235BD"/>
    <w:rsid w:val="005256A3"/>
    <w:rsid w:val="0053578B"/>
    <w:rsid w:val="00551EBB"/>
    <w:rsid w:val="0055384E"/>
    <w:rsid w:val="00555FD1"/>
    <w:rsid w:val="00591E70"/>
    <w:rsid w:val="005A079E"/>
    <w:rsid w:val="005C7B6C"/>
    <w:rsid w:val="005D36F7"/>
    <w:rsid w:val="005D6CAF"/>
    <w:rsid w:val="0060572E"/>
    <w:rsid w:val="00606A33"/>
    <w:rsid w:val="006177EF"/>
    <w:rsid w:val="00625B10"/>
    <w:rsid w:val="006356A4"/>
    <w:rsid w:val="00651C27"/>
    <w:rsid w:val="006528BA"/>
    <w:rsid w:val="00654725"/>
    <w:rsid w:val="006733C4"/>
    <w:rsid w:val="00680958"/>
    <w:rsid w:val="0069694C"/>
    <w:rsid w:val="006A7C90"/>
    <w:rsid w:val="006A7F58"/>
    <w:rsid w:val="006B16A5"/>
    <w:rsid w:val="006B3F88"/>
    <w:rsid w:val="006C6D76"/>
    <w:rsid w:val="006D542A"/>
    <w:rsid w:val="006F2682"/>
    <w:rsid w:val="00701CC1"/>
    <w:rsid w:val="00731DC7"/>
    <w:rsid w:val="007334FE"/>
    <w:rsid w:val="00756D92"/>
    <w:rsid w:val="007637AF"/>
    <w:rsid w:val="0076743A"/>
    <w:rsid w:val="00784AE2"/>
    <w:rsid w:val="007D1E72"/>
    <w:rsid w:val="007D4525"/>
    <w:rsid w:val="007F5EDE"/>
    <w:rsid w:val="00821E6E"/>
    <w:rsid w:val="00832BE7"/>
    <w:rsid w:val="00853F1C"/>
    <w:rsid w:val="0086068B"/>
    <w:rsid w:val="0086608E"/>
    <w:rsid w:val="00867C8C"/>
    <w:rsid w:val="00877A0A"/>
    <w:rsid w:val="00881932"/>
    <w:rsid w:val="00884326"/>
    <w:rsid w:val="00885E93"/>
    <w:rsid w:val="00887CB6"/>
    <w:rsid w:val="00895C98"/>
    <w:rsid w:val="008B628B"/>
    <w:rsid w:val="008C13AF"/>
    <w:rsid w:val="008C15F0"/>
    <w:rsid w:val="008C5092"/>
    <w:rsid w:val="008C7139"/>
    <w:rsid w:val="008E651E"/>
    <w:rsid w:val="009039B9"/>
    <w:rsid w:val="00922063"/>
    <w:rsid w:val="00931333"/>
    <w:rsid w:val="00936389"/>
    <w:rsid w:val="00936FC1"/>
    <w:rsid w:val="009641CD"/>
    <w:rsid w:val="009915CA"/>
    <w:rsid w:val="0099284D"/>
    <w:rsid w:val="009A01BD"/>
    <w:rsid w:val="009A2E94"/>
    <w:rsid w:val="009A4AA7"/>
    <w:rsid w:val="009C2C86"/>
    <w:rsid w:val="009C4F5A"/>
    <w:rsid w:val="009E4899"/>
    <w:rsid w:val="009E7E2F"/>
    <w:rsid w:val="009F1616"/>
    <w:rsid w:val="00A3166F"/>
    <w:rsid w:val="00A5096A"/>
    <w:rsid w:val="00A53AC5"/>
    <w:rsid w:val="00A643B8"/>
    <w:rsid w:val="00A70741"/>
    <w:rsid w:val="00A71E44"/>
    <w:rsid w:val="00A74688"/>
    <w:rsid w:val="00A91DFF"/>
    <w:rsid w:val="00A9346B"/>
    <w:rsid w:val="00A94C0A"/>
    <w:rsid w:val="00AB38C4"/>
    <w:rsid w:val="00AC3827"/>
    <w:rsid w:val="00AC537F"/>
    <w:rsid w:val="00AD4D16"/>
    <w:rsid w:val="00B17F46"/>
    <w:rsid w:val="00B252EF"/>
    <w:rsid w:val="00B30B12"/>
    <w:rsid w:val="00B35AB6"/>
    <w:rsid w:val="00B42341"/>
    <w:rsid w:val="00B63EC3"/>
    <w:rsid w:val="00B71480"/>
    <w:rsid w:val="00B74F1A"/>
    <w:rsid w:val="00B8434D"/>
    <w:rsid w:val="00B92680"/>
    <w:rsid w:val="00B94D0B"/>
    <w:rsid w:val="00BA55B7"/>
    <w:rsid w:val="00BB4049"/>
    <w:rsid w:val="00BB62C2"/>
    <w:rsid w:val="00BC4836"/>
    <w:rsid w:val="00BE4CD7"/>
    <w:rsid w:val="00C04D4C"/>
    <w:rsid w:val="00C0512E"/>
    <w:rsid w:val="00C22CCE"/>
    <w:rsid w:val="00C30A08"/>
    <w:rsid w:val="00C62A12"/>
    <w:rsid w:val="00C65380"/>
    <w:rsid w:val="00C925FA"/>
    <w:rsid w:val="00C94211"/>
    <w:rsid w:val="00C9D9AA"/>
    <w:rsid w:val="00CA233C"/>
    <w:rsid w:val="00CD1F10"/>
    <w:rsid w:val="00D161B0"/>
    <w:rsid w:val="00D26003"/>
    <w:rsid w:val="00D27D11"/>
    <w:rsid w:val="00D62A55"/>
    <w:rsid w:val="00D73888"/>
    <w:rsid w:val="00D86C36"/>
    <w:rsid w:val="00D92571"/>
    <w:rsid w:val="00DA3626"/>
    <w:rsid w:val="00DC4A54"/>
    <w:rsid w:val="00DF04BF"/>
    <w:rsid w:val="00DF2E0E"/>
    <w:rsid w:val="00DF505D"/>
    <w:rsid w:val="00E362C9"/>
    <w:rsid w:val="00E41E62"/>
    <w:rsid w:val="00E43FD1"/>
    <w:rsid w:val="00E4568E"/>
    <w:rsid w:val="00E60AD8"/>
    <w:rsid w:val="00E60CA7"/>
    <w:rsid w:val="00E70C87"/>
    <w:rsid w:val="00E71A2B"/>
    <w:rsid w:val="00E737D5"/>
    <w:rsid w:val="00E97A79"/>
    <w:rsid w:val="00EA039D"/>
    <w:rsid w:val="00EB2612"/>
    <w:rsid w:val="00EB2862"/>
    <w:rsid w:val="00EC6EF3"/>
    <w:rsid w:val="00EC7947"/>
    <w:rsid w:val="00EF3F69"/>
    <w:rsid w:val="00F02B20"/>
    <w:rsid w:val="00F10DED"/>
    <w:rsid w:val="00F36F43"/>
    <w:rsid w:val="00F62116"/>
    <w:rsid w:val="00F9221E"/>
    <w:rsid w:val="00FA3695"/>
    <w:rsid w:val="00FD1902"/>
    <w:rsid w:val="00FD3E9E"/>
    <w:rsid w:val="00FD6F9B"/>
    <w:rsid w:val="00FF1C6D"/>
    <w:rsid w:val="0101D909"/>
    <w:rsid w:val="0159F1FA"/>
    <w:rsid w:val="015F2261"/>
    <w:rsid w:val="01877125"/>
    <w:rsid w:val="0228759A"/>
    <w:rsid w:val="0252EDCC"/>
    <w:rsid w:val="02826EE4"/>
    <w:rsid w:val="02D73647"/>
    <w:rsid w:val="033D121B"/>
    <w:rsid w:val="035336E9"/>
    <w:rsid w:val="041D951D"/>
    <w:rsid w:val="046A0F11"/>
    <w:rsid w:val="046F4041"/>
    <w:rsid w:val="0472E2EF"/>
    <w:rsid w:val="047D98D8"/>
    <w:rsid w:val="04991AFC"/>
    <w:rsid w:val="04CFD1EC"/>
    <w:rsid w:val="04E850C3"/>
    <w:rsid w:val="0517D587"/>
    <w:rsid w:val="0544939B"/>
    <w:rsid w:val="05DA79E8"/>
    <w:rsid w:val="061A3AC4"/>
    <w:rsid w:val="06C3EFCB"/>
    <w:rsid w:val="074EA53B"/>
    <w:rsid w:val="07B15398"/>
    <w:rsid w:val="08125FC8"/>
    <w:rsid w:val="081895B9"/>
    <w:rsid w:val="08393875"/>
    <w:rsid w:val="083DABCC"/>
    <w:rsid w:val="08A077F4"/>
    <w:rsid w:val="08EA759C"/>
    <w:rsid w:val="090F6FE2"/>
    <w:rsid w:val="09BEDE20"/>
    <w:rsid w:val="0A10F851"/>
    <w:rsid w:val="0A7BE567"/>
    <w:rsid w:val="0B3F9979"/>
    <w:rsid w:val="0B480324"/>
    <w:rsid w:val="0B4E2FFF"/>
    <w:rsid w:val="0B5A3828"/>
    <w:rsid w:val="0B6F42B8"/>
    <w:rsid w:val="0B775389"/>
    <w:rsid w:val="0BB3EB2B"/>
    <w:rsid w:val="0C11A06A"/>
    <w:rsid w:val="0C7FC708"/>
    <w:rsid w:val="0CE5FBF2"/>
    <w:rsid w:val="0D49E8EE"/>
    <w:rsid w:val="0D5563E5"/>
    <w:rsid w:val="0D72D34A"/>
    <w:rsid w:val="0DBB0E0D"/>
    <w:rsid w:val="0DC000F4"/>
    <w:rsid w:val="0E1D245D"/>
    <w:rsid w:val="0E4E554B"/>
    <w:rsid w:val="0E7C4353"/>
    <w:rsid w:val="0EA531DD"/>
    <w:rsid w:val="0ECF0746"/>
    <w:rsid w:val="0EDA5E19"/>
    <w:rsid w:val="0EEB29D3"/>
    <w:rsid w:val="0EF13446"/>
    <w:rsid w:val="0F0B7FA7"/>
    <w:rsid w:val="0F42EEC0"/>
    <w:rsid w:val="0F6AF19B"/>
    <w:rsid w:val="0F6B7761"/>
    <w:rsid w:val="0F8419F8"/>
    <w:rsid w:val="10122A97"/>
    <w:rsid w:val="107CFC57"/>
    <w:rsid w:val="10844057"/>
    <w:rsid w:val="10CD581F"/>
    <w:rsid w:val="10FAEE33"/>
    <w:rsid w:val="118CAB91"/>
    <w:rsid w:val="11A445C0"/>
    <w:rsid w:val="11AA7E48"/>
    <w:rsid w:val="120BBFC6"/>
    <w:rsid w:val="1307DADB"/>
    <w:rsid w:val="1369777D"/>
    <w:rsid w:val="13757789"/>
    <w:rsid w:val="13BBE119"/>
    <w:rsid w:val="13BEFD10"/>
    <w:rsid w:val="13F53C4D"/>
    <w:rsid w:val="142BA86F"/>
    <w:rsid w:val="1453B5DB"/>
    <w:rsid w:val="1458D18D"/>
    <w:rsid w:val="147A9127"/>
    <w:rsid w:val="14935043"/>
    <w:rsid w:val="14C68559"/>
    <w:rsid w:val="14CD8E15"/>
    <w:rsid w:val="14E7F211"/>
    <w:rsid w:val="14F3AB5D"/>
    <w:rsid w:val="1565D29F"/>
    <w:rsid w:val="1585D2B5"/>
    <w:rsid w:val="158DD0F2"/>
    <w:rsid w:val="15BC0F24"/>
    <w:rsid w:val="15C61FF2"/>
    <w:rsid w:val="160FDC3E"/>
    <w:rsid w:val="163A8AD3"/>
    <w:rsid w:val="1642A940"/>
    <w:rsid w:val="16524416"/>
    <w:rsid w:val="169ED729"/>
    <w:rsid w:val="16DDEA40"/>
    <w:rsid w:val="16ED2D5B"/>
    <w:rsid w:val="16F69DD2"/>
    <w:rsid w:val="1744B81C"/>
    <w:rsid w:val="1789EF2C"/>
    <w:rsid w:val="18926E33"/>
    <w:rsid w:val="194D6E55"/>
    <w:rsid w:val="19E9FBC3"/>
    <w:rsid w:val="19EB1D4A"/>
    <w:rsid w:val="19F6C475"/>
    <w:rsid w:val="1A151637"/>
    <w:rsid w:val="1A1E2AAD"/>
    <w:rsid w:val="1A32F093"/>
    <w:rsid w:val="1A46FDA8"/>
    <w:rsid w:val="1A5943D8"/>
    <w:rsid w:val="1A999115"/>
    <w:rsid w:val="1A9B5E5E"/>
    <w:rsid w:val="1AB722B5"/>
    <w:rsid w:val="1AE031C6"/>
    <w:rsid w:val="1B69761E"/>
    <w:rsid w:val="1C12B504"/>
    <w:rsid w:val="1CA18D94"/>
    <w:rsid w:val="1CBBA05E"/>
    <w:rsid w:val="1D149032"/>
    <w:rsid w:val="1D292469"/>
    <w:rsid w:val="1D425702"/>
    <w:rsid w:val="1D79F95A"/>
    <w:rsid w:val="1D90E49A"/>
    <w:rsid w:val="1DBAE22C"/>
    <w:rsid w:val="1DD131D7"/>
    <w:rsid w:val="1DF4F1B7"/>
    <w:rsid w:val="1E0C8FC2"/>
    <w:rsid w:val="1E332F91"/>
    <w:rsid w:val="1E3D5DF5"/>
    <w:rsid w:val="1E6CA5B4"/>
    <w:rsid w:val="1E7F57D8"/>
    <w:rsid w:val="1EBD3050"/>
    <w:rsid w:val="1F11748C"/>
    <w:rsid w:val="1F138C9E"/>
    <w:rsid w:val="1F811565"/>
    <w:rsid w:val="1FB8DB08"/>
    <w:rsid w:val="2041324A"/>
    <w:rsid w:val="209D8018"/>
    <w:rsid w:val="20C8855C"/>
    <w:rsid w:val="20E8FD4E"/>
    <w:rsid w:val="20EF832E"/>
    <w:rsid w:val="210F9B63"/>
    <w:rsid w:val="22395079"/>
    <w:rsid w:val="226680CC"/>
    <w:rsid w:val="22C753FB"/>
    <w:rsid w:val="22C936FC"/>
    <w:rsid w:val="239872EF"/>
    <w:rsid w:val="23AAB30E"/>
    <w:rsid w:val="23D4EC9A"/>
    <w:rsid w:val="2400C450"/>
    <w:rsid w:val="24B1A7AC"/>
    <w:rsid w:val="250896A7"/>
    <w:rsid w:val="2557C8DE"/>
    <w:rsid w:val="25AC03FD"/>
    <w:rsid w:val="25F09587"/>
    <w:rsid w:val="26132087"/>
    <w:rsid w:val="262ABF06"/>
    <w:rsid w:val="262F477D"/>
    <w:rsid w:val="263AFE68"/>
    <w:rsid w:val="2674E27D"/>
    <w:rsid w:val="270CC19C"/>
    <w:rsid w:val="279268BB"/>
    <w:rsid w:val="279414D0"/>
    <w:rsid w:val="28E245A4"/>
    <w:rsid w:val="2955033F"/>
    <w:rsid w:val="296BBFAA"/>
    <w:rsid w:val="299C9F79"/>
    <w:rsid w:val="29CC1992"/>
    <w:rsid w:val="29DBDE91"/>
    <w:rsid w:val="29E9DBB5"/>
    <w:rsid w:val="2A2B3A01"/>
    <w:rsid w:val="2A332787"/>
    <w:rsid w:val="2A95BF03"/>
    <w:rsid w:val="2AB51253"/>
    <w:rsid w:val="2B1BE0FD"/>
    <w:rsid w:val="2BB9833D"/>
    <w:rsid w:val="2C5BB2E5"/>
    <w:rsid w:val="2C6E72A5"/>
    <w:rsid w:val="2C6EA92D"/>
    <w:rsid w:val="2C7F5B6C"/>
    <w:rsid w:val="2CF21E64"/>
    <w:rsid w:val="2D02E9CE"/>
    <w:rsid w:val="2DC6F2A9"/>
    <w:rsid w:val="2DE499DA"/>
    <w:rsid w:val="2DE685D4"/>
    <w:rsid w:val="2E42EA68"/>
    <w:rsid w:val="2E8FB8D3"/>
    <w:rsid w:val="2EDB1894"/>
    <w:rsid w:val="2F2DEBB7"/>
    <w:rsid w:val="2F355663"/>
    <w:rsid w:val="30127DED"/>
    <w:rsid w:val="3023D715"/>
    <w:rsid w:val="305DC098"/>
    <w:rsid w:val="306D1CB6"/>
    <w:rsid w:val="313CEF54"/>
    <w:rsid w:val="3180D872"/>
    <w:rsid w:val="3201D118"/>
    <w:rsid w:val="3266AFF4"/>
    <w:rsid w:val="32D6C777"/>
    <w:rsid w:val="333BEBC0"/>
    <w:rsid w:val="3400AA29"/>
    <w:rsid w:val="341C375F"/>
    <w:rsid w:val="342FD8ED"/>
    <w:rsid w:val="34749016"/>
    <w:rsid w:val="348980AB"/>
    <w:rsid w:val="34D7BC21"/>
    <w:rsid w:val="353131BB"/>
    <w:rsid w:val="35A219B4"/>
    <w:rsid w:val="35F844E2"/>
    <w:rsid w:val="362D0058"/>
    <w:rsid w:val="364D01DD"/>
    <w:rsid w:val="36673F41"/>
    <w:rsid w:val="366E3DEA"/>
    <w:rsid w:val="36738C82"/>
    <w:rsid w:val="3752FF9C"/>
    <w:rsid w:val="3780C25B"/>
    <w:rsid w:val="379ABAC2"/>
    <w:rsid w:val="37C8D5E0"/>
    <w:rsid w:val="37D403B3"/>
    <w:rsid w:val="381216CF"/>
    <w:rsid w:val="3873EB4A"/>
    <w:rsid w:val="38D81A92"/>
    <w:rsid w:val="38F142EF"/>
    <w:rsid w:val="39E055DF"/>
    <w:rsid w:val="3A0C9064"/>
    <w:rsid w:val="3A137F65"/>
    <w:rsid w:val="3A970F54"/>
    <w:rsid w:val="3B136F55"/>
    <w:rsid w:val="3B5040FD"/>
    <w:rsid w:val="3B71B2EF"/>
    <w:rsid w:val="3C0C9F5D"/>
    <w:rsid w:val="3C164F9A"/>
    <w:rsid w:val="3C429036"/>
    <w:rsid w:val="3C50A22C"/>
    <w:rsid w:val="3C5D1E69"/>
    <w:rsid w:val="3C6F397D"/>
    <w:rsid w:val="3C784155"/>
    <w:rsid w:val="3CD0F11F"/>
    <w:rsid w:val="3D08A946"/>
    <w:rsid w:val="3D25129C"/>
    <w:rsid w:val="3E398A9B"/>
    <w:rsid w:val="3EC3F004"/>
    <w:rsid w:val="3EC87A92"/>
    <w:rsid w:val="3EC8CC38"/>
    <w:rsid w:val="3ED127B2"/>
    <w:rsid w:val="3EF11DAB"/>
    <w:rsid w:val="3F08DB60"/>
    <w:rsid w:val="3FBABF68"/>
    <w:rsid w:val="3FF5E3A7"/>
    <w:rsid w:val="4004EE7B"/>
    <w:rsid w:val="4020DA01"/>
    <w:rsid w:val="40F938DD"/>
    <w:rsid w:val="4133F9AF"/>
    <w:rsid w:val="41548D4F"/>
    <w:rsid w:val="41619A4C"/>
    <w:rsid w:val="4186674C"/>
    <w:rsid w:val="41A4A209"/>
    <w:rsid w:val="41A5B978"/>
    <w:rsid w:val="41AB6F54"/>
    <w:rsid w:val="41D2AAF7"/>
    <w:rsid w:val="42B41F42"/>
    <w:rsid w:val="433CD07B"/>
    <w:rsid w:val="4363984C"/>
    <w:rsid w:val="439EF304"/>
    <w:rsid w:val="43C785D7"/>
    <w:rsid w:val="44EE3DEA"/>
    <w:rsid w:val="4523CD84"/>
    <w:rsid w:val="45635638"/>
    <w:rsid w:val="45906A92"/>
    <w:rsid w:val="45C0D5DC"/>
    <w:rsid w:val="4605FB3E"/>
    <w:rsid w:val="462A5E55"/>
    <w:rsid w:val="4666988E"/>
    <w:rsid w:val="46A0B7A6"/>
    <w:rsid w:val="46B4104D"/>
    <w:rsid w:val="46BF760C"/>
    <w:rsid w:val="46BFF668"/>
    <w:rsid w:val="46EB136C"/>
    <w:rsid w:val="46F03C53"/>
    <w:rsid w:val="4734CFB8"/>
    <w:rsid w:val="4795A29E"/>
    <w:rsid w:val="47A86474"/>
    <w:rsid w:val="4831CFB5"/>
    <w:rsid w:val="49052B11"/>
    <w:rsid w:val="490C6E66"/>
    <w:rsid w:val="493714B4"/>
    <w:rsid w:val="4978BBCC"/>
    <w:rsid w:val="49A9C7DB"/>
    <w:rsid w:val="49D8A581"/>
    <w:rsid w:val="4A1D9EFE"/>
    <w:rsid w:val="4A36C75B"/>
    <w:rsid w:val="4A7FDA7D"/>
    <w:rsid w:val="4A82E77C"/>
    <w:rsid w:val="4A86F2C6"/>
    <w:rsid w:val="4AB51401"/>
    <w:rsid w:val="4B508926"/>
    <w:rsid w:val="4BD1F5AC"/>
    <w:rsid w:val="4BFBFFC2"/>
    <w:rsid w:val="4C97205A"/>
    <w:rsid w:val="4CF85B53"/>
    <w:rsid w:val="4D028918"/>
    <w:rsid w:val="4D553FC0"/>
    <w:rsid w:val="4E0A85D7"/>
    <w:rsid w:val="4F0BBA63"/>
    <w:rsid w:val="4F2C77C4"/>
    <w:rsid w:val="4F3CF021"/>
    <w:rsid w:val="4F723D50"/>
    <w:rsid w:val="4F76A83D"/>
    <w:rsid w:val="4F8BAE8B"/>
    <w:rsid w:val="4F94A6B1"/>
    <w:rsid w:val="4FA65638"/>
    <w:rsid w:val="4FFCD539"/>
    <w:rsid w:val="5092F33C"/>
    <w:rsid w:val="50993BCE"/>
    <w:rsid w:val="50A722F7"/>
    <w:rsid w:val="50B534ED"/>
    <w:rsid w:val="50FEDFE7"/>
    <w:rsid w:val="5121C2B6"/>
    <w:rsid w:val="51245585"/>
    <w:rsid w:val="516D4565"/>
    <w:rsid w:val="517813DF"/>
    <w:rsid w:val="517C39DE"/>
    <w:rsid w:val="51D0CEE0"/>
    <w:rsid w:val="526D94B3"/>
    <w:rsid w:val="52D03A10"/>
    <w:rsid w:val="52E482BF"/>
    <w:rsid w:val="5313E440"/>
    <w:rsid w:val="53B653D9"/>
    <w:rsid w:val="53B81F18"/>
    <w:rsid w:val="53CEE052"/>
    <w:rsid w:val="53D00557"/>
    <w:rsid w:val="53D3519C"/>
    <w:rsid w:val="53E4558A"/>
    <w:rsid w:val="53EF9CAC"/>
    <w:rsid w:val="53FC46E7"/>
    <w:rsid w:val="5403451E"/>
    <w:rsid w:val="545D69A9"/>
    <w:rsid w:val="5499740A"/>
    <w:rsid w:val="54D16C94"/>
    <w:rsid w:val="553B9AD7"/>
    <w:rsid w:val="554DD738"/>
    <w:rsid w:val="555CD039"/>
    <w:rsid w:val="5592DF29"/>
    <w:rsid w:val="55981748"/>
    <w:rsid w:val="566EF0B0"/>
    <w:rsid w:val="566F3533"/>
    <w:rsid w:val="5733E7A9"/>
    <w:rsid w:val="57DBD1CC"/>
    <w:rsid w:val="57DF4BE3"/>
    <w:rsid w:val="58008D03"/>
    <w:rsid w:val="5861DED3"/>
    <w:rsid w:val="58648A3F"/>
    <w:rsid w:val="5872DA4E"/>
    <w:rsid w:val="5880D037"/>
    <w:rsid w:val="58E15A6C"/>
    <w:rsid w:val="58F6DB01"/>
    <w:rsid w:val="5905C9D3"/>
    <w:rsid w:val="590B1CB4"/>
    <w:rsid w:val="5939BFF0"/>
    <w:rsid w:val="59532FAB"/>
    <w:rsid w:val="5975121B"/>
    <w:rsid w:val="5A40BE08"/>
    <w:rsid w:val="5B1F4FBC"/>
    <w:rsid w:val="5B225619"/>
    <w:rsid w:val="5B9834C7"/>
    <w:rsid w:val="5BD83985"/>
    <w:rsid w:val="5C40D477"/>
    <w:rsid w:val="5DF19DB6"/>
    <w:rsid w:val="5E4683E6"/>
    <w:rsid w:val="5E716D93"/>
    <w:rsid w:val="5E94CF9C"/>
    <w:rsid w:val="5F668C05"/>
    <w:rsid w:val="5F8D6E17"/>
    <w:rsid w:val="5FAE94B1"/>
    <w:rsid w:val="5FD75E5C"/>
    <w:rsid w:val="5FE25447"/>
    <w:rsid w:val="606D991C"/>
    <w:rsid w:val="60C40930"/>
    <w:rsid w:val="60D6C833"/>
    <w:rsid w:val="616037E9"/>
    <w:rsid w:val="61A07BB9"/>
    <w:rsid w:val="625B88DF"/>
    <w:rsid w:val="625FCF04"/>
    <w:rsid w:val="62C726B9"/>
    <w:rsid w:val="648A682B"/>
    <w:rsid w:val="64BBED94"/>
    <w:rsid w:val="64F8FF45"/>
    <w:rsid w:val="65731967"/>
    <w:rsid w:val="658E89A7"/>
    <w:rsid w:val="65A883B2"/>
    <w:rsid w:val="6604ADD8"/>
    <w:rsid w:val="6619DE9F"/>
    <w:rsid w:val="669003EE"/>
    <w:rsid w:val="66A0F024"/>
    <w:rsid w:val="66BA63CD"/>
    <w:rsid w:val="679D7C1A"/>
    <w:rsid w:val="68E7D073"/>
    <w:rsid w:val="6934505D"/>
    <w:rsid w:val="6975FDF8"/>
    <w:rsid w:val="698778E6"/>
    <w:rsid w:val="6993236B"/>
    <w:rsid w:val="6A70715E"/>
    <w:rsid w:val="6AC9D09B"/>
    <w:rsid w:val="6B0657FA"/>
    <w:rsid w:val="6B258E5B"/>
    <w:rsid w:val="6B90A31E"/>
    <w:rsid w:val="6BAE1B77"/>
    <w:rsid w:val="6BC87ED7"/>
    <w:rsid w:val="6C0C41BF"/>
    <w:rsid w:val="6C2F10F4"/>
    <w:rsid w:val="6C3385D5"/>
    <w:rsid w:val="6CAB0ABF"/>
    <w:rsid w:val="6CAEC96B"/>
    <w:rsid w:val="6CC877B7"/>
    <w:rsid w:val="6D0DB31F"/>
    <w:rsid w:val="6D72117E"/>
    <w:rsid w:val="6DDCBC3C"/>
    <w:rsid w:val="6E07C180"/>
    <w:rsid w:val="6E0BC827"/>
    <w:rsid w:val="6E2F6351"/>
    <w:rsid w:val="6E31BF12"/>
    <w:rsid w:val="6EC843E0"/>
    <w:rsid w:val="6ECD6338"/>
    <w:rsid w:val="6F43E281"/>
    <w:rsid w:val="6FAB6983"/>
    <w:rsid w:val="6FB8AB0C"/>
    <w:rsid w:val="70764E0F"/>
    <w:rsid w:val="70CC53F4"/>
    <w:rsid w:val="711B149A"/>
    <w:rsid w:val="715B0744"/>
    <w:rsid w:val="71C18AD3"/>
    <w:rsid w:val="7258CAA7"/>
    <w:rsid w:val="7269A88D"/>
    <w:rsid w:val="726A212E"/>
    <w:rsid w:val="728937A6"/>
    <w:rsid w:val="72C3B408"/>
    <w:rsid w:val="737689A5"/>
    <w:rsid w:val="738AC7F5"/>
    <w:rsid w:val="73D8ABE1"/>
    <w:rsid w:val="74501038"/>
    <w:rsid w:val="76587E16"/>
    <w:rsid w:val="76BDF2D1"/>
    <w:rsid w:val="76BF4CC0"/>
    <w:rsid w:val="76CF2D8E"/>
    <w:rsid w:val="76D8751D"/>
    <w:rsid w:val="77839E82"/>
    <w:rsid w:val="778A65D9"/>
    <w:rsid w:val="77C74E99"/>
    <w:rsid w:val="77D3A168"/>
    <w:rsid w:val="77F44E77"/>
    <w:rsid w:val="783E7A39"/>
    <w:rsid w:val="785B1D21"/>
    <w:rsid w:val="78C037CD"/>
    <w:rsid w:val="78CFE2D4"/>
    <w:rsid w:val="78DA53C7"/>
    <w:rsid w:val="78FB447F"/>
    <w:rsid w:val="792BC5B1"/>
    <w:rsid w:val="7948E003"/>
    <w:rsid w:val="794EE014"/>
    <w:rsid w:val="79BB88C3"/>
    <w:rsid w:val="79ED0F34"/>
    <w:rsid w:val="7A2EDE51"/>
    <w:rsid w:val="7AE52BFC"/>
    <w:rsid w:val="7B2BEF39"/>
    <w:rsid w:val="7B783B97"/>
    <w:rsid w:val="7BF393CF"/>
    <w:rsid w:val="7BF47926"/>
    <w:rsid w:val="7C5EFD2B"/>
    <w:rsid w:val="7C68C55D"/>
    <w:rsid w:val="7C69EDC1"/>
    <w:rsid w:val="7CDD957C"/>
    <w:rsid w:val="7CDF7575"/>
    <w:rsid w:val="7CF20628"/>
    <w:rsid w:val="7D57E3C1"/>
    <w:rsid w:val="7DA1961D"/>
    <w:rsid w:val="7DD14276"/>
    <w:rsid w:val="7DDEDEB8"/>
    <w:rsid w:val="7E22576D"/>
    <w:rsid w:val="7E2DD10D"/>
    <w:rsid w:val="7E4FD062"/>
    <w:rsid w:val="7EB59ADD"/>
    <w:rsid w:val="7F12D081"/>
    <w:rsid w:val="7F6391A6"/>
    <w:rsid w:val="7F95BB7C"/>
    <w:rsid w:val="7FA606B5"/>
    <w:rsid w:val="7FEBA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4D"/>
  </w:style>
  <w:style w:type="paragraph" w:styleId="Heading1">
    <w:name w:val="heading 1"/>
    <w:basedOn w:val="Normal"/>
    <w:next w:val="Normal"/>
    <w:uiPriority w:val="9"/>
    <w:qFormat/>
    <w:rsid w:val="1D79F95A"/>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rsid w:val="1D79F95A"/>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rsid w:val="1D79F95A"/>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1D79F95A"/>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1D79F95A"/>
    <w:pPr>
      <w:keepNext/>
      <w:keepLines/>
      <w:spacing w:before="220" w:after="40"/>
      <w:outlineLvl w:val="4"/>
    </w:pPr>
    <w:rPr>
      <w:b/>
      <w:bCs/>
    </w:rPr>
  </w:style>
  <w:style w:type="paragraph" w:styleId="Heading6">
    <w:name w:val="heading 6"/>
    <w:basedOn w:val="Normal"/>
    <w:next w:val="Normal"/>
    <w:uiPriority w:val="9"/>
    <w:semiHidden/>
    <w:unhideWhenUsed/>
    <w:qFormat/>
    <w:rsid w:val="1D79F95A"/>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rsid w:val="1D79F95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D79F95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D79F95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D79F95A"/>
    <w:pPr>
      <w:keepNext/>
      <w:keepLines/>
      <w:spacing w:before="480" w:after="120"/>
    </w:pPr>
    <w:rPr>
      <w:b/>
      <w:bCs/>
      <w:sz w:val="72"/>
      <w:szCs w:val="72"/>
    </w:rPr>
  </w:style>
  <w:style w:type="paragraph" w:styleId="FootnoteText">
    <w:name w:val="footnote text"/>
    <w:basedOn w:val="Normal"/>
    <w:link w:val="FootnoteTextChar"/>
    <w:uiPriority w:val="99"/>
    <w:semiHidden/>
    <w:unhideWhenUsed/>
    <w:rsid w:val="1D79F95A"/>
    <w:pPr>
      <w:spacing w:after="0"/>
    </w:pPr>
    <w:rPr>
      <w:sz w:val="20"/>
      <w:szCs w:val="20"/>
    </w:rPr>
  </w:style>
  <w:style w:type="character" w:customStyle="1" w:styleId="FootnoteTextChar">
    <w:name w:val="Footnote Text Char"/>
    <w:basedOn w:val="DefaultParagraphFont"/>
    <w:link w:val="FootnoteText"/>
    <w:uiPriority w:val="99"/>
    <w:semiHidden/>
    <w:rsid w:val="1D79F95A"/>
    <w:rPr>
      <w:noProof w:val="0"/>
      <w:sz w:val="20"/>
      <w:szCs w:val="20"/>
      <w:lang w:val="fr-FR"/>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1D79F9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1D79F95A"/>
    <w:rPr>
      <w:rFonts w:ascii="Segoe UI" w:eastAsia="Calibri" w:hAnsi="Segoe UI" w:cs="Segoe UI"/>
      <w:noProof w:val="0"/>
      <w:sz w:val="18"/>
      <w:szCs w:val="18"/>
      <w:lang w:val="fr-FR"/>
    </w:rPr>
  </w:style>
  <w:style w:type="paragraph" w:styleId="Header">
    <w:name w:val="header"/>
    <w:basedOn w:val="Normal"/>
    <w:link w:val="HeaderChar"/>
    <w:uiPriority w:val="99"/>
    <w:unhideWhenUsed/>
    <w:rsid w:val="1D79F95A"/>
    <w:pPr>
      <w:tabs>
        <w:tab w:val="center" w:pos="4513"/>
        <w:tab w:val="right" w:pos="9026"/>
      </w:tabs>
      <w:spacing w:after="0"/>
    </w:pPr>
  </w:style>
  <w:style w:type="character" w:customStyle="1" w:styleId="HeaderChar">
    <w:name w:val="Header Char"/>
    <w:basedOn w:val="DefaultParagraphFont"/>
    <w:link w:val="Header"/>
    <w:uiPriority w:val="99"/>
    <w:rsid w:val="1D79F95A"/>
    <w:rPr>
      <w:noProof w:val="0"/>
      <w:lang w:val="fr-FR"/>
    </w:rPr>
  </w:style>
  <w:style w:type="paragraph" w:styleId="Footer">
    <w:name w:val="footer"/>
    <w:basedOn w:val="Normal"/>
    <w:link w:val="FooterChar"/>
    <w:uiPriority w:val="99"/>
    <w:unhideWhenUsed/>
    <w:rsid w:val="1D79F95A"/>
    <w:pPr>
      <w:tabs>
        <w:tab w:val="center" w:pos="4513"/>
        <w:tab w:val="right" w:pos="9026"/>
      </w:tabs>
      <w:spacing w:after="0"/>
    </w:pPr>
  </w:style>
  <w:style w:type="character" w:customStyle="1" w:styleId="FooterChar">
    <w:name w:val="Footer Char"/>
    <w:basedOn w:val="DefaultParagraphFont"/>
    <w:link w:val="Footer"/>
    <w:uiPriority w:val="99"/>
    <w:rsid w:val="1D79F95A"/>
    <w:rPr>
      <w:noProof w:val="0"/>
      <w:lang w:val="fr-FR"/>
    </w:rPr>
  </w:style>
  <w:style w:type="paragraph" w:styleId="ListParagraph">
    <w:name w:val="List Paragraph"/>
    <w:basedOn w:val="Normal"/>
    <w:uiPriority w:val="34"/>
    <w:qFormat/>
    <w:rsid w:val="1D79F95A"/>
    <w:pPr>
      <w:ind w:left="720"/>
      <w:contextualSpacing/>
    </w:pPr>
  </w:style>
  <w:style w:type="paragraph" w:styleId="Subtitle">
    <w:name w:val="Subtitle"/>
    <w:basedOn w:val="Normal"/>
    <w:next w:val="Normal"/>
    <w:uiPriority w:val="11"/>
    <w:qFormat/>
    <w:rsid w:val="1D79F95A"/>
    <w:pPr>
      <w:keepNext/>
      <w:keepLines/>
      <w:spacing w:before="360" w:after="80"/>
    </w:pPr>
    <w:rPr>
      <w:rFonts w:ascii="Georgia" w:eastAsia="Georgia" w:hAnsi="Georgia" w:cs="Georgia"/>
      <w:i/>
      <w:iCs/>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1D79F95A"/>
    <w:rPr>
      <w:b/>
      <w:bCs/>
    </w:rPr>
  </w:style>
  <w:style w:type="character" w:customStyle="1" w:styleId="CommentSubjectChar">
    <w:name w:val="Comment Subject Char"/>
    <w:basedOn w:val="CommentTextChar"/>
    <w:link w:val="CommentSubject"/>
    <w:uiPriority w:val="99"/>
    <w:semiHidden/>
    <w:rsid w:val="1D79F95A"/>
    <w:rPr>
      <w:b/>
      <w:bCs/>
      <w:noProof w:val="0"/>
      <w:sz w:val="20"/>
      <w:szCs w:val="20"/>
      <w:lang w:val="fr-FR"/>
    </w:rPr>
  </w:style>
  <w:style w:type="paragraph" w:styleId="CommentText">
    <w:name w:val="annotation text"/>
    <w:basedOn w:val="Normal"/>
    <w:link w:val="CommentTextChar"/>
    <w:uiPriority w:val="99"/>
    <w:unhideWhenUsed/>
    <w:rsid w:val="1D79F95A"/>
    <w:rPr>
      <w:sz w:val="20"/>
      <w:szCs w:val="20"/>
    </w:rPr>
  </w:style>
  <w:style w:type="character" w:customStyle="1" w:styleId="CommentTextChar">
    <w:name w:val="Comment Text Char"/>
    <w:basedOn w:val="DefaultParagraphFont"/>
    <w:link w:val="CommentText"/>
    <w:uiPriority w:val="99"/>
    <w:rsid w:val="1D79F95A"/>
    <w:rPr>
      <w:noProof w:val="0"/>
      <w:sz w:val="20"/>
      <w:szCs w:val="20"/>
      <w:lang w:val="fr-FR"/>
    </w:rPr>
  </w:style>
  <w:style w:type="paragraph" w:styleId="Revision">
    <w:name w:val="Revision"/>
    <w:hidden/>
    <w:uiPriority w:val="99"/>
    <w:semiHidden/>
    <w:rsid w:val="00C62A12"/>
    <w:pPr>
      <w:spacing w:after="0" w:line="240" w:lineRule="auto"/>
    </w:pPr>
  </w:style>
  <w:style w:type="table" w:styleId="TableGrid">
    <w:name w:val="Table Grid"/>
    <w:basedOn w:val="TableNormal"/>
    <w:uiPriority w:val="39"/>
    <w:rsid w:val="00FD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1D79F95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D79F95A"/>
    <w:pPr>
      <w:spacing w:before="360" w:after="360"/>
      <w:ind w:left="864" w:right="864"/>
      <w:jc w:val="center"/>
    </w:pPr>
    <w:rPr>
      <w:i/>
      <w:iCs/>
      <w:color w:val="4472C4" w:themeColor="accent1"/>
    </w:rPr>
  </w:style>
  <w:style w:type="character" w:customStyle="1" w:styleId="Heading7Char">
    <w:name w:val="Heading 7 Char"/>
    <w:basedOn w:val="DefaultParagraphFont"/>
    <w:link w:val="Heading7"/>
    <w:uiPriority w:val="9"/>
    <w:rsid w:val="1D79F95A"/>
    <w:rPr>
      <w:rFonts w:asciiTheme="majorHAnsi" w:eastAsiaTheme="majorEastAsia" w:hAnsiTheme="majorHAnsi" w:cstheme="majorBidi"/>
      <w:i/>
      <w:iCs/>
      <w:noProof w:val="0"/>
      <w:color w:val="1F3763"/>
      <w:lang w:val="fr-FR"/>
    </w:rPr>
  </w:style>
  <w:style w:type="character" w:customStyle="1" w:styleId="Heading8Char">
    <w:name w:val="Heading 8 Char"/>
    <w:basedOn w:val="DefaultParagraphFont"/>
    <w:link w:val="Heading8"/>
    <w:uiPriority w:val="9"/>
    <w:rsid w:val="1D79F95A"/>
    <w:rPr>
      <w:rFonts w:asciiTheme="majorHAnsi" w:eastAsiaTheme="majorEastAsia" w:hAnsiTheme="majorHAnsi" w:cstheme="majorBidi"/>
      <w:noProof w:val="0"/>
      <w:color w:val="272727"/>
      <w:sz w:val="21"/>
      <w:szCs w:val="21"/>
      <w:lang w:val="fr-FR"/>
    </w:rPr>
  </w:style>
  <w:style w:type="character" w:customStyle="1" w:styleId="Heading9Char">
    <w:name w:val="Heading 9 Char"/>
    <w:basedOn w:val="DefaultParagraphFont"/>
    <w:link w:val="Heading9"/>
    <w:uiPriority w:val="9"/>
    <w:rsid w:val="1D79F95A"/>
    <w:rPr>
      <w:rFonts w:asciiTheme="majorHAnsi" w:eastAsiaTheme="majorEastAsia" w:hAnsiTheme="majorHAnsi" w:cstheme="majorBidi"/>
      <w:i/>
      <w:iCs/>
      <w:noProof w:val="0"/>
      <w:color w:val="272727"/>
      <w:sz w:val="21"/>
      <w:szCs w:val="21"/>
      <w:lang w:val="fr-FR"/>
    </w:rPr>
  </w:style>
  <w:style w:type="character" w:customStyle="1" w:styleId="QuoteChar">
    <w:name w:val="Quote Char"/>
    <w:basedOn w:val="DefaultParagraphFont"/>
    <w:link w:val="Quote"/>
    <w:uiPriority w:val="29"/>
    <w:rsid w:val="1D79F95A"/>
    <w:rPr>
      <w:i/>
      <w:iCs/>
      <w:noProof w:val="0"/>
      <w:color w:val="404040" w:themeColor="text1" w:themeTint="BF"/>
      <w:lang w:val="fr-FR"/>
    </w:rPr>
  </w:style>
  <w:style w:type="character" w:customStyle="1" w:styleId="IntenseQuoteChar">
    <w:name w:val="Intense Quote Char"/>
    <w:basedOn w:val="DefaultParagraphFont"/>
    <w:link w:val="IntenseQuote"/>
    <w:uiPriority w:val="30"/>
    <w:rsid w:val="1D79F95A"/>
    <w:rPr>
      <w:i/>
      <w:iCs/>
      <w:noProof w:val="0"/>
      <w:color w:val="4472C4" w:themeColor="accent1"/>
      <w:lang w:val="fr-FR"/>
    </w:rPr>
  </w:style>
  <w:style w:type="paragraph" w:styleId="TOC1">
    <w:name w:val="toc 1"/>
    <w:basedOn w:val="Normal"/>
    <w:next w:val="Normal"/>
    <w:uiPriority w:val="39"/>
    <w:unhideWhenUsed/>
    <w:rsid w:val="1D79F95A"/>
    <w:pPr>
      <w:spacing w:after="100"/>
    </w:pPr>
  </w:style>
  <w:style w:type="paragraph" w:styleId="TOC2">
    <w:name w:val="toc 2"/>
    <w:basedOn w:val="Normal"/>
    <w:next w:val="Normal"/>
    <w:uiPriority w:val="39"/>
    <w:unhideWhenUsed/>
    <w:rsid w:val="1D79F95A"/>
    <w:pPr>
      <w:spacing w:after="100"/>
      <w:ind w:left="220"/>
    </w:pPr>
  </w:style>
  <w:style w:type="paragraph" w:styleId="TOC3">
    <w:name w:val="toc 3"/>
    <w:basedOn w:val="Normal"/>
    <w:next w:val="Normal"/>
    <w:uiPriority w:val="39"/>
    <w:unhideWhenUsed/>
    <w:rsid w:val="1D79F95A"/>
    <w:pPr>
      <w:spacing w:after="100"/>
      <w:ind w:left="440"/>
    </w:pPr>
  </w:style>
  <w:style w:type="paragraph" w:styleId="TOC4">
    <w:name w:val="toc 4"/>
    <w:basedOn w:val="Normal"/>
    <w:next w:val="Normal"/>
    <w:uiPriority w:val="39"/>
    <w:unhideWhenUsed/>
    <w:rsid w:val="1D79F95A"/>
    <w:pPr>
      <w:spacing w:after="100"/>
      <w:ind w:left="660"/>
    </w:pPr>
  </w:style>
  <w:style w:type="paragraph" w:styleId="TOC5">
    <w:name w:val="toc 5"/>
    <w:basedOn w:val="Normal"/>
    <w:next w:val="Normal"/>
    <w:uiPriority w:val="39"/>
    <w:unhideWhenUsed/>
    <w:rsid w:val="1D79F95A"/>
    <w:pPr>
      <w:spacing w:after="100"/>
      <w:ind w:left="880"/>
    </w:pPr>
  </w:style>
  <w:style w:type="paragraph" w:styleId="TOC6">
    <w:name w:val="toc 6"/>
    <w:basedOn w:val="Normal"/>
    <w:next w:val="Normal"/>
    <w:uiPriority w:val="39"/>
    <w:unhideWhenUsed/>
    <w:rsid w:val="1D79F95A"/>
    <w:pPr>
      <w:spacing w:after="100"/>
      <w:ind w:left="1100"/>
    </w:pPr>
  </w:style>
  <w:style w:type="paragraph" w:styleId="TOC7">
    <w:name w:val="toc 7"/>
    <w:basedOn w:val="Normal"/>
    <w:next w:val="Normal"/>
    <w:uiPriority w:val="39"/>
    <w:unhideWhenUsed/>
    <w:rsid w:val="1D79F95A"/>
    <w:pPr>
      <w:spacing w:after="100"/>
      <w:ind w:left="1320"/>
    </w:pPr>
  </w:style>
  <w:style w:type="paragraph" w:styleId="TOC8">
    <w:name w:val="toc 8"/>
    <w:basedOn w:val="Normal"/>
    <w:next w:val="Normal"/>
    <w:uiPriority w:val="39"/>
    <w:unhideWhenUsed/>
    <w:rsid w:val="1D79F95A"/>
    <w:pPr>
      <w:spacing w:after="100"/>
      <w:ind w:left="1540"/>
    </w:pPr>
  </w:style>
  <w:style w:type="paragraph" w:styleId="TOC9">
    <w:name w:val="toc 9"/>
    <w:basedOn w:val="Normal"/>
    <w:next w:val="Normal"/>
    <w:uiPriority w:val="39"/>
    <w:unhideWhenUsed/>
    <w:rsid w:val="1D79F95A"/>
    <w:pPr>
      <w:spacing w:after="100"/>
      <w:ind w:left="1760"/>
    </w:pPr>
  </w:style>
  <w:style w:type="paragraph" w:styleId="EndnoteText">
    <w:name w:val="endnote text"/>
    <w:basedOn w:val="Normal"/>
    <w:link w:val="EndnoteTextChar"/>
    <w:uiPriority w:val="99"/>
    <w:semiHidden/>
    <w:unhideWhenUsed/>
    <w:rsid w:val="1D79F95A"/>
    <w:pPr>
      <w:spacing w:after="0"/>
    </w:pPr>
    <w:rPr>
      <w:sz w:val="20"/>
      <w:szCs w:val="20"/>
    </w:rPr>
  </w:style>
  <w:style w:type="character" w:customStyle="1" w:styleId="EndnoteTextChar">
    <w:name w:val="Endnote Text Char"/>
    <w:basedOn w:val="DefaultParagraphFont"/>
    <w:link w:val="EndnoteText"/>
    <w:uiPriority w:val="99"/>
    <w:semiHidden/>
    <w:rsid w:val="1D79F95A"/>
    <w:rPr>
      <w:noProof w:val="0"/>
      <w:sz w:val="20"/>
      <w:szCs w:val="20"/>
      <w:lang w:val="fr-FR"/>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3043">
      <w:bodyDiv w:val="1"/>
      <w:marLeft w:val="0"/>
      <w:marRight w:val="0"/>
      <w:marTop w:val="0"/>
      <w:marBottom w:val="0"/>
      <w:divBdr>
        <w:top w:val="none" w:sz="0" w:space="0" w:color="auto"/>
        <w:left w:val="none" w:sz="0" w:space="0" w:color="auto"/>
        <w:bottom w:val="none" w:sz="0" w:space="0" w:color="auto"/>
        <w:right w:val="none" w:sz="0" w:space="0" w:color="auto"/>
      </w:divBdr>
    </w:div>
    <w:div w:id="306008553">
      <w:bodyDiv w:val="1"/>
      <w:marLeft w:val="0"/>
      <w:marRight w:val="0"/>
      <w:marTop w:val="0"/>
      <w:marBottom w:val="0"/>
      <w:divBdr>
        <w:top w:val="none" w:sz="0" w:space="0" w:color="auto"/>
        <w:left w:val="none" w:sz="0" w:space="0" w:color="auto"/>
        <w:bottom w:val="none" w:sz="0" w:space="0" w:color="auto"/>
        <w:right w:val="none" w:sz="0" w:space="0" w:color="auto"/>
      </w:divBdr>
    </w:div>
    <w:div w:id="308561343">
      <w:bodyDiv w:val="1"/>
      <w:marLeft w:val="0"/>
      <w:marRight w:val="0"/>
      <w:marTop w:val="0"/>
      <w:marBottom w:val="0"/>
      <w:divBdr>
        <w:top w:val="none" w:sz="0" w:space="0" w:color="auto"/>
        <w:left w:val="none" w:sz="0" w:space="0" w:color="auto"/>
        <w:bottom w:val="none" w:sz="0" w:space="0" w:color="auto"/>
        <w:right w:val="none" w:sz="0" w:space="0" w:color="auto"/>
      </w:divBdr>
    </w:div>
    <w:div w:id="344207929">
      <w:bodyDiv w:val="1"/>
      <w:marLeft w:val="0"/>
      <w:marRight w:val="0"/>
      <w:marTop w:val="0"/>
      <w:marBottom w:val="0"/>
      <w:divBdr>
        <w:top w:val="none" w:sz="0" w:space="0" w:color="auto"/>
        <w:left w:val="none" w:sz="0" w:space="0" w:color="auto"/>
        <w:bottom w:val="none" w:sz="0" w:space="0" w:color="auto"/>
        <w:right w:val="none" w:sz="0" w:space="0" w:color="auto"/>
      </w:divBdr>
    </w:div>
    <w:div w:id="418646140">
      <w:bodyDiv w:val="1"/>
      <w:marLeft w:val="0"/>
      <w:marRight w:val="0"/>
      <w:marTop w:val="0"/>
      <w:marBottom w:val="0"/>
      <w:divBdr>
        <w:top w:val="none" w:sz="0" w:space="0" w:color="auto"/>
        <w:left w:val="none" w:sz="0" w:space="0" w:color="auto"/>
        <w:bottom w:val="none" w:sz="0" w:space="0" w:color="auto"/>
        <w:right w:val="none" w:sz="0" w:space="0" w:color="auto"/>
      </w:divBdr>
    </w:div>
    <w:div w:id="1015617140">
      <w:bodyDiv w:val="1"/>
      <w:marLeft w:val="0"/>
      <w:marRight w:val="0"/>
      <w:marTop w:val="0"/>
      <w:marBottom w:val="0"/>
      <w:divBdr>
        <w:top w:val="none" w:sz="0" w:space="0" w:color="auto"/>
        <w:left w:val="none" w:sz="0" w:space="0" w:color="auto"/>
        <w:bottom w:val="none" w:sz="0" w:space="0" w:color="auto"/>
        <w:right w:val="none" w:sz="0" w:space="0" w:color="auto"/>
      </w:divBdr>
    </w:div>
    <w:div w:id="1658531800">
      <w:bodyDiv w:val="1"/>
      <w:marLeft w:val="0"/>
      <w:marRight w:val="0"/>
      <w:marTop w:val="0"/>
      <w:marBottom w:val="0"/>
      <w:divBdr>
        <w:top w:val="none" w:sz="0" w:space="0" w:color="auto"/>
        <w:left w:val="none" w:sz="0" w:space="0" w:color="auto"/>
        <w:bottom w:val="none" w:sz="0" w:space="0" w:color="auto"/>
        <w:right w:val="none" w:sz="0" w:space="0" w:color="auto"/>
      </w:divBdr>
    </w:div>
    <w:div w:id="2111386044">
      <w:bodyDiv w:val="1"/>
      <w:marLeft w:val="0"/>
      <w:marRight w:val="0"/>
      <w:marTop w:val="0"/>
      <w:marBottom w:val="0"/>
      <w:divBdr>
        <w:top w:val="none" w:sz="0" w:space="0" w:color="auto"/>
        <w:left w:val="none" w:sz="0" w:space="0" w:color="auto"/>
        <w:bottom w:val="none" w:sz="0" w:space="0" w:color="auto"/>
        <w:right w:val="none" w:sz="0" w:space="0" w:color="auto"/>
      </w:divBdr>
      <w:divsChild>
        <w:div w:id="1473983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7" ma:contentTypeDescription="Create a new document." ma:contentTypeScope="" ma:versionID="6eeb5a8ca08fa0ae6017f04d563a6e89">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a37a0ce93773b635363f10925c83c069"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3F959-FB71-45F3-9795-5985B1F866AE}">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E22AC65-F5B0-4D1C-844D-7C7C7EBC88D4}">
  <ds:schemaRefs>
    <ds:schemaRef ds:uri="http://schemas.openxmlformats.org/officeDocument/2006/bibliography"/>
  </ds:schemaRefs>
</ds:datastoreItem>
</file>

<file path=customXml/itemProps4.xml><?xml version="1.0" encoding="utf-8"?>
<ds:datastoreItem xmlns:ds="http://schemas.openxmlformats.org/officeDocument/2006/customXml" ds:itemID="{80EA600D-1FFD-4B76-A033-A20F6F9D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1DAB3B-6878-43D0-B916-EFED649AE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2023-11-19T20:59:00Z</dcterms:created>
  <dcterms:modified xsi:type="dcterms:W3CDTF">2023-11-29T09:38:00Z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2022-11-18T17:24:54Z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f3ecb3cd-b37d-4971-8be7-25f81c2ccead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