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D01C2" w14:textId="457FBEB6" w:rsidR="00E4568E" w:rsidRPr="001D6085" w:rsidRDefault="00E4568E" w:rsidP="00CA71F2">
      <w:pPr>
        <w:spacing w:after="0" w:line="240" w:lineRule="auto"/>
        <w:jc w:val="right"/>
        <w:rPr>
          <w:rFonts w:ascii="Cambria" w:eastAsia="Cambria" w:hAnsi="Cambria" w:cs="Cambria"/>
          <w:b/>
          <w:sz w:val="20"/>
          <w:szCs w:val="20"/>
        </w:rPr>
      </w:pPr>
    </w:p>
    <w:p w14:paraId="156B5E64" w14:textId="52C9A35E" w:rsidR="00F36CF2" w:rsidRPr="001D6085" w:rsidRDefault="00F36CF2" w:rsidP="006A0F4E">
      <w:pPr>
        <w:pStyle w:val="Heading5"/>
        <w:keepLines w:val="0"/>
        <w:pBdr>
          <w:top w:val="double" w:sz="4" w:space="4" w:color="auto"/>
          <w:left w:val="double" w:sz="4" w:space="4" w:color="auto"/>
          <w:bottom w:val="double" w:sz="4" w:space="4" w:color="auto"/>
          <w:right w:val="double" w:sz="4" w:space="4" w:color="auto"/>
        </w:pBdr>
        <w:spacing w:before="0" w:after="0" w:line="240" w:lineRule="auto"/>
        <w:jc w:val="center"/>
        <w:rPr>
          <w:rFonts w:ascii="Cambria" w:eastAsia="Times New Roman" w:hAnsi="Cambria" w:cs="Times New Roman"/>
          <w:bCs/>
          <w:sz w:val="20"/>
          <w:szCs w:val="20"/>
        </w:rPr>
      </w:pPr>
      <w:bookmarkStart w:id="0" w:name="_Hlk148451026"/>
      <w:bookmarkStart w:id="1" w:name="_Hlk150174653"/>
      <w:r w:rsidRPr="001D6085">
        <w:rPr>
          <w:rFonts w:ascii="Cambria" w:eastAsia="Times New Roman" w:hAnsi="Cambria" w:cs="Times New Roman"/>
          <w:bCs/>
          <w:sz w:val="20"/>
          <w:szCs w:val="20"/>
        </w:rPr>
        <w:t>23-10</w:t>
      </w:r>
      <w:r w:rsidRPr="001D6085">
        <w:rPr>
          <w:rFonts w:ascii="Cambria" w:eastAsia="Times New Roman" w:hAnsi="Cambria" w:cs="Times New Roman"/>
          <w:bCs/>
          <w:sz w:val="20"/>
          <w:szCs w:val="20"/>
        </w:rPr>
        <w:tab/>
      </w:r>
      <w:r w:rsidR="00080299" w:rsidRPr="001D6085">
        <w:rPr>
          <w:rFonts w:ascii="Cambria" w:eastAsia="Times New Roman" w:hAnsi="Cambria" w:cs="Times New Roman"/>
          <w:bCs/>
          <w:sz w:val="20"/>
          <w:szCs w:val="20"/>
        </w:rPr>
        <w:tab/>
      </w:r>
      <w:r w:rsidRPr="001D6085">
        <w:rPr>
          <w:rFonts w:ascii="Cambria" w:eastAsia="Times New Roman" w:hAnsi="Cambria" w:cs="Times New Roman"/>
          <w:bCs/>
          <w:sz w:val="20"/>
          <w:szCs w:val="20"/>
        </w:rPr>
        <w:tab/>
      </w:r>
      <w:r w:rsidRPr="001D6085">
        <w:rPr>
          <w:rFonts w:ascii="Cambria" w:eastAsia="Times New Roman" w:hAnsi="Cambria" w:cs="Times New Roman"/>
          <w:bCs/>
          <w:sz w:val="20"/>
          <w:szCs w:val="20"/>
        </w:rPr>
        <w:tab/>
      </w:r>
      <w:r w:rsidRPr="001D6085">
        <w:rPr>
          <w:rFonts w:ascii="Cambria" w:eastAsia="Times New Roman" w:hAnsi="Cambria" w:cs="Times New Roman"/>
          <w:bCs/>
          <w:sz w:val="20"/>
          <w:szCs w:val="20"/>
        </w:rPr>
        <w:tab/>
      </w:r>
      <w:r w:rsidRPr="001D6085">
        <w:rPr>
          <w:rFonts w:ascii="Cambria" w:eastAsia="Times New Roman" w:hAnsi="Cambria" w:cs="Times New Roman"/>
          <w:bCs/>
          <w:sz w:val="20"/>
          <w:szCs w:val="20"/>
        </w:rPr>
        <w:tab/>
      </w:r>
      <w:r w:rsidRPr="001D6085">
        <w:rPr>
          <w:rFonts w:ascii="Cambria" w:eastAsia="Times New Roman" w:hAnsi="Cambria" w:cs="Times New Roman"/>
          <w:bCs/>
          <w:sz w:val="20"/>
          <w:szCs w:val="20"/>
        </w:rPr>
        <w:tab/>
      </w:r>
      <w:r w:rsidRPr="001D6085">
        <w:rPr>
          <w:rFonts w:ascii="Cambria" w:eastAsia="Times New Roman" w:hAnsi="Cambria" w:cs="Times New Roman"/>
          <w:bCs/>
          <w:sz w:val="20"/>
          <w:szCs w:val="20"/>
        </w:rPr>
        <w:tab/>
      </w:r>
      <w:r w:rsidRPr="001D6085">
        <w:rPr>
          <w:rFonts w:ascii="Cambria" w:eastAsia="Times New Roman" w:hAnsi="Cambria" w:cs="Times New Roman"/>
          <w:bCs/>
          <w:sz w:val="20"/>
          <w:szCs w:val="20"/>
        </w:rPr>
        <w:tab/>
      </w:r>
      <w:r w:rsidRPr="001D6085">
        <w:rPr>
          <w:rFonts w:ascii="Cambria" w:eastAsia="Times New Roman" w:hAnsi="Cambria" w:cs="Times New Roman"/>
          <w:bCs/>
          <w:sz w:val="20"/>
          <w:szCs w:val="20"/>
        </w:rPr>
        <w:tab/>
      </w:r>
      <w:r w:rsidRPr="001D6085">
        <w:rPr>
          <w:rFonts w:ascii="Cambria" w:eastAsia="Times New Roman" w:hAnsi="Cambria" w:cs="Times New Roman"/>
          <w:bCs/>
          <w:sz w:val="20"/>
          <w:szCs w:val="20"/>
        </w:rPr>
        <w:tab/>
      </w:r>
      <w:r w:rsidRPr="001D6085">
        <w:rPr>
          <w:rFonts w:ascii="Cambria" w:eastAsia="Times New Roman" w:hAnsi="Cambria" w:cs="Times New Roman"/>
          <w:bCs/>
          <w:sz w:val="20"/>
          <w:szCs w:val="20"/>
        </w:rPr>
        <w:tab/>
        <w:t>SHK</w:t>
      </w:r>
    </w:p>
    <w:p w14:paraId="0C256797" w14:textId="05D7658C" w:rsidR="00080299" w:rsidRPr="001D6085" w:rsidRDefault="001C566F" w:rsidP="006A0F4E">
      <w:pPr>
        <w:pStyle w:val="Heading5"/>
        <w:keepLines w:val="0"/>
        <w:pBdr>
          <w:top w:val="double" w:sz="4" w:space="4" w:color="auto"/>
          <w:left w:val="double" w:sz="4" w:space="4" w:color="auto"/>
          <w:bottom w:val="double" w:sz="4" w:space="4" w:color="auto"/>
          <w:right w:val="double" w:sz="4" w:space="4" w:color="auto"/>
        </w:pBdr>
        <w:spacing w:before="0" w:after="0" w:line="240" w:lineRule="auto"/>
        <w:jc w:val="center"/>
        <w:rPr>
          <w:rFonts w:ascii="Cambria" w:eastAsia="Times New Roman" w:hAnsi="Cambria" w:cs="Times New Roman"/>
          <w:bCs/>
          <w:sz w:val="20"/>
          <w:szCs w:val="20"/>
        </w:rPr>
      </w:pPr>
      <w:r w:rsidRPr="001D6085">
        <w:rPr>
          <w:rFonts w:ascii="Cambria" w:eastAsia="Times New Roman" w:hAnsi="Cambria" w:cs="Times New Roman"/>
          <w:bCs/>
          <w:sz w:val="20"/>
          <w:szCs w:val="20"/>
        </w:rPr>
        <w:t xml:space="preserve">RECOMENDACIÓN DE ICCAT QUE REEMPLAZA LA RECOMENDACIÓN 19-07 </w:t>
      </w:r>
    </w:p>
    <w:p w14:paraId="424E2DFC" w14:textId="6ACDC5DE" w:rsidR="00B26442" w:rsidRPr="001D6085" w:rsidRDefault="001C566F" w:rsidP="006A0F4E">
      <w:pPr>
        <w:pStyle w:val="Heading5"/>
        <w:keepLines w:val="0"/>
        <w:pBdr>
          <w:top w:val="double" w:sz="4" w:space="4" w:color="auto"/>
          <w:left w:val="double" w:sz="4" w:space="4" w:color="auto"/>
          <w:bottom w:val="double" w:sz="4" w:space="4" w:color="auto"/>
          <w:right w:val="double" w:sz="4" w:space="4" w:color="auto"/>
        </w:pBdr>
        <w:spacing w:before="0" w:after="0" w:line="240" w:lineRule="auto"/>
        <w:jc w:val="center"/>
        <w:rPr>
          <w:rFonts w:ascii="Cambria" w:hAnsi="Cambria"/>
          <w:i/>
          <w:iCs/>
          <w:sz w:val="20"/>
          <w:szCs w:val="20"/>
        </w:rPr>
      </w:pPr>
      <w:r w:rsidRPr="001D6085">
        <w:rPr>
          <w:rFonts w:ascii="Cambria" w:eastAsia="Times New Roman" w:hAnsi="Cambria" w:cs="Times New Roman"/>
          <w:bCs/>
          <w:sz w:val="20"/>
          <w:szCs w:val="20"/>
        </w:rPr>
        <w:t>SOBRE MEDIDAS DE ORDENACIÓN PARA LA CONSERVACIÓN DE</w:t>
      </w:r>
      <w:r w:rsidR="006A0F4E" w:rsidRPr="001D6085">
        <w:rPr>
          <w:rFonts w:ascii="Cambria" w:eastAsia="Times New Roman" w:hAnsi="Cambria" w:cs="Times New Roman"/>
          <w:bCs/>
          <w:sz w:val="20"/>
          <w:szCs w:val="20"/>
        </w:rPr>
        <w:t>L</w:t>
      </w:r>
      <w:r w:rsidRPr="001D6085">
        <w:rPr>
          <w:rFonts w:ascii="Cambria" w:eastAsia="Times New Roman" w:hAnsi="Cambria" w:cs="Times New Roman"/>
          <w:bCs/>
          <w:sz w:val="20"/>
          <w:szCs w:val="20"/>
        </w:rPr>
        <w:t xml:space="preserve"> TIBURÓN AZUL </w:t>
      </w:r>
      <w:r w:rsidR="006A0F4E" w:rsidRPr="001D6085">
        <w:rPr>
          <w:rFonts w:ascii="Cambria" w:eastAsia="Times New Roman" w:hAnsi="Cambria" w:cs="Times New Roman"/>
          <w:bCs/>
          <w:sz w:val="20"/>
          <w:szCs w:val="20"/>
        </w:rPr>
        <w:br/>
      </w:r>
      <w:r w:rsidRPr="001D6085">
        <w:rPr>
          <w:rFonts w:ascii="Cambria" w:eastAsia="Times New Roman" w:hAnsi="Cambria" w:cs="Times New Roman"/>
          <w:bCs/>
          <w:sz w:val="20"/>
          <w:szCs w:val="20"/>
        </w:rPr>
        <w:t>DEL ATLÁNTICO NORTE CAPTURADO EN ASOCIACIÓN CON LAS PESQUERÍAS DE ICCAT</w:t>
      </w:r>
      <w:bookmarkEnd w:id="0"/>
    </w:p>
    <w:bookmarkEnd w:id="1"/>
    <w:p w14:paraId="4E36437E" w14:textId="77777777" w:rsidR="0032215B" w:rsidRPr="001D6085" w:rsidRDefault="0032215B" w:rsidP="00CA71F2">
      <w:pPr>
        <w:spacing w:after="0" w:line="240" w:lineRule="auto"/>
        <w:jc w:val="center"/>
        <w:rPr>
          <w:rFonts w:ascii="Cambria" w:eastAsia="Cambria" w:hAnsi="Cambria" w:cs="Cambria"/>
          <w:i/>
          <w:iCs/>
          <w:sz w:val="20"/>
          <w:szCs w:val="20"/>
        </w:rPr>
      </w:pPr>
    </w:p>
    <w:p w14:paraId="43D4C7C5" w14:textId="47EE039B" w:rsidR="0032215B" w:rsidRPr="001D6085" w:rsidRDefault="0032215B" w:rsidP="00CA71F2">
      <w:pPr>
        <w:tabs>
          <w:tab w:val="left" w:pos="480"/>
        </w:tabs>
        <w:spacing w:after="0" w:line="240" w:lineRule="auto"/>
        <w:jc w:val="both"/>
        <w:rPr>
          <w:rFonts w:ascii="Cambria" w:hAnsi="Cambria"/>
          <w:i/>
          <w:sz w:val="20"/>
          <w:szCs w:val="20"/>
        </w:rPr>
      </w:pPr>
      <w:r w:rsidRPr="001D6085">
        <w:rPr>
          <w:rFonts w:ascii="Cambria" w:hAnsi="Cambria"/>
          <w:i/>
          <w:sz w:val="20"/>
          <w:szCs w:val="20"/>
        </w:rPr>
        <w:tab/>
        <w:t xml:space="preserve">RECORDANDO </w:t>
      </w:r>
      <w:r w:rsidRPr="001D6085">
        <w:rPr>
          <w:rFonts w:ascii="Cambria" w:hAnsi="Cambria"/>
          <w:iCs/>
          <w:sz w:val="20"/>
          <w:szCs w:val="20"/>
        </w:rPr>
        <w:t xml:space="preserve">que la Comisión adoptó la </w:t>
      </w:r>
      <w:r w:rsidRPr="001D6085">
        <w:rPr>
          <w:rFonts w:ascii="Cambria" w:hAnsi="Cambria"/>
          <w:i/>
          <w:sz w:val="20"/>
          <w:szCs w:val="20"/>
        </w:rPr>
        <w:t>Resolución de ICCAT sobre tiburones atlánticos</w:t>
      </w:r>
      <w:r w:rsidRPr="001D6085">
        <w:rPr>
          <w:rFonts w:ascii="Cambria" w:hAnsi="Cambria"/>
          <w:iCs/>
          <w:sz w:val="20"/>
          <w:szCs w:val="20"/>
        </w:rPr>
        <w:t xml:space="preserve"> </w:t>
      </w:r>
      <w:r w:rsidR="003F7C22" w:rsidRPr="001D6085">
        <w:rPr>
          <w:rFonts w:ascii="Cambria" w:hAnsi="Cambria"/>
          <w:iCs/>
          <w:sz w:val="20"/>
          <w:szCs w:val="20"/>
        </w:rPr>
        <w:t>(</w:t>
      </w:r>
      <w:r w:rsidRPr="001D6085">
        <w:rPr>
          <w:rFonts w:ascii="Cambria" w:hAnsi="Cambria"/>
          <w:iCs/>
          <w:sz w:val="20"/>
          <w:szCs w:val="20"/>
        </w:rPr>
        <w:t>Res. 01-11</w:t>
      </w:r>
      <w:r w:rsidR="003F7C22" w:rsidRPr="001D6085">
        <w:rPr>
          <w:rFonts w:ascii="Cambria" w:hAnsi="Cambria"/>
          <w:iCs/>
          <w:sz w:val="20"/>
          <w:szCs w:val="20"/>
        </w:rPr>
        <w:t>)</w:t>
      </w:r>
      <w:r w:rsidRPr="001D6085">
        <w:rPr>
          <w:rFonts w:ascii="Cambria" w:hAnsi="Cambria"/>
          <w:iCs/>
          <w:sz w:val="20"/>
          <w:szCs w:val="20"/>
        </w:rPr>
        <w:t>, la</w:t>
      </w:r>
      <w:r w:rsidRPr="001D6085">
        <w:rPr>
          <w:rFonts w:ascii="Cambria" w:hAnsi="Cambria"/>
          <w:i/>
          <w:sz w:val="20"/>
          <w:szCs w:val="20"/>
        </w:rPr>
        <w:t xml:space="preserve"> Recomendación de ICCAT sobre la conservación de tiburones capturados en asociación con las pesquerías que son competencia de ICCAT </w:t>
      </w:r>
      <w:r w:rsidR="003F7C22" w:rsidRPr="001D6085">
        <w:rPr>
          <w:rFonts w:ascii="Cambria" w:hAnsi="Cambria"/>
          <w:iCs/>
          <w:sz w:val="20"/>
          <w:szCs w:val="20"/>
        </w:rPr>
        <w:t>(</w:t>
      </w:r>
      <w:r w:rsidRPr="001D6085">
        <w:rPr>
          <w:rFonts w:ascii="Cambria" w:hAnsi="Cambria"/>
          <w:iCs/>
          <w:sz w:val="20"/>
          <w:szCs w:val="20"/>
        </w:rPr>
        <w:t>Rec. 04-10</w:t>
      </w:r>
      <w:r w:rsidR="003F7C22" w:rsidRPr="001D6085">
        <w:rPr>
          <w:rFonts w:ascii="Cambria" w:hAnsi="Cambria"/>
          <w:iCs/>
          <w:sz w:val="20"/>
          <w:szCs w:val="20"/>
        </w:rPr>
        <w:t>)</w:t>
      </w:r>
      <w:r w:rsidRPr="001D6085">
        <w:rPr>
          <w:rFonts w:ascii="Cambria" w:hAnsi="Cambria"/>
          <w:iCs/>
          <w:sz w:val="20"/>
          <w:szCs w:val="20"/>
        </w:rPr>
        <w:t>, la</w:t>
      </w:r>
      <w:r w:rsidRPr="001D6085">
        <w:rPr>
          <w:rFonts w:ascii="Cambria" w:hAnsi="Cambria"/>
          <w:i/>
          <w:sz w:val="20"/>
          <w:szCs w:val="20"/>
        </w:rPr>
        <w:t xml:space="preserve"> Recomendación suplementaria de ICCAT sobre tiburones </w:t>
      </w:r>
      <w:r w:rsidR="006A0F4E" w:rsidRPr="001D6085">
        <w:rPr>
          <w:rFonts w:ascii="Cambria" w:hAnsi="Cambria"/>
          <w:i/>
          <w:sz w:val="20"/>
          <w:szCs w:val="20"/>
        </w:rPr>
        <w:br/>
      </w:r>
      <w:r w:rsidR="003F7C22" w:rsidRPr="001D6085">
        <w:rPr>
          <w:rFonts w:ascii="Cambria" w:hAnsi="Cambria"/>
          <w:iCs/>
          <w:sz w:val="20"/>
          <w:szCs w:val="20"/>
        </w:rPr>
        <w:t>(</w:t>
      </w:r>
      <w:r w:rsidRPr="001D6085">
        <w:rPr>
          <w:rFonts w:ascii="Cambria" w:hAnsi="Cambria"/>
          <w:iCs/>
          <w:sz w:val="20"/>
          <w:szCs w:val="20"/>
        </w:rPr>
        <w:t>Rec. 07-06</w:t>
      </w:r>
      <w:r w:rsidR="003F7C22" w:rsidRPr="001D6085">
        <w:rPr>
          <w:rFonts w:ascii="Cambria" w:hAnsi="Cambria"/>
          <w:iCs/>
          <w:sz w:val="20"/>
          <w:szCs w:val="20"/>
        </w:rPr>
        <w:t>)</w:t>
      </w:r>
      <w:r w:rsidRPr="001D6085">
        <w:rPr>
          <w:rFonts w:ascii="Cambria" w:hAnsi="Cambria"/>
          <w:iCs/>
          <w:sz w:val="20"/>
          <w:szCs w:val="20"/>
        </w:rPr>
        <w:t xml:space="preserve">, </w:t>
      </w:r>
      <w:r w:rsidR="006A0F4E" w:rsidRPr="001D6085">
        <w:rPr>
          <w:rFonts w:ascii="Cambria" w:hAnsi="Cambria"/>
          <w:iCs/>
          <w:sz w:val="20"/>
          <w:szCs w:val="20"/>
        </w:rPr>
        <w:t xml:space="preserve">lo </w:t>
      </w:r>
      <w:r w:rsidRPr="001D6085">
        <w:rPr>
          <w:rFonts w:ascii="Cambria" w:hAnsi="Cambria"/>
          <w:iCs/>
          <w:sz w:val="20"/>
          <w:szCs w:val="20"/>
        </w:rPr>
        <w:t xml:space="preserve">que incluye la obligación de las CPC de comunicar anualmente datos de Tarea </w:t>
      </w:r>
      <w:r w:rsidR="003F7C22" w:rsidRPr="001D6085">
        <w:rPr>
          <w:rFonts w:ascii="Cambria" w:hAnsi="Cambria"/>
          <w:iCs/>
          <w:sz w:val="20"/>
          <w:szCs w:val="20"/>
        </w:rPr>
        <w:t xml:space="preserve">1 </w:t>
      </w:r>
      <w:r w:rsidRPr="001D6085">
        <w:rPr>
          <w:rFonts w:ascii="Cambria" w:hAnsi="Cambria"/>
          <w:iCs/>
          <w:sz w:val="20"/>
          <w:szCs w:val="20"/>
        </w:rPr>
        <w:t xml:space="preserve">y Tarea </w:t>
      </w:r>
      <w:r w:rsidR="003F7C22" w:rsidRPr="001D6085">
        <w:rPr>
          <w:rFonts w:ascii="Cambria" w:hAnsi="Cambria"/>
          <w:iCs/>
          <w:sz w:val="20"/>
          <w:szCs w:val="20"/>
        </w:rPr>
        <w:t>2</w:t>
      </w:r>
      <w:r w:rsidRPr="001D6085">
        <w:rPr>
          <w:rFonts w:ascii="Cambria" w:hAnsi="Cambria"/>
          <w:iCs/>
          <w:sz w:val="20"/>
          <w:szCs w:val="20"/>
        </w:rPr>
        <w:t xml:space="preserve"> sobre los tiburones de conformidad con los procedimientos de comunicación de datos de ICCAT</w:t>
      </w:r>
      <w:r w:rsidR="005C6F3F">
        <w:rPr>
          <w:rFonts w:ascii="Cambria" w:hAnsi="Cambria"/>
          <w:iCs/>
          <w:sz w:val="20"/>
          <w:szCs w:val="20"/>
        </w:rPr>
        <w:t>,</w:t>
      </w:r>
      <w:r w:rsidRPr="001D6085">
        <w:rPr>
          <w:rFonts w:ascii="Cambria" w:hAnsi="Cambria"/>
          <w:iCs/>
          <w:sz w:val="20"/>
          <w:szCs w:val="20"/>
        </w:rPr>
        <w:t xml:space="preserve"> y la </w:t>
      </w:r>
      <w:r w:rsidRPr="001D6085">
        <w:rPr>
          <w:rFonts w:ascii="Cambria" w:hAnsi="Cambria"/>
          <w:i/>
          <w:sz w:val="20"/>
          <w:szCs w:val="20"/>
        </w:rPr>
        <w:t xml:space="preserve">Recomendación de ICCAT sobre el desarrollo de normas de control de la captura y de evaluación de estrategias de ordenación </w:t>
      </w:r>
      <w:r w:rsidR="003F7C22" w:rsidRPr="001D6085">
        <w:rPr>
          <w:rFonts w:ascii="Cambria" w:hAnsi="Cambria"/>
          <w:iCs/>
          <w:sz w:val="20"/>
          <w:szCs w:val="20"/>
        </w:rPr>
        <w:t>(</w:t>
      </w:r>
      <w:r w:rsidRPr="001D6085">
        <w:rPr>
          <w:rFonts w:ascii="Cambria" w:hAnsi="Cambria"/>
          <w:iCs/>
          <w:sz w:val="20"/>
          <w:szCs w:val="20"/>
        </w:rPr>
        <w:t>Rec. 15-07</w:t>
      </w:r>
      <w:r w:rsidR="003F7C22" w:rsidRPr="001D6085">
        <w:rPr>
          <w:rFonts w:ascii="Cambria" w:hAnsi="Cambria"/>
          <w:iCs/>
          <w:sz w:val="20"/>
          <w:szCs w:val="20"/>
        </w:rPr>
        <w:t>)</w:t>
      </w:r>
      <w:r w:rsidRPr="001D6085">
        <w:rPr>
          <w:rFonts w:ascii="Cambria" w:hAnsi="Cambria"/>
          <w:iCs/>
          <w:sz w:val="20"/>
          <w:szCs w:val="20"/>
        </w:rPr>
        <w:t>;</w:t>
      </w:r>
    </w:p>
    <w:p w14:paraId="23E08F00" w14:textId="77777777" w:rsidR="009164DB" w:rsidRPr="001D6085" w:rsidRDefault="009164DB" w:rsidP="00CA71F2">
      <w:pPr>
        <w:tabs>
          <w:tab w:val="left" w:pos="480"/>
        </w:tabs>
        <w:spacing w:after="0" w:line="240" w:lineRule="auto"/>
        <w:jc w:val="both"/>
        <w:rPr>
          <w:rFonts w:ascii="Cambria" w:eastAsia="Cambria" w:hAnsi="Cambria" w:cs="Cambria"/>
          <w:iCs/>
          <w:sz w:val="20"/>
          <w:szCs w:val="20"/>
        </w:rPr>
      </w:pPr>
    </w:p>
    <w:p w14:paraId="01B3A16E" w14:textId="77EF8994" w:rsidR="009164DB" w:rsidRPr="001D6085" w:rsidRDefault="009164DB" w:rsidP="00CA71F2">
      <w:pPr>
        <w:tabs>
          <w:tab w:val="left" w:pos="480"/>
        </w:tabs>
        <w:spacing w:after="0" w:line="240" w:lineRule="auto"/>
        <w:jc w:val="both"/>
        <w:rPr>
          <w:rFonts w:ascii="Cambria" w:hAnsi="Cambria"/>
          <w:sz w:val="20"/>
          <w:szCs w:val="20"/>
        </w:rPr>
      </w:pPr>
      <w:r w:rsidRPr="001D6085">
        <w:rPr>
          <w:rFonts w:ascii="Cambria" w:hAnsi="Cambria"/>
          <w:iCs/>
          <w:sz w:val="20"/>
          <w:szCs w:val="20"/>
        </w:rPr>
        <w:tab/>
      </w:r>
      <w:r w:rsidRPr="001D6085">
        <w:rPr>
          <w:rFonts w:ascii="Cambria" w:hAnsi="Cambria"/>
          <w:i/>
          <w:iCs/>
          <w:sz w:val="20"/>
          <w:szCs w:val="20"/>
        </w:rPr>
        <w:t>RECORDANDO ADEMÁS</w:t>
      </w:r>
      <w:r w:rsidRPr="001D6085">
        <w:rPr>
          <w:rFonts w:ascii="Cambria" w:hAnsi="Cambria"/>
          <w:sz w:val="20"/>
          <w:szCs w:val="20"/>
        </w:rPr>
        <w:t xml:space="preserve"> que la Comisión ha adoptado medidas de ordenación para la protección de las especies de tiburones en peligro capturadas en asociación con las pesquerías gestionadas por ICCAT y la conservación y el uso sostenible de las especies comerciales de </w:t>
      </w:r>
      <w:r w:rsidR="0032215B" w:rsidRPr="001D6085">
        <w:rPr>
          <w:rFonts w:ascii="Cambria" w:hAnsi="Cambria"/>
          <w:sz w:val="20"/>
          <w:szCs w:val="20"/>
        </w:rPr>
        <w:t>tiburones;</w:t>
      </w:r>
      <w:r w:rsidRPr="001D6085">
        <w:rPr>
          <w:rFonts w:ascii="Cambria" w:hAnsi="Cambria"/>
          <w:sz w:val="20"/>
          <w:szCs w:val="20"/>
        </w:rPr>
        <w:t xml:space="preserve">  </w:t>
      </w:r>
    </w:p>
    <w:p w14:paraId="5E30B03D" w14:textId="77777777" w:rsidR="00075010" w:rsidRPr="001D6085" w:rsidRDefault="00075010" w:rsidP="00CA71F2">
      <w:pPr>
        <w:tabs>
          <w:tab w:val="left" w:pos="480"/>
        </w:tabs>
        <w:spacing w:after="0" w:line="240" w:lineRule="auto"/>
        <w:jc w:val="both"/>
        <w:rPr>
          <w:rFonts w:ascii="Cambria" w:hAnsi="Cambria"/>
          <w:sz w:val="20"/>
          <w:szCs w:val="20"/>
        </w:rPr>
      </w:pPr>
    </w:p>
    <w:p w14:paraId="6E2FCD6B" w14:textId="110D2036" w:rsidR="00075010" w:rsidRPr="001D6085" w:rsidRDefault="00075010" w:rsidP="00CA71F2">
      <w:pPr>
        <w:tabs>
          <w:tab w:val="left" w:pos="480"/>
        </w:tabs>
        <w:spacing w:after="0" w:line="240" w:lineRule="auto"/>
        <w:jc w:val="both"/>
        <w:rPr>
          <w:rFonts w:ascii="Cambria" w:eastAsia="Cambria" w:hAnsi="Cambria" w:cs="Cambria"/>
          <w:sz w:val="20"/>
          <w:szCs w:val="20"/>
        </w:rPr>
      </w:pPr>
      <w:r w:rsidRPr="001D6085">
        <w:rPr>
          <w:rFonts w:ascii="Cambria" w:hAnsi="Cambria"/>
          <w:i/>
          <w:iCs/>
          <w:sz w:val="20"/>
        </w:rPr>
        <w:tab/>
        <w:t xml:space="preserve">RECORDANDO ADEMÁS </w:t>
      </w:r>
      <w:r w:rsidRPr="001D6085">
        <w:rPr>
          <w:rFonts w:ascii="Cambria" w:hAnsi="Cambria"/>
          <w:sz w:val="20"/>
        </w:rPr>
        <w:t>que la Comisión adoptó la Recomendación 16-12 sobre medidas de ordenación para el tiburón azul del Atlántico (</w:t>
      </w:r>
      <w:r w:rsidRPr="001D6085">
        <w:rPr>
          <w:rFonts w:ascii="Cambria" w:hAnsi="Cambria"/>
          <w:i/>
          <w:iCs/>
          <w:sz w:val="20"/>
        </w:rPr>
        <w:t>Prionace glauca</w:t>
      </w:r>
      <w:r w:rsidRPr="001D6085">
        <w:rPr>
          <w:rFonts w:ascii="Cambria" w:hAnsi="Cambria"/>
          <w:sz w:val="20"/>
        </w:rPr>
        <w:t xml:space="preserve">) y adoptó posteriormente límites de captura para el stock de tiburón </w:t>
      </w:r>
      <w:r w:rsidR="00080299" w:rsidRPr="001D6085">
        <w:rPr>
          <w:rFonts w:ascii="Cambria" w:hAnsi="Cambria"/>
          <w:sz w:val="20"/>
        </w:rPr>
        <w:t>azul del</w:t>
      </w:r>
      <w:r w:rsidRPr="001D6085">
        <w:rPr>
          <w:rFonts w:ascii="Cambria" w:hAnsi="Cambria"/>
          <w:sz w:val="20"/>
        </w:rPr>
        <w:t xml:space="preserve"> Atlántico norte en la Recomendación 19-07 que fue enmendada por la Recomendación 21-10;</w:t>
      </w:r>
    </w:p>
    <w:p w14:paraId="6A76E5D2" w14:textId="77777777" w:rsidR="009164DB" w:rsidRPr="001D6085" w:rsidRDefault="009164DB" w:rsidP="00CA71F2">
      <w:pPr>
        <w:tabs>
          <w:tab w:val="left" w:pos="480"/>
        </w:tabs>
        <w:spacing w:after="0" w:line="240" w:lineRule="auto"/>
        <w:jc w:val="both"/>
        <w:rPr>
          <w:rFonts w:ascii="Cambria" w:eastAsia="Cambria" w:hAnsi="Cambria" w:cs="Cambria"/>
          <w:iCs/>
          <w:sz w:val="16"/>
          <w:szCs w:val="16"/>
        </w:rPr>
      </w:pPr>
      <w:r w:rsidRPr="001D6085">
        <w:rPr>
          <w:rFonts w:ascii="Cambria" w:hAnsi="Cambria"/>
          <w:iCs/>
          <w:sz w:val="16"/>
          <w:szCs w:val="16"/>
        </w:rPr>
        <w:tab/>
      </w:r>
    </w:p>
    <w:p w14:paraId="78233CEF" w14:textId="3E717C8E" w:rsidR="009164DB" w:rsidRPr="001D6085" w:rsidRDefault="009164DB" w:rsidP="00CA71F2">
      <w:pPr>
        <w:tabs>
          <w:tab w:val="left" w:pos="480"/>
        </w:tabs>
        <w:spacing w:after="0" w:line="240" w:lineRule="auto"/>
        <w:jc w:val="both"/>
        <w:rPr>
          <w:rFonts w:ascii="Cambria" w:eastAsia="Cambria" w:hAnsi="Cambria" w:cs="Cambria"/>
          <w:sz w:val="20"/>
          <w:szCs w:val="20"/>
        </w:rPr>
      </w:pPr>
      <w:r w:rsidRPr="001D6085">
        <w:rPr>
          <w:rFonts w:ascii="Cambria" w:hAnsi="Cambria"/>
          <w:iCs/>
          <w:sz w:val="20"/>
          <w:szCs w:val="20"/>
        </w:rPr>
        <w:tab/>
      </w:r>
      <w:r w:rsidRPr="001D6085">
        <w:rPr>
          <w:rFonts w:ascii="Cambria" w:hAnsi="Cambria"/>
          <w:i/>
          <w:iCs/>
          <w:sz w:val="20"/>
        </w:rPr>
        <w:t>RECONOCIENDO</w:t>
      </w:r>
      <w:r w:rsidRPr="001D6085">
        <w:rPr>
          <w:rFonts w:ascii="Cambria" w:hAnsi="Cambria"/>
          <w:sz w:val="20"/>
        </w:rPr>
        <w:t xml:space="preserve"> que el tiburón azul del Atlántico se captura en asociación con pesquerías gestionadas por ICCAT y que sus stocks pueden gestionarse de forma sostenible basándose en el asesoramiento del SCRS;</w:t>
      </w:r>
      <w:r w:rsidRPr="001D6085">
        <w:rPr>
          <w:rFonts w:ascii="Cambria" w:hAnsi="Cambria"/>
          <w:sz w:val="20"/>
          <w:szCs w:val="20"/>
        </w:rPr>
        <w:t xml:space="preserve">  </w:t>
      </w:r>
    </w:p>
    <w:p w14:paraId="639BAE8C" w14:textId="77777777" w:rsidR="009164DB" w:rsidRPr="001D6085" w:rsidRDefault="009164DB" w:rsidP="00CA71F2">
      <w:pPr>
        <w:tabs>
          <w:tab w:val="left" w:pos="480"/>
        </w:tabs>
        <w:spacing w:after="0" w:line="240" w:lineRule="auto"/>
        <w:jc w:val="both"/>
        <w:rPr>
          <w:rFonts w:ascii="Cambria" w:eastAsia="Cambria" w:hAnsi="Cambria" w:cs="Cambria"/>
          <w:iCs/>
          <w:sz w:val="16"/>
          <w:szCs w:val="16"/>
        </w:rPr>
      </w:pPr>
      <w:r w:rsidRPr="001D6085">
        <w:rPr>
          <w:rFonts w:ascii="Cambria" w:hAnsi="Cambria"/>
          <w:iCs/>
          <w:sz w:val="16"/>
          <w:szCs w:val="16"/>
        </w:rPr>
        <w:tab/>
      </w:r>
    </w:p>
    <w:p w14:paraId="2CA0D915" w14:textId="30DA8AD0" w:rsidR="00487ABC" w:rsidRPr="001D6085" w:rsidRDefault="009164DB" w:rsidP="00CA71F2">
      <w:pPr>
        <w:tabs>
          <w:tab w:val="left" w:pos="480"/>
        </w:tabs>
        <w:spacing w:after="0" w:line="240" w:lineRule="auto"/>
        <w:jc w:val="both"/>
        <w:rPr>
          <w:rFonts w:ascii="Cambria" w:hAnsi="Cambria"/>
          <w:sz w:val="20"/>
          <w:szCs w:val="20"/>
        </w:rPr>
      </w:pPr>
      <w:r w:rsidRPr="001D6085">
        <w:rPr>
          <w:rFonts w:ascii="Cambria" w:hAnsi="Cambria"/>
          <w:iCs/>
          <w:sz w:val="20"/>
          <w:szCs w:val="20"/>
        </w:rPr>
        <w:tab/>
      </w:r>
      <w:r w:rsidRPr="001D6085">
        <w:rPr>
          <w:rFonts w:ascii="Cambria" w:hAnsi="Cambria"/>
          <w:i/>
          <w:iCs/>
          <w:sz w:val="20"/>
          <w:szCs w:val="20"/>
        </w:rPr>
        <w:t>CONSIDERANDO</w:t>
      </w:r>
      <w:r w:rsidRPr="001D6085">
        <w:rPr>
          <w:rFonts w:ascii="Cambria" w:hAnsi="Cambria"/>
          <w:sz w:val="20"/>
          <w:szCs w:val="20"/>
        </w:rPr>
        <w:t xml:space="preserve"> que, tras la evaluación de stock realizada en 2023, el informe del SCRS afirma que el stock de tiburón azul del Atlántico norte no está sobrepescado ni es objeto de sobrepesca; </w:t>
      </w:r>
    </w:p>
    <w:p w14:paraId="10E87017" w14:textId="77777777" w:rsidR="0032215B" w:rsidRPr="001D6085" w:rsidRDefault="0032215B" w:rsidP="00CA71F2">
      <w:pPr>
        <w:tabs>
          <w:tab w:val="left" w:pos="480"/>
        </w:tabs>
        <w:spacing w:after="0" w:line="240" w:lineRule="auto"/>
        <w:jc w:val="both"/>
        <w:rPr>
          <w:rFonts w:ascii="Cambria" w:hAnsi="Cambria"/>
          <w:sz w:val="20"/>
          <w:szCs w:val="20"/>
        </w:rPr>
      </w:pPr>
    </w:p>
    <w:p w14:paraId="09395FED" w14:textId="1E1B1EA9" w:rsidR="00075010" w:rsidRPr="001D6085" w:rsidRDefault="00075010" w:rsidP="00075010">
      <w:pPr>
        <w:tabs>
          <w:tab w:val="left" w:pos="480"/>
        </w:tabs>
        <w:spacing w:after="0" w:line="240" w:lineRule="auto"/>
        <w:jc w:val="both"/>
        <w:rPr>
          <w:rFonts w:ascii="Cambria" w:eastAsia="Cambria" w:hAnsi="Cambria" w:cs="Cambria"/>
          <w:sz w:val="20"/>
          <w:szCs w:val="20"/>
        </w:rPr>
      </w:pPr>
      <w:r w:rsidRPr="001D6085">
        <w:rPr>
          <w:rFonts w:ascii="Cambria" w:hAnsi="Cambria"/>
          <w:sz w:val="20"/>
          <w:szCs w:val="20"/>
        </w:rPr>
        <w:tab/>
      </w:r>
      <w:r w:rsidRPr="001D6085">
        <w:rPr>
          <w:rFonts w:ascii="Cambria" w:hAnsi="Cambria"/>
          <w:i/>
          <w:iCs/>
          <w:sz w:val="20"/>
          <w:szCs w:val="20"/>
        </w:rPr>
        <w:t>CONSIDERANDO ADEMÁS</w:t>
      </w:r>
      <w:r w:rsidRPr="001D6085">
        <w:rPr>
          <w:rFonts w:ascii="Cambria" w:hAnsi="Cambria"/>
          <w:sz w:val="20"/>
          <w:szCs w:val="20"/>
        </w:rPr>
        <w:t xml:space="preserve"> que el Informe del SCRS de 2023 afirmaba "que existe una probabilidad del 49,6 % de que el </w:t>
      </w:r>
      <w:r w:rsidR="00F01FA4" w:rsidRPr="001D6085">
        <w:rPr>
          <w:rFonts w:ascii="Cambria" w:hAnsi="Cambria"/>
          <w:sz w:val="20"/>
          <w:szCs w:val="20"/>
        </w:rPr>
        <w:t xml:space="preserve">stock </w:t>
      </w:r>
      <w:r w:rsidRPr="001D6085">
        <w:rPr>
          <w:rFonts w:ascii="Cambria" w:hAnsi="Cambria"/>
          <w:sz w:val="20"/>
          <w:szCs w:val="20"/>
        </w:rPr>
        <w:t>se encuentre actualmente en el cuadrante amarillo del diagrama de Kobe (sobrepescado pero no objeto de sobrepesca)", lo que implica que se requiere un enfoque más precautorio para garantizar que el stock permanezca en el cuadrante verde;</w:t>
      </w:r>
    </w:p>
    <w:p w14:paraId="61AB71CB" w14:textId="77777777" w:rsidR="00075010" w:rsidRPr="001D6085" w:rsidRDefault="00075010" w:rsidP="00CA71F2">
      <w:pPr>
        <w:tabs>
          <w:tab w:val="left" w:pos="480"/>
        </w:tabs>
        <w:spacing w:after="0" w:line="240" w:lineRule="auto"/>
        <w:jc w:val="both"/>
        <w:rPr>
          <w:rFonts w:ascii="Cambria" w:hAnsi="Cambria"/>
          <w:i/>
          <w:iCs/>
          <w:sz w:val="20"/>
          <w:szCs w:val="20"/>
        </w:rPr>
      </w:pPr>
    </w:p>
    <w:p w14:paraId="0896CB84" w14:textId="4E0045F3" w:rsidR="00A81FEE" w:rsidRPr="001D6085" w:rsidRDefault="0032215B" w:rsidP="00CA71F2">
      <w:pPr>
        <w:tabs>
          <w:tab w:val="left" w:pos="480"/>
        </w:tabs>
        <w:spacing w:after="0" w:line="240" w:lineRule="auto"/>
        <w:jc w:val="both"/>
        <w:rPr>
          <w:rFonts w:ascii="Cambria" w:eastAsia="Cambria" w:hAnsi="Cambria" w:cs="Cambria"/>
          <w:sz w:val="20"/>
          <w:szCs w:val="20"/>
        </w:rPr>
      </w:pPr>
      <w:r w:rsidRPr="001D6085">
        <w:rPr>
          <w:rFonts w:ascii="Cambria" w:hAnsi="Cambria"/>
          <w:i/>
          <w:iCs/>
          <w:sz w:val="20"/>
          <w:szCs w:val="20"/>
        </w:rPr>
        <w:tab/>
      </w:r>
      <w:r w:rsidR="28A33B8D" w:rsidRPr="001D6085">
        <w:rPr>
          <w:rFonts w:ascii="Cambria" w:hAnsi="Cambria"/>
          <w:i/>
          <w:iCs/>
          <w:sz w:val="20"/>
          <w:szCs w:val="20"/>
        </w:rPr>
        <w:t xml:space="preserve">CONSIDERANDO </w:t>
      </w:r>
      <w:r w:rsidR="006A0F4E" w:rsidRPr="001D6085">
        <w:rPr>
          <w:rFonts w:ascii="Cambria" w:hAnsi="Cambria"/>
          <w:i/>
          <w:iCs/>
          <w:sz w:val="20"/>
          <w:szCs w:val="20"/>
        </w:rPr>
        <w:t>ASIMISMO</w:t>
      </w:r>
      <w:r w:rsidR="28A33B8D" w:rsidRPr="001D6085">
        <w:rPr>
          <w:rFonts w:ascii="Cambria" w:hAnsi="Cambria"/>
          <w:sz w:val="20"/>
          <w:szCs w:val="20"/>
        </w:rPr>
        <w:t xml:space="preserve"> que desde 2019 el rendimiento medio ha estado por debajo del nivel de </w:t>
      </w:r>
      <w:r w:rsidR="006A0F4E" w:rsidRPr="001D6085">
        <w:rPr>
          <w:rFonts w:ascii="Cambria" w:hAnsi="Cambria"/>
          <w:sz w:val="20"/>
          <w:szCs w:val="20"/>
        </w:rPr>
        <w:t>rendimiento máximo sostenible (</w:t>
      </w:r>
      <w:r w:rsidR="28A33B8D" w:rsidRPr="001D6085">
        <w:rPr>
          <w:rFonts w:ascii="Cambria" w:hAnsi="Cambria"/>
          <w:sz w:val="20"/>
          <w:szCs w:val="20"/>
        </w:rPr>
        <w:t>RMS</w:t>
      </w:r>
      <w:r w:rsidR="006A0F4E" w:rsidRPr="001D6085">
        <w:rPr>
          <w:rFonts w:ascii="Cambria" w:hAnsi="Cambria"/>
          <w:sz w:val="20"/>
          <w:szCs w:val="20"/>
        </w:rPr>
        <w:t xml:space="preserve">) </w:t>
      </w:r>
      <w:r w:rsidR="28A33B8D" w:rsidRPr="001D6085">
        <w:rPr>
          <w:rFonts w:ascii="Cambria" w:hAnsi="Cambria"/>
          <w:sz w:val="20"/>
          <w:szCs w:val="20"/>
        </w:rPr>
        <w:t>estimado en la evaluación de stock de 2023;</w:t>
      </w:r>
    </w:p>
    <w:p w14:paraId="7FF731E5" w14:textId="3062A80B" w:rsidR="009164DB" w:rsidRPr="001D6085" w:rsidDel="00A81FEE" w:rsidRDefault="009164DB" w:rsidP="00CA71F2">
      <w:pPr>
        <w:tabs>
          <w:tab w:val="left" w:pos="480"/>
        </w:tabs>
        <w:spacing w:after="0" w:line="240" w:lineRule="auto"/>
        <w:jc w:val="both"/>
        <w:rPr>
          <w:rFonts w:ascii="Cambria" w:eastAsia="Cambria" w:hAnsi="Cambria" w:cs="Cambria"/>
          <w:sz w:val="20"/>
          <w:szCs w:val="20"/>
        </w:rPr>
      </w:pPr>
    </w:p>
    <w:p w14:paraId="1CCD1FAC" w14:textId="377EB900" w:rsidR="5B7AF9A6" w:rsidRPr="001D6085" w:rsidRDefault="0032215B" w:rsidP="00CA71F2">
      <w:pPr>
        <w:tabs>
          <w:tab w:val="left" w:pos="480"/>
        </w:tabs>
        <w:spacing w:after="0" w:line="240" w:lineRule="auto"/>
        <w:jc w:val="both"/>
        <w:rPr>
          <w:rFonts w:ascii="Cambria" w:hAnsi="Cambria"/>
          <w:sz w:val="20"/>
          <w:szCs w:val="20"/>
        </w:rPr>
      </w:pPr>
      <w:r w:rsidRPr="001D6085">
        <w:rPr>
          <w:rFonts w:ascii="Cambria" w:hAnsi="Cambria"/>
          <w:i/>
          <w:iCs/>
          <w:sz w:val="20"/>
          <w:szCs w:val="20"/>
        </w:rPr>
        <w:tab/>
      </w:r>
      <w:r w:rsidR="205572C1" w:rsidRPr="001D6085">
        <w:rPr>
          <w:rFonts w:ascii="Cambria" w:hAnsi="Cambria"/>
          <w:i/>
          <w:iCs/>
          <w:sz w:val="20"/>
          <w:szCs w:val="20"/>
        </w:rPr>
        <w:t>OBSERVANDO</w:t>
      </w:r>
      <w:r w:rsidR="205572C1" w:rsidRPr="001D6085">
        <w:rPr>
          <w:rFonts w:ascii="Cambria" w:hAnsi="Cambria"/>
          <w:sz w:val="20"/>
          <w:szCs w:val="20"/>
        </w:rPr>
        <w:t xml:space="preserve"> que, según el informe del SCRS </w:t>
      </w:r>
      <w:r w:rsidR="00551AB2" w:rsidRPr="001D6085">
        <w:rPr>
          <w:rFonts w:ascii="Cambria" w:hAnsi="Cambria"/>
          <w:sz w:val="20"/>
          <w:szCs w:val="20"/>
        </w:rPr>
        <w:t xml:space="preserve">de </w:t>
      </w:r>
      <w:r w:rsidR="205572C1" w:rsidRPr="001D6085">
        <w:rPr>
          <w:rFonts w:ascii="Cambria" w:hAnsi="Cambria"/>
          <w:sz w:val="20"/>
          <w:szCs w:val="20"/>
        </w:rPr>
        <w:t>2023, la plena utilización del</w:t>
      </w:r>
      <w:r w:rsidR="00F445D9" w:rsidRPr="001D6085">
        <w:rPr>
          <w:rFonts w:ascii="Cambria" w:hAnsi="Cambria"/>
          <w:sz w:val="20"/>
          <w:szCs w:val="20"/>
        </w:rPr>
        <w:t xml:space="preserve"> total admisible de capturas (</w:t>
      </w:r>
      <w:r w:rsidR="205572C1" w:rsidRPr="001D6085">
        <w:rPr>
          <w:rFonts w:ascii="Cambria" w:hAnsi="Cambria"/>
          <w:sz w:val="20"/>
          <w:szCs w:val="20"/>
        </w:rPr>
        <w:t>TAC</w:t>
      </w:r>
      <w:r w:rsidR="00F445D9" w:rsidRPr="001D6085">
        <w:rPr>
          <w:rFonts w:ascii="Cambria" w:hAnsi="Cambria"/>
          <w:sz w:val="20"/>
          <w:szCs w:val="20"/>
        </w:rPr>
        <w:t xml:space="preserve">) </w:t>
      </w:r>
      <w:r w:rsidR="00C1278F" w:rsidRPr="001D6085">
        <w:rPr>
          <w:rFonts w:ascii="Cambria" w:hAnsi="Cambria"/>
          <w:sz w:val="20"/>
          <w:szCs w:val="20"/>
        </w:rPr>
        <w:t xml:space="preserve">establecido en la Recomendación 19-07 </w:t>
      </w:r>
      <w:r w:rsidR="205572C1" w:rsidRPr="001D6085">
        <w:rPr>
          <w:rFonts w:ascii="Cambria" w:hAnsi="Cambria"/>
          <w:sz w:val="20"/>
          <w:szCs w:val="20"/>
        </w:rPr>
        <w:t>(39.102 t) conduciría a una probabilidad muy baja (3 %) de mantener al stock en el cuadrante verde del diagrama de Kobe desde ahora hasta 2033;</w:t>
      </w:r>
    </w:p>
    <w:p w14:paraId="45B3B83D" w14:textId="77777777" w:rsidR="0032215B" w:rsidRPr="001D6085" w:rsidRDefault="0032215B" w:rsidP="00CA71F2">
      <w:pPr>
        <w:tabs>
          <w:tab w:val="left" w:pos="480"/>
        </w:tabs>
        <w:spacing w:after="0" w:line="240" w:lineRule="auto"/>
        <w:jc w:val="both"/>
        <w:rPr>
          <w:rFonts w:ascii="Cambria" w:hAnsi="Cambria"/>
          <w:sz w:val="20"/>
          <w:szCs w:val="20"/>
        </w:rPr>
      </w:pPr>
    </w:p>
    <w:p w14:paraId="05636844" w14:textId="088C5643" w:rsidR="00075010" w:rsidRPr="001D6085" w:rsidRDefault="0032215B" w:rsidP="00075010">
      <w:pPr>
        <w:tabs>
          <w:tab w:val="left" w:pos="480"/>
        </w:tabs>
        <w:spacing w:after="0" w:line="240" w:lineRule="auto"/>
        <w:jc w:val="both"/>
        <w:rPr>
          <w:rFonts w:ascii="Cambria" w:hAnsi="Cambria"/>
          <w:sz w:val="20"/>
        </w:rPr>
      </w:pPr>
      <w:r w:rsidRPr="001D6085">
        <w:rPr>
          <w:rFonts w:ascii="Cambria" w:hAnsi="Cambria"/>
          <w:i/>
          <w:iCs/>
          <w:sz w:val="20"/>
          <w:szCs w:val="20"/>
        </w:rPr>
        <w:tab/>
      </w:r>
      <w:r w:rsidR="00075010" w:rsidRPr="001D6085">
        <w:rPr>
          <w:rFonts w:ascii="Cambria" w:hAnsi="Cambria"/>
          <w:i/>
          <w:iCs/>
          <w:sz w:val="20"/>
        </w:rPr>
        <w:t>CONSIDERANDO</w:t>
      </w:r>
      <w:r w:rsidR="00075010" w:rsidRPr="001D6085">
        <w:rPr>
          <w:rFonts w:ascii="Cambria" w:hAnsi="Cambria"/>
          <w:sz w:val="20"/>
        </w:rPr>
        <w:t xml:space="preserve"> que el SCRS, tras completar su última evaluación de stock en 2023, recomendó que el TAC actual se redujera </w:t>
      </w:r>
      <w:r w:rsidR="006A0F4E" w:rsidRPr="001D6085">
        <w:rPr>
          <w:rFonts w:ascii="Cambria" w:hAnsi="Cambria"/>
          <w:sz w:val="20"/>
        </w:rPr>
        <w:t>“</w:t>
      </w:r>
      <w:r w:rsidR="00075010" w:rsidRPr="001D6085">
        <w:rPr>
          <w:rFonts w:ascii="Cambria" w:hAnsi="Cambria"/>
          <w:sz w:val="20"/>
        </w:rPr>
        <w:t>a niveles de captura que mantengan al stock en el cuadrante verde del diagrama de Kobe con una alta probabilidad</w:t>
      </w:r>
      <w:r w:rsidR="006A0F4E" w:rsidRPr="001D6085">
        <w:rPr>
          <w:rFonts w:ascii="Cambria" w:hAnsi="Cambria"/>
          <w:sz w:val="20"/>
        </w:rPr>
        <w:t>”</w:t>
      </w:r>
      <w:r w:rsidR="00075010" w:rsidRPr="001D6085">
        <w:rPr>
          <w:rFonts w:ascii="Cambria" w:hAnsi="Cambria"/>
          <w:sz w:val="20"/>
        </w:rPr>
        <w:t>;</w:t>
      </w:r>
    </w:p>
    <w:p w14:paraId="51A3B7DE" w14:textId="77777777" w:rsidR="00075010" w:rsidRPr="001D6085" w:rsidRDefault="00075010" w:rsidP="00075010">
      <w:pPr>
        <w:tabs>
          <w:tab w:val="left" w:pos="480"/>
        </w:tabs>
        <w:spacing w:after="0" w:line="240" w:lineRule="auto"/>
        <w:jc w:val="both"/>
        <w:rPr>
          <w:rFonts w:ascii="Cambria" w:hAnsi="Cambria"/>
          <w:sz w:val="20"/>
        </w:rPr>
      </w:pPr>
    </w:p>
    <w:p w14:paraId="10D19E36" w14:textId="03A75257" w:rsidR="00075010" w:rsidRPr="001D6085" w:rsidRDefault="00075010" w:rsidP="00075010">
      <w:pPr>
        <w:tabs>
          <w:tab w:val="left" w:pos="480"/>
        </w:tabs>
        <w:spacing w:after="0" w:line="240" w:lineRule="auto"/>
        <w:jc w:val="both"/>
        <w:rPr>
          <w:rFonts w:ascii="Cambria" w:hAnsi="Cambria"/>
          <w:sz w:val="20"/>
        </w:rPr>
      </w:pPr>
      <w:r w:rsidRPr="001D6085">
        <w:rPr>
          <w:rFonts w:ascii="Cambria" w:hAnsi="Cambria"/>
          <w:sz w:val="20"/>
        </w:rPr>
        <w:tab/>
      </w:r>
      <w:r w:rsidRPr="001D6085">
        <w:rPr>
          <w:rFonts w:ascii="Cambria" w:hAnsi="Cambria"/>
          <w:i/>
          <w:iCs/>
          <w:sz w:val="20"/>
        </w:rPr>
        <w:t>CONSIDERANDO ADEMÁS</w:t>
      </w:r>
      <w:r w:rsidRPr="001D6085">
        <w:rPr>
          <w:rFonts w:ascii="Cambria" w:hAnsi="Cambria"/>
          <w:sz w:val="20"/>
        </w:rPr>
        <w:t xml:space="preserve"> que las opciones de captura de la evaluación de 2023 que dan como resultado una probabilidad ≥60 % de situar al stock en el cuadrante verde al cabo de 10 años son capturas anuales iguales o inferiores a 30.000 t;</w:t>
      </w:r>
    </w:p>
    <w:p w14:paraId="54AF39EF" w14:textId="77777777" w:rsidR="00075010" w:rsidRPr="001D6085" w:rsidRDefault="00075010" w:rsidP="00075010">
      <w:pPr>
        <w:tabs>
          <w:tab w:val="left" w:pos="480"/>
        </w:tabs>
        <w:spacing w:after="0" w:line="240" w:lineRule="auto"/>
        <w:jc w:val="both"/>
        <w:rPr>
          <w:rFonts w:ascii="Cambria" w:hAnsi="Cambria"/>
          <w:sz w:val="20"/>
        </w:rPr>
      </w:pPr>
    </w:p>
    <w:p w14:paraId="614E6821" w14:textId="7FBD58CA" w:rsidR="00075010" w:rsidRPr="001D6085" w:rsidRDefault="00075010" w:rsidP="00075010">
      <w:pPr>
        <w:tabs>
          <w:tab w:val="left" w:pos="480"/>
        </w:tabs>
        <w:spacing w:after="0" w:line="240" w:lineRule="auto"/>
        <w:jc w:val="both"/>
        <w:rPr>
          <w:rFonts w:ascii="Cambria" w:hAnsi="Cambria"/>
          <w:sz w:val="20"/>
        </w:rPr>
      </w:pPr>
      <w:r w:rsidRPr="001D6085">
        <w:rPr>
          <w:rFonts w:ascii="Cambria" w:hAnsi="Cambria"/>
          <w:i/>
          <w:iCs/>
          <w:sz w:val="20"/>
        </w:rPr>
        <w:tab/>
        <w:t>DESEANDO</w:t>
      </w:r>
      <w:r w:rsidRPr="001D6085">
        <w:rPr>
          <w:rFonts w:ascii="Cambria" w:hAnsi="Cambria"/>
          <w:sz w:val="20"/>
        </w:rPr>
        <w:t>, por tanto, garantizar que el total de capturas no supere las 30.000 t mediante el establecimiento de un TAC anual;</w:t>
      </w:r>
    </w:p>
    <w:p w14:paraId="17FD9FD2" w14:textId="335F6781" w:rsidR="00075010" w:rsidRPr="001D6085" w:rsidRDefault="00F01FA4" w:rsidP="00080299">
      <w:pPr>
        <w:tabs>
          <w:tab w:val="left" w:pos="480"/>
        </w:tabs>
        <w:spacing w:after="0" w:line="240" w:lineRule="auto"/>
        <w:jc w:val="both"/>
      </w:pPr>
      <w:r w:rsidRPr="001D6085">
        <w:rPr>
          <w:rFonts w:ascii="Cambria" w:hAnsi="Cambria"/>
          <w:sz w:val="20"/>
          <w:szCs w:val="20"/>
        </w:rPr>
        <w:tab/>
      </w:r>
    </w:p>
    <w:p w14:paraId="77E8E8FE" w14:textId="78459EFE" w:rsidR="00075010" w:rsidRPr="001D6085" w:rsidRDefault="00075010" w:rsidP="00075010">
      <w:pPr>
        <w:tabs>
          <w:tab w:val="left" w:pos="480"/>
        </w:tabs>
        <w:spacing w:after="0" w:line="240" w:lineRule="auto"/>
        <w:jc w:val="both"/>
        <w:rPr>
          <w:rFonts w:ascii="Cambria" w:hAnsi="Cambria"/>
          <w:sz w:val="20"/>
        </w:rPr>
      </w:pPr>
      <w:r w:rsidRPr="001D6085">
        <w:rPr>
          <w:rFonts w:ascii="Cambria" w:hAnsi="Cambria"/>
          <w:sz w:val="20"/>
        </w:rPr>
        <w:tab/>
      </w:r>
      <w:r w:rsidRPr="001D6085">
        <w:rPr>
          <w:rFonts w:ascii="Cambria" w:hAnsi="Cambria"/>
          <w:i/>
          <w:iCs/>
          <w:sz w:val="20"/>
        </w:rPr>
        <w:t>RECORDANDO ADEMÁS</w:t>
      </w:r>
      <w:r w:rsidRPr="001D6085">
        <w:rPr>
          <w:rFonts w:ascii="Cambria" w:hAnsi="Cambria"/>
          <w:sz w:val="20"/>
        </w:rPr>
        <w:t xml:space="preserve"> que se solicitó al SCRS que proporcionara opciones para las normas de control de la captura (HCR), con puntos de referencia límite, objetivo y umbral asociados, tras la evaluación del stock de tiburón azul en la Recomendación 19-07;</w:t>
      </w:r>
    </w:p>
    <w:p w14:paraId="726042F7" w14:textId="77777777" w:rsidR="00075010" w:rsidRPr="001D6085" w:rsidRDefault="00075010" w:rsidP="00CA71F2">
      <w:pPr>
        <w:tabs>
          <w:tab w:val="left" w:pos="480"/>
        </w:tabs>
        <w:spacing w:after="0" w:line="240" w:lineRule="auto"/>
        <w:jc w:val="both"/>
        <w:rPr>
          <w:rFonts w:ascii="Cambria" w:eastAsia="Cambria" w:hAnsi="Cambria" w:cs="Cambria"/>
          <w:sz w:val="20"/>
          <w:szCs w:val="20"/>
        </w:rPr>
      </w:pPr>
    </w:p>
    <w:p w14:paraId="334CA0D2" w14:textId="279EDEFF" w:rsidR="00BC4836" w:rsidRPr="001D6085" w:rsidRDefault="0032215B" w:rsidP="00CA71F2">
      <w:pPr>
        <w:tabs>
          <w:tab w:val="left" w:pos="480"/>
        </w:tabs>
        <w:spacing w:after="0" w:line="240" w:lineRule="auto"/>
        <w:jc w:val="both"/>
        <w:rPr>
          <w:rFonts w:ascii="Cambria" w:eastAsia="Cambria" w:hAnsi="Cambria" w:cs="Cambria"/>
          <w:sz w:val="20"/>
          <w:szCs w:val="20"/>
        </w:rPr>
      </w:pPr>
      <w:r w:rsidRPr="001D6085">
        <w:rPr>
          <w:rFonts w:ascii="Cambria" w:hAnsi="Cambria"/>
          <w:i/>
          <w:iCs/>
          <w:sz w:val="20"/>
          <w:szCs w:val="20"/>
        </w:rPr>
        <w:lastRenderedPageBreak/>
        <w:tab/>
      </w:r>
      <w:r w:rsidR="62385400" w:rsidRPr="001D6085">
        <w:rPr>
          <w:rFonts w:ascii="Cambria" w:hAnsi="Cambria"/>
          <w:i/>
          <w:iCs/>
          <w:sz w:val="20"/>
          <w:szCs w:val="20"/>
        </w:rPr>
        <w:t>RECORDANDO</w:t>
      </w:r>
      <w:r w:rsidR="62385400" w:rsidRPr="001D6085">
        <w:rPr>
          <w:rFonts w:ascii="Cambria" w:hAnsi="Cambria"/>
          <w:sz w:val="20"/>
          <w:szCs w:val="20"/>
        </w:rPr>
        <w:t xml:space="preserve"> las disposiciones de la </w:t>
      </w:r>
      <w:r w:rsidR="62385400" w:rsidRPr="001D6085">
        <w:rPr>
          <w:rFonts w:ascii="Cambria" w:hAnsi="Cambria"/>
          <w:i/>
          <w:iCs/>
          <w:sz w:val="20"/>
          <w:szCs w:val="20"/>
        </w:rPr>
        <w:t>Resolución de ICCAT sobre criterios para la asignación de posibilidades de pesca</w:t>
      </w:r>
      <w:r w:rsidR="62385400" w:rsidRPr="001D6085">
        <w:rPr>
          <w:rFonts w:ascii="Cambria" w:hAnsi="Cambria"/>
          <w:sz w:val="20"/>
          <w:szCs w:val="20"/>
        </w:rPr>
        <w:t xml:space="preserve"> (Res. 15-13)</w:t>
      </w:r>
      <w:r w:rsidR="00C1278F" w:rsidRPr="001D6085">
        <w:rPr>
          <w:rFonts w:ascii="Cambria" w:hAnsi="Cambria"/>
          <w:sz w:val="20"/>
          <w:szCs w:val="20"/>
        </w:rPr>
        <w:t>;</w:t>
      </w:r>
      <w:r w:rsidR="62385400" w:rsidRPr="001D6085">
        <w:rPr>
          <w:rFonts w:ascii="Cambria" w:hAnsi="Cambria"/>
          <w:sz w:val="20"/>
          <w:szCs w:val="20"/>
        </w:rPr>
        <w:t xml:space="preserve"> </w:t>
      </w:r>
    </w:p>
    <w:p w14:paraId="131498C6" w14:textId="77777777" w:rsidR="00885E93" w:rsidRPr="001D6085" w:rsidRDefault="00885E93" w:rsidP="00CA71F2">
      <w:pPr>
        <w:spacing w:after="0" w:line="240" w:lineRule="auto"/>
        <w:jc w:val="center"/>
        <w:rPr>
          <w:rFonts w:ascii="Cambria" w:eastAsia="Cambria" w:hAnsi="Cambria" w:cs="Cambria"/>
          <w:sz w:val="20"/>
          <w:szCs w:val="20"/>
        </w:rPr>
      </w:pPr>
    </w:p>
    <w:p w14:paraId="1835A352" w14:textId="77777777" w:rsidR="00885E93" w:rsidRPr="001D6085" w:rsidRDefault="00013D77" w:rsidP="00CA71F2">
      <w:pPr>
        <w:spacing w:after="0" w:line="240" w:lineRule="auto"/>
        <w:jc w:val="center"/>
        <w:rPr>
          <w:rFonts w:ascii="Cambria" w:eastAsia="Cambria" w:hAnsi="Cambria" w:cs="Cambria"/>
          <w:sz w:val="20"/>
          <w:szCs w:val="20"/>
        </w:rPr>
      </w:pPr>
      <w:r w:rsidRPr="001D6085">
        <w:rPr>
          <w:rFonts w:ascii="Cambria" w:hAnsi="Cambria"/>
          <w:sz w:val="20"/>
          <w:szCs w:val="20"/>
        </w:rPr>
        <w:t>LA COMISIÓN INTERNACIONAL PARA LA CONSERVACIÓN</w:t>
      </w:r>
    </w:p>
    <w:p w14:paraId="5CC74DE4" w14:textId="77777777" w:rsidR="00885E93" w:rsidRPr="001D6085" w:rsidRDefault="00013D77" w:rsidP="00CA71F2">
      <w:pPr>
        <w:spacing w:after="0" w:line="240" w:lineRule="auto"/>
        <w:jc w:val="center"/>
        <w:rPr>
          <w:rFonts w:ascii="Cambria" w:eastAsia="Cambria" w:hAnsi="Cambria" w:cs="Cambria"/>
          <w:sz w:val="20"/>
          <w:szCs w:val="20"/>
        </w:rPr>
      </w:pPr>
      <w:r w:rsidRPr="001D6085">
        <w:rPr>
          <w:rFonts w:ascii="Cambria" w:hAnsi="Cambria"/>
          <w:sz w:val="20"/>
          <w:szCs w:val="20"/>
        </w:rPr>
        <w:t>DEL ATÚN ATLÁNTICO (ICCAT) RECOMIENDA LO SIGUIENTE:</w:t>
      </w:r>
    </w:p>
    <w:p w14:paraId="6503FA25" w14:textId="77777777" w:rsidR="00885E93" w:rsidRPr="001D6085" w:rsidRDefault="00885E93" w:rsidP="00CA71F2">
      <w:pPr>
        <w:spacing w:after="0" w:line="240" w:lineRule="auto"/>
        <w:jc w:val="center"/>
        <w:rPr>
          <w:rFonts w:ascii="Cambria" w:eastAsia="Cambria" w:hAnsi="Cambria" w:cs="Cambria"/>
          <w:sz w:val="20"/>
          <w:szCs w:val="20"/>
        </w:rPr>
      </w:pPr>
    </w:p>
    <w:p w14:paraId="252508B3" w14:textId="7F1E50E1" w:rsidR="00BC4836" w:rsidRPr="001D6085" w:rsidRDefault="0ADF548B" w:rsidP="00080299">
      <w:pPr>
        <w:pStyle w:val="ListParagraph"/>
        <w:widowControl w:val="0"/>
        <w:numPr>
          <w:ilvl w:val="0"/>
          <w:numId w:val="3"/>
        </w:numPr>
        <w:spacing w:after="0" w:line="240" w:lineRule="auto"/>
        <w:ind w:left="284" w:hanging="284"/>
        <w:jc w:val="both"/>
        <w:rPr>
          <w:rFonts w:ascii="Cambria" w:eastAsia="Cambria" w:hAnsi="Cambria" w:cs="Cambria"/>
          <w:sz w:val="20"/>
          <w:szCs w:val="20"/>
        </w:rPr>
      </w:pPr>
      <w:bookmarkStart w:id="2" w:name="_Hlk119423086"/>
      <w:r w:rsidRPr="001D6085">
        <w:rPr>
          <w:rFonts w:ascii="Cambria" w:hAnsi="Cambria"/>
          <w:sz w:val="20"/>
          <w:szCs w:val="20"/>
        </w:rPr>
        <w:t>Para garantizar la conservación y la ordenación sostenible del stock de tiburón azul del Atlántico norte en la zona del Convenio, se aplicará lo siguiente:</w:t>
      </w:r>
    </w:p>
    <w:p w14:paraId="4E3B20F8" w14:textId="77777777" w:rsidR="0032215B" w:rsidRPr="001D6085" w:rsidRDefault="0032215B" w:rsidP="00CA71F2">
      <w:pPr>
        <w:widowControl w:val="0"/>
        <w:spacing w:after="0" w:line="240" w:lineRule="auto"/>
        <w:jc w:val="both"/>
        <w:rPr>
          <w:rFonts w:ascii="Cambria" w:eastAsia="Cambria" w:hAnsi="Cambria" w:cs="Cambria"/>
          <w:sz w:val="20"/>
          <w:szCs w:val="20"/>
        </w:rPr>
      </w:pPr>
    </w:p>
    <w:p w14:paraId="2C56867C" w14:textId="0D609B86" w:rsidR="00BC4836" w:rsidRPr="001D6085" w:rsidRDefault="00BC4836" w:rsidP="00CA71F2">
      <w:pPr>
        <w:widowControl w:val="0"/>
        <w:spacing w:after="0" w:line="240" w:lineRule="auto"/>
        <w:jc w:val="both"/>
        <w:rPr>
          <w:rFonts w:ascii="Cambria" w:eastAsia="Cambria" w:hAnsi="Cambria" w:cs="Cambria"/>
          <w:b/>
          <w:bCs/>
          <w:sz w:val="20"/>
          <w:szCs w:val="20"/>
        </w:rPr>
      </w:pPr>
      <w:r w:rsidRPr="001D6085">
        <w:rPr>
          <w:rFonts w:ascii="Cambria" w:hAnsi="Cambria"/>
          <w:b/>
          <w:bCs/>
          <w:sz w:val="20"/>
          <w:szCs w:val="20"/>
        </w:rPr>
        <w:t xml:space="preserve">Límites de captura para el tiburón azul  </w:t>
      </w:r>
    </w:p>
    <w:p w14:paraId="39AA211C" w14:textId="77777777" w:rsidR="00BC4836" w:rsidRPr="001D6085" w:rsidRDefault="00BC4836" w:rsidP="00CA71F2">
      <w:pPr>
        <w:pStyle w:val="ListParagraph"/>
        <w:widowControl w:val="0"/>
        <w:spacing w:after="0" w:line="240" w:lineRule="auto"/>
        <w:jc w:val="both"/>
        <w:rPr>
          <w:rFonts w:ascii="Cambria" w:eastAsia="Cambria" w:hAnsi="Cambria" w:cs="Cambria"/>
          <w:sz w:val="20"/>
          <w:szCs w:val="20"/>
        </w:rPr>
      </w:pPr>
    </w:p>
    <w:p w14:paraId="3FB3A70A" w14:textId="10C5D848" w:rsidR="00D641B4" w:rsidRPr="001D6085" w:rsidRDefault="0ADF548B" w:rsidP="00CA71F2">
      <w:pPr>
        <w:pStyle w:val="ListParagraph"/>
        <w:widowControl w:val="0"/>
        <w:numPr>
          <w:ilvl w:val="0"/>
          <w:numId w:val="3"/>
        </w:numPr>
        <w:spacing w:after="0" w:line="240" w:lineRule="auto"/>
        <w:ind w:left="284" w:hanging="284"/>
        <w:jc w:val="both"/>
        <w:rPr>
          <w:rFonts w:ascii="Cambria" w:eastAsia="Cambria" w:hAnsi="Cambria" w:cs="Cambria"/>
          <w:sz w:val="20"/>
          <w:szCs w:val="20"/>
        </w:rPr>
      </w:pPr>
      <w:r w:rsidRPr="001D6085">
        <w:rPr>
          <w:rFonts w:ascii="Cambria" w:hAnsi="Cambria"/>
          <w:sz w:val="20"/>
          <w:szCs w:val="20"/>
        </w:rPr>
        <w:t xml:space="preserve">Se establece un TAC anual de </w:t>
      </w:r>
      <w:r w:rsidR="00C1278F" w:rsidRPr="001D6085">
        <w:rPr>
          <w:rFonts w:ascii="Cambria" w:hAnsi="Cambria"/>
          <w:sz w:val="20"/>
          <w:szCs w:val="20"/>
        </w:rPr>
        <w:t>30</w:t>
      </w:r>
      <w:r w:rsidRPr="001D6085">
        <w:rPr>
          <w:rFonts w:ascii="Cambria" w:hAnsi="Cambria"/>
          <w:sz w:val="20"/>
          <w:szCs w:val="20"/>
        </w:rPr>
        <w:t>.</w:t>
      </w:r>
      <w:r w:rsidR="00C1278F" w:rsidRPr="001D6085">
        <w:rPr>
          <w:rFonts w:ascii="Cambria" w:hAnsi="Cambria"/>
          <w:sz w:val="20"/>
          <w:szCs w:val="20"/>
        </w:rPr>
        <w:t>000 </w:t>
      </w:r>
      <w:r w:rsidRPr="001D6085">
        <w:rPr>
          <w:rFonts w:ascii="Cambria" w:hAnsi="Cambria"/>
          <w:sz w:val="20"/>
          <w:szCs w:val="20"/>
        </w:rPr>
        <w:t xml:space="preserve">t para el tiburón azul del Atlántico norte. </w:t>
      </w:r>
    </w:p>
    <w:p w14:paraId="3F0C1F3B" w14:textId="77777777" w:rsidR="007842F0" w:rsidRPr="001D6085" w:rsidRDefault="007842F0" w:rsidP="007842F0">
      <w:pPr>
        <w:pStyle w:val="ListParagraph"/>
        <w:widowControl w:val="0"/>
        <w:spacing w:after="0" w:line="240" w:lineRule="auto"/>
        <w:ind w:left="284"/>
        <w:jc w:val="both"/>
        <w:rPr>
          <w:rFonts w:ascii="Cambria" w:eastAsia="Cambria" w:hAnsi="Cambria" w:cs="Cambria"/>
          <w:sz w:val="20"/>
          <w:szCs w:val="20"/>
        </w:rPr>
      </w:pPr>
    </w:p>
    <w:p w14:paraId="54288A60" w14:textId="35501B7E" w:rsidR="00BC4836" w:rsidRPr="001D6085" w:rsidRDefault="32501FCB" w:rsidP="00CA71F2">
      <w:pPr>
        <w:pStyle w:val="ListParagraph"/>
        <w:widowControl w:val="0"/>
        <w:numPr>
          <w:ilvl w:val="0"/>
          <w:numId w:val="3"/>
        </w:numPr>
        <w:spacing w:after="0" w:line="240" w:lineRule="auto"/>
        <w:ind w:left="284" w:hanging="284"/>
        <w:jc w:val="both"/>
        <w:rPr>
          <w:rFonts w:ascii="Cambria" w:eastAsia="Cambria" w:hAnsi="Cambria" w:cs="Cambria"/>
          <w:sz w:val="20"/>
          <w:szCs w:val="20"/>
        </w:rPr>
      </w:pPr>
      <w:r w:rsidRPr="001D6085">
        <w:rPr>
          <w:rFonts w:ascii="Cambria" w:hAnsi="Cambria"/>
          <w:sz w:val="20"/>
          <w:szCs w:val="20"/>
        </w:rPr>
        <w:t>Las siguientes CPC estarán sujetas a los siguientes límites de captura</w:t>
      </w:r>
      <w:r w:rsidR="0083153E" w:rsidRPr="001D6085">
        <w:rPr>
          <w:rFonts w:ascii="Cambria" w:hAnsi="Cambria"/>
          <w:sz w:val="20"/>
          <w:szCs w:val="20"/>
        </w:rPr>
        <w:t xml:space="preserve"> anuales</w:t>
      </w:r>
      <w:r w:rsidRPr="001D6085">
        <w:rPr>
          <w:rFonts w:ascii="Cambria" w:hAnsi="Cambria"/>
          <w:sz w:val="20"/>
          <w:szCs w:val="20"/>
        </w:rPr>
        <w:t>:</w:t>
      </w:r>
    </w:p>
    <w:p w14:paraId="6E953E4F" w14:textId="77777777" w:rsidR="00FD1902" w:rsidRPr="001D6085" w:rsidRDefault="00FD1902" w:rsidP="00CA71F2">
      <w:pPr>
        <w:pStyle w:val="ListParagraph"/>
        <w:spacing w:after="0" w:line="240" w:lineRule="auto"/>
        <w:rPr>
          <w:rFonts w:ascii="Cambria" w:eastAsia="Cambria" w:hAnsi="Cambria" w:cs="Cambria"/>
          <w:sz w:val="20"/>
          <w:szCs w:val="20"/>
        </w:rPr>
      </w:pPr>
    </w:p>
    <w:tbl>
      <w:tblPr>
        <w:tblStyle w:val="TableGrid"/>
        <w:tblW w:w="3119" w:type="dxa"/>
        <w:tblInd w:w="2830" w:type="dxa"/>
        <w:tblLook w:val="04A0" w:firstRow="1" w:lastRow="0" w:firstColumn="1" w:lastColumn="0" w:noHBand="0" w:noVBand="1"/>
      </w:tblPr>
      <w:tblGrid>
        <w:gridCol w:w="1418"/>
        <w:gridCol w:w="1701"/>
      </w:tblGrid>
      <w:tr w:rsidR="00FD1902" w:rsidRPr="001D6085" w14:paraId="7A6ED441" w14:textId="77777777" w:rsidTr="00365930">
        <w:trPr>
          <w:trHeight w:val="300"/>
        </w:trPr>
        <w:tc>
          <w:tcPr>
            <w:tcW w:w="1418" w:type="dxa"/>
          </w:tcPr>
          <w:p w14:paraId="4466CA7E" w14:textId="4B8CFF5A" w:rsidR="00FD1902" w:rsidRPr="001D6085" w:rsidRDefault="32501FCB" w:rsidP="00CA71F2">
            <w:pPr>
              <w:pStyle w:val="ListParagraph"/>
              <w:ind w:left="0"/>
              <w:jc w:val="center"/>
              <w:rPr>
                <w:rFonts w:ascii="Cambria" w:eastAsia="Cambria" w:hAnsi="Cambria" w:cs="Cambria"/>
                <w:i/>
                <w:iCs/>
                <w:sz w:val="20"/>
                <w:szCs w:val="20"/>
              </w:rPr>
            </w:pPr>
            <w:r w:rsidRPr="001D6085">
              <w:rPr>
                <w:rFonts w:ascii="Cambria" w:hAnsi="Cambria"/>
                <w:i/>
                <w:iCs/>
                <w:sz w:val="20"/>
                <w:szCs w:val="20"/>
              </w:rPr>
              <w:t>CPC</w:t>
            </w:r>
          </w:p>
        </w:tc>
        <w:tc>
          <w:tcPr>
            <w:tcW w:w="1701" w:type="dxa"/>
          </w:tcPr>
          <w:p w14:paraId="36732568" w14:textId="1EF2186A" w:rsidR="00FD1902" w:rsidRPr="001D6085" w:rsidRDefault="5B512789" w:rsidP="00CA71F2">
            <w:pPr>
              <w:pStyle w:val="ListParagraph"/>
              <w:ind w:left="0"/>
              <w:jc w:val="both"/>
              <w:rPr>
                <w:rFonts w:ascii="Cambria" w:hAnsi="Cambria"/>
                <w:sz w:val="20"/>
              </w:rPr>
            </w:pPr>
            <w:r w:rsidRPr="001D6085">
              <w:rPr>
                <w:rFonts w:ascii="Cambria" w:hAnsi="Cambria"/>
                <w:sz w:val="20"/>
                <w:szCs w:val="20"/>
              </w:rPr>
              <w:t>Límite de captura</w:t>
            </w:r>
          </w:p>
        </w:tc>
      </w:tr>
      <w:tr w:rsidR="00525A62" w:rsidRPr="001D6085" w14:paraId="50B4051E" w14:textId="77777777" w:rsidTr="000C1CDE">
        <w:trPr>
          <w:trHeight w:val="300"/>
        </w:trPr>
        <w:tc>
          <w:tcPr>
            <w:tcW w:w="1418" w:type="dxa"/>
          </w:tcPr>
          <w:p w14:paraId="08D1BAC7" w14:textId="51C335C1" w:rsidR="00525A62" w:rsidRPr="001D6085" w:rsidRDefault="00525A62" w:rsidP="00525A62">
            <w:pPr>
              <w:pStyle w:val="ListParagraph"/>
              <w:ind w:left="0"/>
              <w:jc w:val="both"/>
              <w:rPr>
                <w:rFonts w:ascii="Cambria" w:eastAsia="Cambria" w:hAnsi="Cambria" w:cs="Cambria"/>
                <w:sz w:val="20"/>
                <w:szCs w:val="20"/>
              </w:rPr>
            </w:pPr>
            <w:r w:rsidRPr="001D6085">
              <w:rPr>
                <w:rFonts w:ascii="Cambria" w:hAnsi="Cambria"/>
                <w:sz w:val="20"/>
                <w:szCs w:val="20"/>
              </w:rPr>
              <w:t>UE</w:t>
            </w:r>
          </w:p>
        </w:tc>
        <w:tc>
          <w:tcPr>
            <w:tcW w:w="1701" w:type="dxa"/>
            <w:vAlign w:val="center"/>
          </w:tcPr>
          <w:p w14:paraId="70F70CD4" w14:textId="5E118AE5" w:rsidR="00525A62" w:rsidRPr="001D6085" w:rsidRDefault="00525A62" w:rsidP="00525A62">
            <w:pPr>
              <w:pStyle w:val="ListParagraph"/>
              <w:ind w:left="0"/>
              <w:jc w:val="center"/>
              <w:rPr>
                <w:rFonts w:ascii="Cambria" w:eastAsia="Cambria" w:hAnsi="Cambria" w:cs="Cambria"/>
                <w:sz w:val="20"/>
                <w:szCs w:val="20"/>
              </w:rPr>
            </w:pPr>
            <w:r w:rsidRPr="001D6085">
              <w:rPr>
                <w:rFonts w:ascii="Cambria" w:hAnsi="Cambria"/>
                <w:sz w:val="20"/>
              </w:rPr>
              <w:t xml:space="preserve"> 24.449 t*</w:t>
            </w:r>
          </w:p>
        </w:tc>
      </w:tr>
      <w:tr w:rsidR="00525A62" w:rsidRPr="001D6085" w14:paraId="500425A8" w14:textId="77777777" w:rsidTr="000C1CDE">
        <w:trPr>
          <w:trHeight w:val="300"/>
        </w:trPr>
        <w:tc>
          <w:tcPr>
            <w:tcW w:w="1418" w:type="dxa"/>
          </w:tcPr>
          <w:p w14:paraId="25354384" w14:textId="4E5ECE8C" w:rsidR="00525A62" w:rsidRPr="001D6085" w:rsidRDefault="00525A62" w:rsidP="00525A62">
            <w:pPr>
              <w:pStyle w:val="ListParagraph"/>
              <w:ind w:left="0"/>
              <w:jc w:val="both"/>
              <w:rPr>
                <w:rFonts w:ascii="Cambria" w:eastAsia="Cambria" w:hAnsi="Cambria" w:cs="Cambria"/>
                <w:sz w:val="20"/>
                <w:szCs w:val="20"/>
              </w:rPr>
            </w:pPr>
            <w:r w:rsidRPr="001D6085">
              <w:rPr>
                <w:rFonts w:ascii="Cambria" w:hAnsi="Cambria"/>
                <w:sz w:val="20"/>
                <w:szCs w:val="20"/>
              </w:rPr>
              <w:t>Japón</w:t>
            </w:r>
          </w:p>
        </w:tc>
        <w:tc>
          <w:tcPr>
            <w:tcW w:w="1701" w:type="dxa"/>
            <w:vAlign w:val="center"/>
          </w:tcPr>
          <w:p w14:paraId="076BDCD9" w14:textId="4DA2FE6A" w:rsidR="00525A62" w:rsidRPr="001D6085" w:rsidRDefault="00525A62" w:rsidP="00525A62">
            <w:pPr>
              <w:pStyle w:val="ListParagraph"/>
              <w:ind w:left="0"/>
              <w:jc w:val="center"/>
              <w:rPr>
                <w:rFonts w:ascii="Cambria" w:eastAsia="Cambria" w:hAnsi="Cambria" w:cs="Cambria"/>
                <w:sz w:val="20"/>
                <w:szCs w:val="20"/>
              </w:rPr>
            </w:pPr>
            <w:r w:rsidRPr="001D6085">
              <w:rPr>
                <w:rFonts w:ascii="Cambria" w:hAnsi="Cambria"/>
                <w:sz w:val="20"/>
              </w:rPr>
              <w:t xml:space="preserve"> 3.012 t**</w:t>
            </w:r>
          </w:p>
        </w:tc>
      </w:tr>
      <w:tr w:rsidR="00525A62" w:rsidRPr="001D6085" w14:paraId="7F1A4CCA" w14:textId="77777777" w:rsidTr="000C1CDE">
        <w:trPr>
          <w:trHeight w:val="300"/>
        </w:trPr>
        <w:tc>
          <w:tcPr>
            <w:tcW w:w="1418" w:type="dxa"/>
          </w:tcPr>
          <w:p w14:paraId="4A257A0B" w14:textId="71E11DC0" w:rsidR="00525A62" w:rsidRPr="001D6085" w:rsidRDefault="00525A62" w:rsidP="00525A62">
            <w:pPr>
              <w:pStyle w:val="ListParagraph"/>
              <w:ind w:left="0"/>
              <w:jc w:val="both"/>
              <w:rPr>
                <w:rFonts w:ascii="Cambria" w:eastAsia="Cambria" w:hAnsi="Cambria" w:cs="Cambria"/>
                <w:sz w:val="20"/>
                <w:szCs w:val="20"/>
              </w:rPr>
            </w:pPr>
            <w:r w:rsidRPr="001D6085">
              <w:rPr>
                <w:rFonts w:ascii="Cambria" w:hAnsi="Cambria"/>
                <w:sz w:val="20"/>
                <w:szCs w:val="20"/>
              </w:rPr>
              <w:t xml:space="preserve">Marruecos </w:t>
            </w:r>
          </w:p>
        </w:tc>
        <w:tc>
          <w:tcPr>
            <w:tcW w:w="1701" w:type="dxa"/>
            <w:vAlign w:val="center"/>
          </w:tcPr>
          <w:p w14:paraId="1AC7D3F0" w14:textId="073687E2" w:rsidR="00525A62" w:rsidRPr="001D6085" w:rsidRDefault="00525A62" w:rsidP="00525A62">
            <w:pPr>
              <w:pStyle w:val="ListParagraph"/>
              <w:ind w:left="0"/>
              <w:jc w:val="center"/>
              <w:rPr>
                <w:rFonts w:ascii="Cambria" w:eastAsia="Cambria" w:hAnsi="Cambria" w:cs="Cambria"/>
                <w:sz w:val="20"/>
                <w:szCs w:val="20"/>
              </w:rPr>
            </w:pPr>
            <w:r w:rsidRPr="001D6085">
              <w:rPr>
                <w:rFonts w:ascii="Cambria" w:hAnsi="Cambria"/>
                <w:sz w:val="20"/>
              </w:rPr>
              <w:t xml:space="preserve">  1.644 t***</w:t>
            </w:r>
          </w:p>
        </w:tc>
      </w:tr>
      <w:tr w:rsidR="00525A62" w:rsidRPr="001D6085" w14:paraId="37EEE769" w14:textId="77777777" w:rsidTr="000C1CDE">
        <w:trPr>
          <w:trHeight w:val="300"/>
        </w:trPr>
        <w:tc>
          <w:tcPr>
            <w:tcW w:w="1418" w:type="dxa"/>
          </w:tcPr>
          <w:p w14:paraId="6AC6B687" w14:textId="56785A77" w:rsidR="00525A62" w:rsidRPr="001D6085" w:rsidRDefault="00525A62" w:rsidP="00525A62">
            <w:pPr>
              <w:pStyle w:val="ListParagraph"/>
              <w:ind w:left="0"/>
              <w:jc w:val="both"/>
              <w:rPr>
                <w:rFonts w:ascii="Cambria" w:hAnsi="Cambria"/>
                <w:sz w:val="20"/>
                <w:szCs w:val="20"/>
              </w:rPr>
            </w:pPr>
            <w:r w:rsidRPr="001D6085">
              <w:rPr>
                <w:rFonts w:ascii="Cambria" w:hAnsi="Cambria"/>
                <w:sz w:val="20"/>
                <w:szCs w:val="20"/>
              </w:rPr>
              <w:t>Reino Unido</w:t>
            </w:r>
          </w:p>
        </w:tc>
        <w:tc>
          <w:tcPr>
            <w:tcW w:w="1701" w:type="dxa"/>
            <w:vAlign w:val="center"/>
          </w:tcPr>
          <w:p w14:paraId="6455501A" w14:textId="08F3BD08" w:rsidR="00525A62" w:rsidRPr="001D6085" w:rsidRDefault="00525A62" w:rsidP="00525A62">
            <w:pPr>
              <w:pStyle w:val="ListParagraph"/>
              <w:ind w:left="0"/>
              <w:jc w:val="center"/>
              <w:rPr>
                <w:rFonts w:ascii="Cambria" w:hAnsi="Cambria"/>
                <w:sz w:val="20"/>
                <w:szCs w:val="20"/>
              </w:rPr>
            </w:pPr>
            <w:r w:rsidRPr="001D6085">
              <w:rPr>
                <w:rFonts w:ascii="Cambria" w:hAnsi="Cambria"/>
                <w:sz w:val="20"/>
              </w:rPr>
              <w:t xml:space="preserve"> 25 t</w:t>
            </w:r>
          </w:p>
        </w:tc>
      </w:tr>
    </w:tbl>
    <w:p w14:paraId="7F27B463" w14:textId="1E0444C8" w:rsidR="00525A62" w:rsidRPr="001D6085" w:rsidRDefault="00525A62" w:rsidP="00525A62">
      <w:pPr>
        <w:spacing w:after="0" w:line="240" w:lineRule="auto"/>
        <w:ind w:right="139"/>
        <w:jc w:val="both"/>
        <w:rPr>
          <w:rFonts w:ascii="Cambria" w:eastAsia="Cambria" w:hAnsi="Cambria" w:cs="Cambria"/>
          <w:sz w:val="16"/>
          <w:szCs w:val="16"/>
        </w:rPr>
      </w:pPr>
      <w:r w:rsidRPr="001D6085">
        <w:rPr>
          <w:rFonts w:ascii="Cambria" w:eastAsia="Cambria" w:hAnsi="Cambria" w:cs="Cambria"/>
          <w:sz w:val="16"/>
          <w:szCs w:val="16"/>
        </w:rPr>
        <w:t>*Esto tiene en cuenta una transferencia anual de 348 t a Marruecos hasta la próxima evaluación del stock de tiburón azul del Atlántico norte por parte del SCRS</w:t>
      </w:r>
      <w:r w:rsidR="00F445D9" w:rsidRPr="001D6085">
        <w:rPr>
          <w:rFonts w:ascii="Cambria" w:eastAsia="Cambria" w:hAnsi="Cambria" w:cs="Cambria"/>
          <w:sz w:val="16"/>
          <w:szCs w:val="16"/>
        </w:rPr>
        <w:t>,</w:t>
      </w:r>
      <w:r w:rsidRPr="001D6085">
        <w:rPr>
          <w:rFonts w:ascii="Cambria" w:eastAsia="Cambria" w:hAnsi="Cambria" w:cs="Cambria"/>
          <w:sz w:val="16"/>
          <w:szCs w:val="16"/>
        </w:rPr>
        <w:t xml:space="preserve"> y se entiende sin perjuicio de futuras discusiones sobre asignaciones.</w:t>
      </w:r>
    </w:p>
    <w:p w14:paraId="43F53B06" w14:textId="77777777" w:rsidR="00F445D9" w:rsidRPr="001D6085" w:rsidRDefault="00F445D9" w:rsidP="00525A62">
      <w:pPr>
        <w:spacing w:after="0" w:line="240" w:lineRule="auto"/>
        <w:ind w:right="139"/>
        <w:jc w:val="both"/>
        <w:rPr>
          <w:rFonts w:ascii="Cambria" w:eastAsia="Cambria" w:hAnsi="Cambria" w:cs="Cambria"/>
          <w:sz w:val="16"/>
          <w:szCs w:val="16"/>
        </w:rPr>
      </w:pPr>
    </w:p>
    <w:p w14:paraId="0757DD22" w14:textId="77E1E140" w:rsidR="00525A62" w:rsidRPr="001D6085" w:rsidRDefault="00525A62" w:rsidP="00525A62">
      <w:pPr>
        <w:tabs>
          <w:tab w:val="left" w:pos="6804"/>
        </w:tabs>
        <w:spacing w:after="0" w:line="240" w:lineRule="auto"/>
        <w:ind w:right="139"/>
        <w:jc w:val="both"/>
        <w:rPr>
          <w:rFonts w:ascii="Cambria" w:eastAsia="Cambria" w:hAnsi="Cambria" w:cs="Cambria"/>
          <w:sz w:val="16"/>
          <w:szCs w:val="16"/>
        </w:rPr>
      </w:pPr>
      <w:r w:rsidRPr="001D6085">
        <w:rPr>
          <w:rFonts w:ascii="Cambria" w:eastAsia="Cambria" w:hAnsi="Cambria" w:cs="Cambria"/>
          <w:sz w:val="16"/>
          <w:szCs w:val="16"/>
        </w:rPr>
        <w:t>**Esto tiene en cuenta una transferencia anual de 43 t a Marruecos hasta la próxima evaluación del stock de tiburón azul del Atlántico norte por parte del SCRS y se entiende sin perjuicio de futuras discusiones sobre asignaciones.</w:t>
      </w:r>
    </w:p>
    <w:p w14:paraId="63EF03C9" w14:textId="77777777" w:rsidR="00F445D9" w:rsidRPr="001D6085" w:rsidRDefault="00F445D9" w:rsidP="00525A62">
      <w:pPr>
        <w:tabs>
          <w:tab w:val="left" w:pos="6804"/>
        </w:tabs>
        <w:spacing w:after="0" w:line="240" w:lineRule="auto"/>
        <w:ind w:right="139"/>
        <w:jc w:val="both"/>
        <w:rPr>
          <w:rFonts w:ascii="Cambria" w:eastAsia="Cambria" w:hAnsi="Cambria" w:cs="Cambria"/>
          <w:sz w:val="16"/>
          <w:szCs w:val="16"/>
        </w:rPr>
      </w:pPr>
    </w:p>
    <w:p w14:paraId="0842326D" w14:textId="03AE4600" w:rsidR="00FD1902" w:rsidRPr="001D6085" w:rsidRDefault="00525A62" w:rsidP="00525A62">
      <w:pPr>
        <w:spacing w:after="0" w:line="240" w:lineRule="auto"/>
        <w:ind w:right="-2"/>
        <w:jc w:val="both"/>
        <w:rPr>
          <w:rFonts w:ascii="Cambria" w:eastAsia="Cambria" w:hAnsi="Cambria" w:cs="Cambria"/>
          <w:sz w:val="16"/>
          <w:szCs w:val="16"/>
        </w:rPr>
      </w:pPr>
      <w:r w:rsidRPr="001D6085">
        <w:rPr>
          <w:rFonts w:ascii="Cambria" w:eastAsia="Cambria" w:hAnsi="Cambria" w:cs="Cambria"/>
          <w:sz w:val="16"/>
          <w:szCs w:val="16"/>
        </w:rPr>
        <w:t>***</w:t>
      </w:r>
      <w:r w:rsidR="00A24E83" w:rsidRPr="001D6085">
        <w:rPr>
          <w:rFonts w:ascii="Cambria" w:eastAsia="Cambria" w:hAnsi="Cambria" w:cs="Cambria"/>
          <w:sz w:val="16"/>
          <w:szCs w:val="16"/>
        </w:rPr>
        <w:t>Esto incluye las transferencias</w:t>
      </w:r>
      <w:r w:rsidR="005C7866" w:rsidRPr="001D6085">
        <w:rPr>
          <w:rFonts w:ascii="Cambria" w:eastAsia="Cambria" w:hAnsi="Cambria" w:cs="Cambria"/>
          <w:sz w:val="16"/>
          <w:szCs w:val="16"/>
        </w:rPr>
        <w:t xml:space="preserve"> anuales</w:t>
      </w:r>
      <w:r w:rsidR="00A24E83" w:rsidRPr="001D6085">
        <w:rPr>
          <w:rFonts w:ascii="Cambria" w:eastAsia="Cambria" w:hAnsi="Cambria" w:cs="Cambria"/>
          <w:sz w:val="16"/>
          <w:szCs w:val="16"/>
        </w:rPr>
        <w:t xml:space="preserve"> de 348 t de la UE y 43 t de Japón hasta la próxima evaluación de stock de tiburón azul del Atlántico norte por parte del SCRS, y se entiende sin perjuicio de futuras discusiones sobre asignaciones.</w:t>
      </w:r>
    </w:p>
    <w:p w14:paraId="2FF59D1A" w14:textId="77777777" w:rsidR="00CA71F2" w:rsidRPr="001D6085" w:rsidRDefault="00CA71F2" w:rsidP="00CA71F2">
      <w:pPr>
        <w:pStyle w:val="ListParagraph"/>
        <w:spacing w:after="0" w:line="240" w:lineRule="auto"/>
        <w:ind w:left="780"/>
        <w:jc w:val="both"/>
        <w:rPr>
          <w:rFonts w:ascii="Cambria" w:eastAsia="Cambria" w:hAnsi="Cambria" w:cs="Cambria"/>
          <w:sz w:val="20"/>
          <w:szCs w:val="20"/>
        </w:rPr>
      </w:pPr>
    </w:p>
    <w:p w14:paraId="6A66A279" w14:textId="12FB2835" w:rsidR="007D1CB6" w:rsidRPr="001D6085" w:rsidRDefault="32501FCB" w:rsidP="00CA71F2">
      <w:pPr>
        <w:pStyle w:val="ListParagraph"/>
        <w:widowControl w:val="0"/>
        <w:numPr>
          <w:ilvl w:val="0"/>
          <w:numId w:val="3"/>
        </w:numPr>
        <w:spacing w:after="0" w:line="240" w:lineRule="auto"/>
        <w:ind w:left="284" w:hanging="284"/>
        <w:jc w:val="both"/>
        <w:rPr>
          <w:rFonts w:ascii="Cambria" w:eastAsia="Cambria" w:hAnsi="Cambria" w:cs="Cambria"/>
          <w:sz w:val="20"/>
          <w:szCs w:val="20"/>
        </w:rPr>
      </w:pPr>
      <w:r w:rsidRPr="001D6085">
        <w:rPr>
          <w:rFonts w:ascii="Cambria" w:hAnsi="Cambria"/>
          <w:sz w:val="20"/>
          <w:szCs w:val="20"/>
        </w:rPr>
        <w:t xml:space="preserve">Todas las demás CPC </w:t>
      </w:r>
      <w:r w:rsidR="00E724B6" w:rsidRPr="001D6085">
        <w:rPr>
          <w:rFonts w:ascii="Cambria" w:hAnsi="Cambria"/>
          <w:sz w:val="20"/>
          <w:szCs w:val="20"/>
        </w:rPr>
        <w:t xml:space="preserve">se esforzarán por mantener </w:t>
      </w:r>
      <w:r w:rsidRPr="001D6085">
        <w:rPr>
          <w:rFonts w:ascii="Cambria" w:hAnsi="Cambria"/>
          <w:sz w:val="20"/>
          <w:szCs w:val="20"/>
        </w:rPr>
        <w:t xml:space="preserve">sus capturas por </w:t>
      </w:r>
      <w:r w:rsidR="00E724B6" w:rsidRPr="001D6085">
        <w:rPr>
          <w:rFonts w:ascii="Cambria" w:hAnsi="Cambria"/>
          <w:sz w:val="20"/>
          <w:szCs w:val="20"/>
        </w:rPr>
        <w:t xml:space="preserve">debajo del nivel </w:t>
      </w:r>
      <w:r w:rsidR="00C1278F" w:rsidRPr="001D6085">
        <w:rPr>
          <w:rFonts w:ascii="Cambria" w:hAnsi="Cambria"/>
          <w:sz w:val="20"/>
          <w:szCs w:val="20"/>
        </w:rPr>
        <w:t xml:space="preserve">de sus capturas </w:t>
      </w:r>
      <w:r w:rsidR="00E724B6" w:rsidRPr="001D6085">
        <w:rPr>
          <w:rFonts w:ascii="Cambria" w:hAnsi="Cambria"/>
          <w:sz w:val="20"/>
          <w:szCs w:val="20"/>
        </w:rPr>
        <w:t>anual</w:t>
      </w:r>
      <w:r w:rsidR="00C1278F" w:rsidRPr="001D6085">
        <w:rPr>
          <w:rFonts w:ascii="Cambria" w:hAnsi="Cambria"/>
          <w:sz w:val="20"/>
          <w:szCs w:val="20"/>
        </w:rPr>
        <w:t>es</w:t>
      </w:r>
      <w:r w:rsidR="00E724B6" w:rsidRPr="001D6085">
        <w:rPr>
          <w:rFonts w:ascii="Cambria" w:hAnsi="Cambria"/>
          <w:sz w:val="20"/>
          <w:szCs w:val="20"/>
        </w:rPr>
        <w:t xml:space="preserve"> más </w:t>
      </w:r>
      <w:r w:rsidR="00010AEC" w:rsidRPr="001D6085">
        <w:rPr>
          <w:rFonts w:ascii="Cambria" w:hAnsi="Cambria"/>
          <w:sz w:val="20"/>
          <w:szCs w:val="20"/>
        </w:rPr>
        <w:t>elevad</w:t>
      </w:r>
      <w:r w:rsidR="00C1278F" w:rsidRPr="001D6085">
        <w:rPr>
          <w:rFonts w:ascii="Cambria" w:hAnsi="Cambria"/>
          <w:sz w:val="20"/>
          <w:szCs w:val="20"/>
        </w:rPr>
        <w:t>as</w:t>
      </w:r>
      <w:r w:rsidR="00E724B6" w:rsidRPr="001D6085">
        <w:rPr>
          <w:rFonts w:ascii="Cambria" w:hAnsi="Cambria"/>
          <w:sz w:val="20"/>
          <w:szCs w:val="20"/>
        </w:rPr>
        <w:t xml:space="preserve"> de los últimos </w:t>
      </w:r>
      <w:r w:rsidR="00C1278F" w:rsidRPr="001D6085">
        <w:rPr>
          <w:rFonts w:ascii="Cambria" w:hAnsi="Cambria"/>
          <w:sz w:val="20"/>
          <w:szCs w:val="20"/>
        </w:rPr>
        <w:t xml:space="preserve">diez </w:t>
      </w:r>
      <w:r w:rsidR="00E724B6" w:rsidRPr="001D6085">
        <w:rPr>
          <w:rFonts w:ascii="Cambria" w:hAnsi="Cambria"/>
          <w:sz w:val="20"/>
          <w:szCs w:val="20"/>
        </w:rPr>
        <w:t>años</w:t>
      </w:r>
      <w:r w:rsidRPr="001D6085">
        <w:rPr>
          <w:rFonts w:ascii="Cambria" w:hAnsi="Cambria"/>
          <w:sz w:val="20"/>
          <w:szCs w:val="20"/>
        </w:rPr>
        <w:t>.</w:t>
      </w:r>
    </w:p>
    <w:p w14:paraId="10CB016C" w14:textId="6731A732" w:rsidR="709F3E0B" w:rsidRPr="001D6085" w:rsidRDefault="709F3E0B" w:rsidP="00CA71F2">
      <w:pPr>
        <w:spacing w:after="0" w:line="240" w:lineRule="auto"/>
        <w:rPr>
          <w:rFonts w:ascii="Cambria" w:eastAsia="Cambria" w:hAnsi="Cambria" w:cs="Cambria"/>
          <w:sz w:val="20"/>
          <w:szCs w:val="20"/>
        </w:rPr>
      </w:pPr>
    </w:p>
    <w:p w14:paraId="161B706E" w14:textId="65E5AD22" w:rsidR="16757BA1" w:rsidRPr="001D6085" w:rsidRDefault="6E00B893" w:rsidP="00551AB2">
      <w:pPr>
        <w:pStyle w:val="ListParagraph"/>
        <w:widowControl w:val="0"/>
        <w:numPr>
          <w:ilvl w:val="0"/>
          <w:numId w:val="3"/>
        </w:numPr>
        <w:spacing w:after="0" w:line="240" w:lineRule="auto"/>
        <w:ind w:left="284" w:hanging="284"/>
        <w:jc w:val="both"/>
        <w:rPr>
          <w:rFonts w:ascii="Cambria" w:eastAsia="Cambria" w:hAnsi="Cambria" w:cs="Cambria"/>
          <w:sz w:val="20"/>
          <w:szCs w:val="20"/>
        </w:rPr>
      </w:pPr>
      <w:r w:rsidRPr="001D6085">
        <w:rPr>
          <w:rFonts w:ascii="Cambria" w:hAnsi="Cambria"/>
          <w:sz w:val="20"/>
          <w:szCs w:val="20"/>
        </w:rPr>
        <w:t xml:space="preserve">a) </w:t>
      </w:r>
      <w:r w:rsidR="00551AB2" w:rsidRPr="001D6085">
        <w:rPr>
          <w:rFonts w:ascii="Cambria" w:hAnsi="Cambria"/>
          <w:sz w:val="20"/>
          <w:szCs w:val="20"/>
        </w:rPr>
        <w:tab/>
      </w:r>
      <w:r w:rsidRPr="001D6085">
        <w:rPr>
          <w:rFonts w:ascii="Cambria" w:hAnsi="Cambria"/>
          <w:sz w:val="20"/>
          <w:szCs w:val="20"/>
        </w:rPr>
        <w:t xml:space="preserve">Toda cantidad </w:t>
      </w:r>
      <w:r w:rsidR="00C1278F" w:rsidRPr="001D6085">
        <w:rPr>
          <w:rFonts w:ascii="Cambria" w:hAnsi="Cambria"/>
          <w:sz w:val="20"/>
          <w:szCs w:val="20"/>
        </w:rPr>
        <w:t>capturada</w:t>
      </w:r>
      <w:r w:rsidRPr="001D6085">
        <w:rPr>
          <w:rFonts w:ascii="Cambria" w:hAnsi="Cambria"/>
          <w:sz w:val="20"/>
          <w:szCs w:val="20"/>
        </w:rPr>
        <w:t xml:space="preserve"> que supere los límites anuales de </w:t>
      </w:r>
      <w:r w:rsidR="00C1278F" w:rsidRPr="001D6085">
        <w:rPr>
          <w:rFonts w:ascii="Cambria" w:hAnsi="Cambria"/>
          <w:sz w:val="20"/>
          <w:szCs w:val="20"/>
        </w:rPr>
        <w:t xml:space="preserve">captura </w:t>
      </w:r>
      <w:r w:rsidRPr="001D6085">
        <w:rPr>
          <w:rFonts w:ascii="Cambria" w:hAnsi="Cambria"/>
          <w:sz w:val="20"/>
          <w:szCs w:val="20"/>
        </w:rPr>
        <w:t xml:space="preserve">establecidos en el </w:t>
      </w:r>
      <w:r w:rsidR="00551AB2" w:rsidRPr="001D6085">
        <w:rPr>
          <w:rFonts w:ascii="Cambria" w:hAnsi="Cambria"/>
          <w:sz w:val="20"/>
          <w:szCs w:val="20"/>
        </w:rPr>
        <w:tab/>
      </w:r>
      <w:r w:rsidRPr="001D6085">
        <w:rPr>
          <w:rFonts w:ascii="Cambria" w:hAnsi="Cambria"/>
          <w:sz w:val="20"/>
          <w:szCs w:val="20"/>
        </w:rPr>
        <w:t xml:space="preserve">párrafo 3 se deducirá de los respectivos límites de </w:t>
      </w:r>
      <w:r w:rsidR="00C1278F" w:rsidRPr="001D6085">
        <w:rPr>
          <w:rFonts w:ascii="Cambria" w:hAnsi="Cambria"/>
          <w:sz w:val="20"/>
          <w:szCs w:val="20"/>
        </w:rPr>
        <w:t xml:space="preserve">captura </w:t>
      </w:r>
      <w:r w:rsidRPr="001D6085">
        <w:rPr>
          <w:rFonts w:ascii="Cambria" w:hAnsi="Cambria"/>
          <w:sz w:val="20"/>
          <w:szCs w:val="20"/>
        </w:rPr>
        <w:t xml:space="preserve">durante el año de ajuste o antes </w:t>
      </w:r>
      <w:r w:rsidR="00551AB2" w:rsidRPr="001D6085">
        <w:rPr>
          <w:rFonts w:ascii="Cambria" w:hAnsi="Cambria"/>
          <w:sz w:val="20"/>
          <w:szCs w:val="20"/>
        </w:rPr>
        <w:tab/>
      </w:r>
      <w:r w:rsidRPr="001D6085">
        <w:rPr>
          <w:rFonts w:ascii="Cambria" w:hAnsi="Cambria"/>
          <w:sz w:val="20"/>
          <w:szCs w:val="20"/>
        </w:rPr>
        <w:t>de</w:t>
      </w:r>
      <w:r w:rsidR="00DE114B" w:rsidRPr="001D6085">
        <w:rPr>
          <w:rFonts w:ascii="Cambria" w:hAnsi="Cambria"/>
          <w:sz w:val="20"/>
          <w:szCs w:val="20"/>
        </w:rPr>
        <w:t> </w:t>
      </w:r>
      <w:r w:rsidRPr="001D6085">
        <w:rPr>
          <w:rFonts w:ascii="Cambria" w:hAnsi="Cambria"/>
          <w:sz w:val="20"/>
          <w:szCs w:val="20"/>
        </w:rPr>
        <w:t xml:space="preserve">este, de la siguiente manera: </w:t>
      </w:r>
    </w:p>
    <w:p w14:paraId="19BB297C" w14:textId="77777777" w:rsidR="00010AEC" w:rsidRPr="001D6085" w:rsidRDefault="00010AEC" w:rsidP="00010AEC">
      <w:pPr>
        <w:pStyle w:val="ListParagraph"/>
        <w:widowControl w:val="0"/>
        <w:spacing w:after="0" w:line="240" w:lineRule="auto"/>
        <w:ind w:left="284"/>
        <w:jc w:val="both"/>
        <w:rPr>
          <w:rFonts w:ascii="Cambria" w:eastAsia="Cambria" w:hAnsi="Cambria" w:cs="Cambria"/>
          <w:sz w:val="20"/>
          <w:szCs w:val="20"/>
        </w:rPr>
      </w:pPr>
    </w:p>
    <w:tbl>
      <w:tblPr>
        <w:tblStyle w:val="TableGrid"/>
        <w:tblW w:w="0" w:type="auto"/>
        <w:tblInd w:w="2175" w:type="dxa"/>
        <w:tblLook w:val="04A0" w:firstRow="1" w:lastRow="0" w:firstColumn="1" w:lastColumn="0" w:noHBand="0" w:noVBand="1"/>
      </w:tblPr>
      <w:tblGrid>
        <w:gridCol w:w="2378"/>
        <w:gridCol w:w="2329"/>
      </w:tblGrid>
      <w:tr w:rsidR="709F3E0B" w:rsidRPr="001D6085" w14:paraId="5C58B9B7" w14:textId="77777777" w:rsidTr="00A24E83">
        <w:trPr>
          <w:trHeight w:val="300"/>
        </w:trPr>
        <w:tc>
          <w:tcPr>
            <w:tcW w:w="2378" w:type="dxa"/>
          </w:tcPr>
          <w:p w14:paraId="65436202" w14:textId="7ECD01E1" w:rsidR="709F3E0B" w:rsidRPr="001D6085" w:rsidRDefault="709F3E0B" w:rsidP="00462400">
            <w:pPr>
              <w:pStyle w:val="ListParagraph"/>
              <w:ind w:left="0"/>
              <w:jc w:val="center"/>
              <w:rPr>
                <w:rFonts w:ascii="Cambria" w:eastAsia="Cambria" w:hAnsi="Cambria" w:cs="Cambria"/>
                <w:i/>
                <w:iCs/>
                <w:sz w:val="20"/>
                <w:szCs w:val="20"/>
              </w:rPr>
            </w:pPr>
            <w:r w:rsidRPr="001D6085">
              <w:rPr>
                <w:rFonts w:ascii="Cambria" w:hAnsi="Cambria"/>
                <w:i/>
                <w:iCs/>
                <w:sz w:val="20"/>
                <w:szCs w:val="20"/>
              </w:rPr>
              <w:t>Año de captura</w:t>
            </w:r>
          </w:p>
        </w:tc>
        <w:tc>
          <w:tcPr>
            <w:tcW w:w="2329" w:type="dxa"/>
          </w:tcPr>
          <w:p w14:paraId="01C37BDE" w14:textId="3DCB9FE8" w:rsidR="709F3E0B" w:rsidRPr="001D6085" w:rsidRDefault="709F3E0B" w:rsidP="00462400">
            <w:pPr>
              <w:pStyle w:val="ListParagraph"/>
              <w:ind w:left="0"/>
              <w:jc w:val="center"/>
              <w:rPr>
                <w:rFonts w:ascii="Cambria" w:eastAsia="Cambria" w:hAnsi="Cambria" w:cs="Cambria"/>
                <w:i/>
                <w:iCs/>
                <w:sz w:val="20"/>
                <w:szCs w:val="20"/>
              </w:rPr>
            </w:pPr>
            <w:r w:rsidRPr="001D6085">
              <w:rPr>
                <w:rFonts w:ascii="Cambria" w:hAnsi="Cambria"/>
                <w:i/>
                <w:iCs/>
                <w:sz w:val="20"/>
                <w:szCs w:val="20"/>
              </w:rPr>
              <w:t>Año de ajuste</w:t>
            </w:r>
          </w:p>
        </w:tc>
      </w:tr>
      <w:tr w:rsidR="709F3E0B" w:rsidRPr="001D6085" w14:paraId="73737ED9" w14:textId="77777777" w:rsidTr="00A24E83">
        <w:trPr>
          <w:trHeight w:val="300"/>
        </w:trPr>
        <w:tc>
          <w:tcPr>
            <w:tcW w:w="2378" w:type="dxa"/>
          </w:tcPr>
          <w:p w14:paraId="2CBD4E97" w14:textId="79E262DE" w:rsidR="709F3E0B" w:rsidRPr="001D6085" w:rsidRDefault="709F3E0B" w:rsidP="00462400">
            <w:pPr>
              <w:pStyle w:val="ListParagraph"/>
              <w:ind w:left="0"/>
              <w:jc w:val="center"/>
              <w:rPr>
                <w:rFonts w:ascii="Cambria" w:eastAsia="Cambria" w:hAnsi="Cambria" w:cs="Cambria"/>
                <w:sz w:val="20"/>
                <w:szCs w:val="20"/>
              </w:rPr>
            </w:pPr>
            <w:r w:rsidRPr="001D6085">
              <w:rPr>
                <w:rFonts w:ascii="Cambria" w:hAnsi="Cambria"/>
                <w:sz w:val="20"/>
                <w:szCs w:val="20"/>
              </w:rPr>
              <w:t>2024</w:t>
            </w:r>
          </w:p>
        </w:tc>
        <w:tc>
          <w:tcPr>
            <w:tcW w:w="2329" w:type="dxa"/>
          </w:tcPr>
          <w:p w14:paraId="7626E29C" w14:textId="1C9CE07D" w:rsidR="709F3E0B" w:rsidRPr="001D6085" w:rsidRDefault="709F3E0B" w:rsidP="00462400">
            <w:pPr>
              <w:pStyle w:val="ListParagraph"/>
              <w:ind w:left="0"/>
              <w:jc w:val="center"/>
              <w:rPr>
                <w:rFonts w:ascii="Cambria" w:eastAsia="Cambria" w:hAnsi="Cambria" w:cs="Cambria"/>
                <w:sz w:val="20"/>
                <w:szCs w:val="20"/>
              </w:rPr>
            </w:pPr>
            <w:r w:rsidRPr="001D6085">
              <w:rPr>
                <w:rFonts w:ascii="Cambria" w:hAnsi="Cambria"/>
                <w:sz w:val="20"/>
                <w:szCs w:val="20"/>
              </w:rPr>
              <w:t>2026</w:t>
            </w:r>
          </w:p>
        </w:tc>
      </w:tr>
      <w:tr w:rsidR="709F3E0B" w:rsidRPr="001D6085" w14:paraId="37B35A53" w14:textId="77777777" w:rsidTr="00A24E83">
        <w:trPr>
          <w:trHeight w:val="300"/>
        </w:trPr>
        <w:tc>
          <w:tcPr>
            <w:tcW w:w="2378" w:type="dxa"/>
          </w:tcPr>
          <w:p w14:paraId="0495E3F8" w14:textId="51F49EF0" w:rsidR="709F3E0B" w:rsidRPr="001D6085" w:rsidRDefault="709F3E0B" w:rsidP="00462400">
            <w:pPr>
              <w:pStyle w:val="ListParagraph"/>
              <w:ind w:left="0"/>
              <w:jc w:val="center"/>
              <w:rPr>
                <w:rFonts w:ascii="Cambria" w:eastAsia="Cambria" w:hAnsi="Cambria" w:cs="Cambria"/>
                <w:sz w:val="20"/>
                <w:szCs w:val="20"/>
              </w:rPr>
            </w:pPr>
            <w:r w:rsidRPr="001D6085">
              <w:rPr>
                <w:rFonts w:ascii="Cambria" w:hAnsi="Cambria"/>
                <w:sz w:val="20"/>
                <w:szCs w:val="20"/>
              </w:rPr>
              <w:t>2025</w:t>
            </w:r>
          </w:p>
        </w:tc>
        <w:tc>
          <w:tcPr>
            <w:tcW w:w="2329" w:type="dxa"/>
          </w:tcPr>
          <w:p w14:paraId="30663E56" w14:textId="3734357A" w:rsidR="709F3E0B" w:rsidRPr="001D6085" w:rsidRDefault="709F3E0B" w:rsidP="00462400">
            <w:pPr>
              <w:pStyle w:val="ListParagraph"/>
              <w:ind w:left="0"/>
              <w:jc w:val="center"/>
              <w:rPr>
                <w:rFonts w:ascii="Cambria" w:eastAsia="Cambria" w:hAnsi="Cambria" w:cs="Cambria"/>
                <w:sz w:val="20"/>
                <w:szCs w:val="20"/>
              </w:rPr>
            </w:pPr>
            <w:r w:rsidRPr="001D6085">
              <w:rPr>
                <w:rFonts w:ascii="Cambria" w:hAnsi="Cambria"/>
                <w:sz w:val="20"/>
                <w:szCs w:val="20"/>
              </w:rPr>
              <w:t>2027</w:t>
            </w:r>
          </w:p>
        </w:tc>
      </w:tr>
      <w:tr w:rsidR="709F3E0B" w:rsidRPr="001D6085" w14:paraId="22810B0D" w14:textId="77777777" w:rsidTr="00A24E83">
        <w:trPr>
          <w:trHeight w:val="300"/>
        </w:trPr>
        <w:tc>
          <w:tcPr>
            <w:tcW w:w="2378" w:type="dxa"/>
          </w:tcPr>
          <w:p w14:paraId="5F1A3DA3" w14:textId="3728D409" w:rsidR="709F3E0B" w:rsidRPr="001D6085" w:rsidRDefault="709F3E0B" w:rsidP="00462400">
            <w:pPr>
              <w:pStyle w:val="ListParagraph"/>
              <w:ind w:left="0"/>
              <w:jc w:val="center"/>
              <w:rPr>
                <w:rFonts w:ascii="Cambria" w:eastAsia="Cambria" w:hAnsi="Cambria" w:cs="Cambria"/>
                <w:sz w:val="20"/>
                <w:szCs w:val="20"/>
              </w:rPr>
            </w:pPr>
            <w:r w:rsidRPr="001D6085">
              <w:rPr>
                <w:rFonts w:ascii="Cambria" w:hAnsi="Cambria"/>
                <w:sz w:val="20"/>
                <w:szCs w:val="20"/>
              </w:rPr>
              <w:t>2026</w:t>
            </w:r>
          </w:p>
        </w:tc>
        <w:tc>
          <w:tcPr>
            <w:tcW w:w="2329" w:type="dxa"/>
          </w:tcPr>
          <w:p w14:paraId="7D902188" w14:textId="7B4FABB6" w:rsidR="709F3E0B" w:rsidRPr="001D6085" w:rsidRDefault="709F3E0B" w:rsidP="00462400">
            <w:pPr>
              <w:pStyle w:val="ListParagraph"/>
              <w:ind w:left="0"/>
              <w:jc w:val="center"/>
              <w:rPr>
                <w:rFonts w:ascii="Cambria" w:eastAsia="Cambria" w:hAnsi="Cambria" w:cs="Cambria"/>
                <w:sz w:val="20"/>
                <w:szCs w:val="20"/>
              </w:rPr>
            </w:pPr>
            <w:r w:rsidRPr="001D6085">
              <w:rPr>
                <w:rFonts w:ascii="Cambria" w:hAnsi="Cambria"/>
                <w:sz w:val="20"/>
                <w:szCs w:val="20"/>
              </w:rPr>
              <w:t>2028</w:t>
            </w:r>
          </w:p>
        </w:tc>
      </w:tr>
      <w:tr w:rsidR="709F3E0B" w:rsidRPr="001D6085" w14:paraId="1BB97670" w14:textId="77777777" w:rsidTr="00A24E83">
        <w:trPr>
          <w:trHeight w:val="300"/>
        </w:trPr>
        <w:tc>
          <w:tcPr>
            <w:tcW w:w="2378" w:type="dxa"/>
          </w:tcPr>
          <w:p w14:paraId="63156AD5" w14:textId="29FF0DE3" w:rsidR="709F3E0B" w:rsidRPr="001D6085" w:rsidRDefault="709F3E0B" w:rsidP="00462400">
            <w:pPr>
              <w:pStyle w:val="ListParagraph"/>
              <w:ind w:left="0"/>
              <w:jc w:val="center"/>
              <w:rPr>
                <w:rFonts w:ascii="Cambria" w:eastAsia="Cambria" w:hAnsi="Cambria" w:cs="Cambria"/>
                <w:sz w:val="20"/>
                <w:szCs w:val="20"/>
              </w:rPr>
            </w:pPr>
            <w:r w:rsidRPr="001D6085">
              <w:rPr>
                <w:rFonts w:ascii="Cambria" w:hAnsi="Cambria"/>
                <w:sz w:val="20"/>
                <w:szCs w:val="20"/>
              </w:rPr>
              <w:t>2027</w:t>
            </w:r>
          </w:p>
        </w:tc>
        <w:tc>
          <w:tcPr>
            <w:tcW w:w="2329" w:type="dxa"/>
          </w:tcPr>
          <w:p w14:paraId="100A4677" w14:textId="56D5E0D6" w:rsidR="709F3E0B" w:rsidRPr="001D6085" w:rsidRDefault="709F3E0B" w:rsidP="00462400">
            <w:pPr>
              <w:pStyle w:val="ListParagraph"/>
              <w:ind w:left="0"/>
              <w:jc w:val="center"/>
              <w:rPr>
                <w:rFonts w:ascii="Cambria" w:eastAsia="Cambria" w:hAnsi="Cambria" w:cs="Cambria"/>
                <w:sz w:val="20"/>
                <w:szCs w:val="20"/>
              </w:rPr>
            </w:pPr>
            <w:r w:rsidRPr="001D6085">
              <w:rPr>
                <w:rFonts w:ascii="Cambria" w:hAnsi="Cambria"/>
                <w:sz w:val="20"/>
                <w:szCs w:val="20"/>
              </w:rPr>
              <w:t>2029</w:t>
            </w:r>
          </w:p>
        </w:tc>
      </w:tr>
      <w:tr w:rsidR="709F3E0B" w:rsidRPr="001D6085" w14:paraId="6F6BE032" w14:textId="77777777" w:rsidTr="00A24E83">
        <w:trPr>
          <w:trHeight w:val="300"/>
        </w:trPr>
        <w:tc>
          <w:tcPr>
            <w:tcW w:w="2378" w:type="dxa"/>
          </w:tcPr>
          <w:p w14:paraId="376290CB" w14:textId="1E8F5826" w:rsidR="709F3E0B" w:rsidRPr="001D6085" w:rsidRDefault="709F3E0B" w:rsidP="00462400">
            <w:pPr>
              <w:pStyle w:val="ListParagraph"/>
              <w:ind w:left="0"/>
              <w:jc w:val="center"/>
              <w:rPr>
                <w:rFonts w:ascii="Cambria" w:eastAsia="Cambria" w:hAnsi="Cambria" w:cs="Cambria"/>
                <w:sz w:val="20"/>
                <w:szCs w:val="20"/>
              </w:rPr>
            </w:pPr>
            <w:r w:rsidRPr="001D6085">
              <w:rPr>
                <w:rFonts w:ascii="Cambria" w:hAnsi="Cambria"/>
                <w:sz w:val="20"/>
                <w:szCs w:val="20"/>
              </w:rPr>
              <w:t>2028</w:t>
            </w:r>
          </w:p>
        </w:tc>
        <w:tc>
          <w:tcPr>
            <w:tcW w:w="2329" w:type="dxa"/>
          </w:tcPr>
          <w:p w14:paraId="619E66C9" w14:textId="278B6DFF" w:rsidR="709F3E0B" w:rsidRPr="001D6085" w:rsidRDefault="709F3E0B" w:rsidP="00462400">
            <w:pPr>
              <w:pStyle w:val="ListParagraph"/>
              <w:ind w:left="0"/>
              <w:jc w:val="center"/>
              <w:rPr>
                <w:rFonts w:ascii="Cambria" w:eastAsia="Cambria" w:hAnsi="Cambria" w:cs="Cambria"/>
                <w:sz w:val="20"/>
                <w:szCs w:val="20"/>
              </w:rPr>
            </w:pPr>
            <w:r w:rsidRPr="001D6085">
              <w:rPr>
                <w:rFonts w:ascii="Cambria" w:hAnsi="Cambria"/>
                <w:sz w:val="20"/>
                <w:szCs w:val="20"/>
              </w:rPr>
              <w:t>2030</w:t>
            </w:r>
          </w:p>
        </w:tc>
      </w:tr>
      <w:tr w:rsidR="709F3E0B" w:rsidRPr="001D6085" w14:paraId="28D1D076" w14:textId="77777777" w:rsidTr="00A24E83">
        <w:trPr>
          <w:trHeight w:val="300"/>
        </w:trPr>
        <w:tc>
          <w:tcPr>
            <w:tcW w:w="2378" w:type="dxa"/>
          </w:tcPr>
          <w:p w14:paraId="6503DA73" w14:textId="457E504F" w:rsidR="709F3E0B" w:rsidRPr="001D6085" w:rsidRDefault="709F3E0B" w:rsidP="00462400">
            <w:pPr>
              <w:pStyle w:val="ListParagraph"/>
              <w:ind w:left="0"/>
              <w:jc w:val="center"/>
              <w:rPr>
                <w:rFonts w:ascii="Cambria" w:eastAsia="Cambria" w:hAnsi="Cambria" w:cs="Cambria"/>
                <w:sz w:val="20"/>
                <w:szCs w:val="20"/>
              </w:rPr>
            </w:pPr>
            <w:r w:rsidRPr="001D6085">
              <w:rPr>
                <w:rFonts w:ascii="Cambria" w:hAnsi="Cambria"/>
                <w:sz w:val="20"/>
                <w:szCs w:val="20"/>
              </w:rPr>
              <w:t>2029</w:t>
            </w:r>
          </w:p>
        </w:tc>
        <w:tc>
          <w:tcPr>
            <w:tcW w:w="2329" w:type="dxa"/>
          </w:tcPr>
          <w:p w14:paraId="4FBDAE43" w14:textId="44F97350" w:rsidR="709F3E0B" w:rsidRPr="001D6085" w:rsidRDefault="709F3E0B" w:rsidP="00462400">
            <w:pPr>
              <w:pStyle w:val="ListParagraph"/>
              <w:ind w:left="0"/>
              <w:jc w:val="center"/>
              <w:rPr>
                <w:rFonts w:ascii="Cambria" w:eastAsia="Cambria" w:hAnsi="Cambria" w:cs="Cambria"/>
                <w:sz w:val="20"/>
                <w:szCs w:val="20"/>
              </w:rPr>
            </w:pPr>
            <w:r w:rsidRPr="001D6085">
              <w:rPr>
                <w:rFonts w:ascii="Cambria" w:hAnsi="Cambria"/>
                <w:sz w:val="20"/>
                <w:szCs w:val="20"/>
              </w:rPr>
              <w:t>2031</w:t>
            </w:r>
          </w:p>
        </w:tc>
      </w:tr>
    </w:tbl>
    <w:p w14:paraId="2319B0E3" w14:textId="6DD6C261" w:rsidR="16757BA1" w:rsidRPr="001D6085" w:rsidRDefault="16757BA1" w:rsidP="00CA71F2">
      <w:pPr>
        <w:spacing w:after="0" w:line="240" w:lineRule="auto"/>
        <w:rPr>
          <w:rFonts w:ascii="Cambria" w:eastAsia="Cambria" w:hAnsi="Cambria" w:cs="Cambria"/>
          <w:sz w:val="20"/>
          <w:szCs w:val="20"/>
        </w:rPr>
      </w:pPr>
    </w:p>
    <w:p w14:paraId="702A809F" w14:textId="77777777" w:rsidR="00816713" w:rsidRPr="001D6085" w:rsidRDefault="00816713" w:rsidP="00CA71F2">
      <w:pPr>
        <w:spacing w:after="0" w:line="240" w:lineRule="auto"/>
        <w:rPr>
          <w:rFonts w:ascii="Cambria" w:eastAsia="Cambria" w:hAnsi="Cambria" w:cs="Cambria"/>
          <w:sz w:val="20"/>
          <w:szCs w:val="20"/>
        </w:rPr>
      </w:pPr>
    </w:p>
    <w:p w14:paraId="69603AC0" w14:textId="77777777" w:rsidR="001959B0" w:rsidRPr="001D6085" w:rsidRDefault="34BC201A" w:rsidP="001959B0">
      <w:pPr>
        <w:widowControl w:val="0"/>
        <w:spacing w:after="0" w:line="240" w:lineRule="auto"/>
        <w:ind w:left="567" w:hanging="425"/>
        <w:jc w:val="both"/>
        <w:rPr>
          <w:rFonts w:ascii="Cambria" w:hAnsi="Cambria"/>
          <w:sz w:val="20"/>
          <w:szCs w:val="20"/>
        </w:rPr>
      </w:pPr>
      <w:r w:rsidRPr="001D6085">
        <w:rPr>
          <w:rFonts w:ascii="Cambria" w:hAnsi="Cambria"/>
          <w:sz w:val="20"/>
          <w:szCs w:val="20"/>
        </w:rPr>
        <w:t>b)</w:t>
      </w:r>
      <w:r w:rsidR="00551AB2" w:rsidRPr="001D6085">
        <w:rPr>
          <w:rFonts w:ascii="Cambria" w:hAnsi="Cambria"/>
          <w:sz w:val="20"/>
          <w:szCs w:val="20"/>
        </w:rPr>
        <w:tab/>
      </w:r>
      <w:r w:rsidRPr="001D6085">
        <w:rPr>
          <w:rFonts w:ascii="Cambria" w:hAnsi="Cambria"/>
          <w:sz w:val="20"/>
          <w:szCs w:val="20"/>
        </w:rPr>
        <w:t xml:space="preserve"> </w:t>
      </w:r>
      <w:r w:rsidR="00551AB2" w:rsidRPr="001D6085">
        <w:rPr>
          <w:rFonts w:ascii="Cambria" w:hAnsi="Cambria"/>
          <w:sz w:val="20"/>
          <w:szCs w:val="20"/>
        </w:rPr>
        <w:t xml:space="preserve">No </w:t>
      </w:r>
      <w:r w:rsidRPr="001D6085">
        <w:rPr>
          <w:rFonts w:ascii="Cambria" w:hAnsi="Cambria"/>
          <w:sz w:val="20"/>
          <w:szCs w:val="20"/>
        </w:rPr>
        <w:t xml:space="preserve">obstante el </w:t>
      </w:r>
      <w:r w:rsidR="00CA71F2" w:rsidRPr="001D6085">
        <w:rPr>
          <w:rFonts w:ascii="Cambria" w:hAnsi="Cambria"/>
          <w:sz w:val="20"/>
          <w:szCs w:val="20"/>
        </w:rPr>
        <w:t>subpárrafo (</w:t>
      </w:r>
      <w:r w:rsidRPr="001D6085">
        <w:rPr>
          <w:rFonts w:ascii="Cambria" w:hAnsi="Cambria"/>
          <w:sz w:val="20"/>
          <w:szCs w:val="20"/>
        </w:rPr>
        <w:t xml:space="preserve">a), si cualquier CPC supera su límite de </w:t>
      </w:r>
      <w:r w:rsidR="00C1278F" w:rsidRPr="001D6085">
        <w:rPr>
          <w:rFonts w:ascii="Cambria" w:hAnsi="Cambria"/>
          <w:sz w:val="20"/>
          <w:szCs w:val="20"/>
        </w:rPr>
        <w:t xml:space="preserve">captura </w:t>
      </w:r>
      <w:r w:rsidR="00CA71F2" w:rsidRPr="001D6085">
        <w:rPr>
          <w:rFonts w:ascii="Cambria" w:hAnsi="Cambria"/>
          <w:sz w:val="20"/>
          <w:szCs w:val="20"/>
        </w:rPr>
        <w:t>durante</w:t>
      </w:r>
      <w:r w:rsidRPr="001D6085">
        <w:rPr>
          <w:rFonts w:ascii="Cambria" w:hAnsi="Cambria"/>
          <w:sz w:val="20"/>
          <w:szCs w:val="20"/>
        </w:rPr>
        <w:t xml:space="preserve"> dos años consecutivos cualesquiera, su límite de </w:t>
      </w:r>
      <w:r w:rsidR="00C1278F" w:rsidRPr="001D6085">
        <w:rPr>
          <w:rFonts w:ascii="Cambria" w:hAnsi="Cambria"/>
          <w:sz w:val="20"/>
          <w:szCs w:val="20"/>
        </w:rPr>
        <w:t xml:space="preserve">captura </w:t>
      </w:r>
      <w:r w:rsidRPr="001D6085">
        <w:rPr>
          <w:rFonts w:ascii="Cambria" w:hAnsi="Cambria"/>
          <w:sz w:val="20"/>
          <w:szCs w:val="20"/>
        </w:rPr>
        <w:t xml:space="preserve">se reducirá </w:t>
      </w:r>
      <w:r w:rsidR="00551AB2" w:rsidRPr="001D6085">
        <w:rPr>
          <w:rFonts w:ascii="Cambria" w:hAnsi="Cambria"/>
          <w:sz w:val="20"/>
          <w:szCs w:val="20"/>
        </w:rPr>
        <w:t xml:space="preserve">en </w:t>
      </w:r>
      <w:r w:rsidRPr="001D6085">
        <w:rPr>
          <w:rFonts w:ascii="Cambria" w:hAnsi="Cambria"/>
          <w:sz w:val="20"/>
          <w:szCs w:val="20"/>
        </w:rPr>
        <w:t>un 125 % del exceso de captura</w:t>
      </w:r>
      <w:r w:rsidR="00462400" w:rsidRPr="001D6085">
        <w:rPr>
          <w:rFonts w:ascii="Cambria" w:hAnsi="Cambria"/>
          <w:sz w:val="20"/>
          <w:szCs w:val="20"/>
        </w:rPr>
        <w:t xml:space="preserve"> del segundo año</w:t>
      </w:r>
      <w:r w:rsidRPr="001D6085">
        <w:rPr>
          <w:rFonts w:ascii="Cambria" w:hAnsi="Cambria"/>
          <w:sz w:val="20"/>
          <w:szCs w:val="20"/>
        </w:rPr>
        <w:t xml:space="preserve"> y la Comisión podrá recomendar acciones adicionales, cuando proceda.</w:t>
      </w:r>
    </w:p>
    <w:p w14:paraId="38AE0C51" w14:textId="77777777" w:rsidR="001959B0" w:rsidRPr="001D6085" w:rsidRDefault="001959B0" w:rsidP="001959B0">
      <w:pPr>
        <w:widowControl w:val="0"/>
        <w:spacing w:after="0" w:line="240" w:lineRule="auto"/>
        <w:ind w:left="567" w:hanging="425"/>
        <w:jc w:val="both"/>
        <w:rPr>
          <w:rFonts w:ascii="Cambria" w:hAnsi="Cambria"/>
          <w:sz w:val="20"/>
          <w:szCs w:val="20"/>
        </w:rPr>
      </w:pPr>
    </w:p>
    <w:p w14:paraId="2614D6A1" w14:textId="7367D2EE" w:rsidR="001959B0" w:rsidRPr="001D6085" w:rsidRDefault="001959B0" w:rsidP="001959B0">
      <w:pPr>
        <w:widowControl w:val="0"/>
        <w:spacing w:after="0" w:line="240" w:lineRule="auto"/>
        <w:ind w:left="567" w:hanging="425"/>
        <w:jc w:val="both"/>
        <w:rPr>
          <w:rFonts w:ascii="Cambria" w:hAnsi="Cambria"/>
          <w:sz w:val="20"/>
          <w:szCs w:val="20"/>
        </w:rPr>
      </w:pPr>
      <w:r w:rsidRPr="001D6085">
        <w:rPr>
          <w:rFonts w:ascii="Cambria" w:eastAsia="Cambria" w:hAnsi="Cambria" w:cs="Cambria"/>
          <w:sz w:val="20"/>
          <w:szCs w:val="20"/>
        </w:rPr>
        <w:t>c)</w:t>
      </w:r>
      <w:r w:rsidRPr="001D6085">
        <w:rPr>
          <w:rFonts w:ascii="Cambria" w:eastAsia="Cambria" w:hAnsi="Cambria" w:cs="Cambria"/>
          <w:sz w:val="20"/>
          <w:szCs w:val="20"/>
        </w:rPr>
        <w:tab/>
        <w:t xml:space="preserve">Si en cualquier año las capturas totales de </w:t>
      </w:r>
      <w:r w:rsidR="00FD0C6B" w:rsidRPr="001D6085">
        <w:rPr>
          <w:rFonts w:ascii="Cambria" w:eastAsia="Cambria" w:hAnsi="Cambria" w:cs="Cambria"/>
          <w:sz w:val="20"/>
          <w:szCs w:val="20"/>
        </w:rPr>
        <w:t xml:space="preserve">tiburón azul </w:t>
      </w:r>
      <w:r w:rsidRPr="001D6085">
        <w:rPr>
          <w:rFonts w:ascii="Cambria" w:eastAsia="Cambria" w:hAnsi="Cambria" w:cs="Cambria"/>
          <w:sz w:val="20"/>
          <w:szCs w:val="20"/>
        </w:rPr>
        <w:t xml:space="preserve">del Atlántico norte superan el TAC, la Comisión revisará la </w:t>
      </w:r>
      <w:r w:rsidR="00F01FA4" w:rsidRPr="001D6085">
        <w:rPr>
          <w:rFonts w:ascii="Cambria" w:eastAsia="Cambria" w:hAnsi="Cambria" w:cs="Cambria"/>
          <w:sz w:val="20"/>
          <w:szCs w:val="20"/>
        </w:rPr>
        <w:t>implementación</w:t>
      </w:r>
      <w:r w:rsidRPr="001D6085">
        <w:rPr>
          <w:rFonts w:ascii="Cambria" w:eastAsia="Cambria" w:hAnsi="Cambria" w:cs="Cambria"/>
          <w:sz w:val="20"/>
          <w:szCs w:val="20"/>
        </w:rPr>
        <w:t xml:space="preserve"> de estas medidas.</w:t>
      </w:r>
    </w:p>
    <w:p w14:paraId="091C43AF" w14:textId="77777777" w:rsidR="00551AB2" w:rsidRPr="001D6085" w:rsidRDefault="00551AB2" w:rsidP="00551AB2">
      <w:pPr>
        <w:spacing w:after="0" w:line="240" w:lineRule="auto"/>
        <w:rPr>
          <w:rFonts w:ascii="Cambria" w:hAnsi="Cambria"/>
          <w:b/>
          <w:bCs/>
          <w:i/>
          <w:iCs/>
          <w:sz w:val="20"/>
          <w:szCs w:val="20"/>
        </w:rPr>
      </w:pPr>
    </w:p>
    <w:p w14:paraId="1BC03486" w14:textId="5CC56DBC" w:rsidR="00BC4836" w:rsidRPr="001D6085" w:rsidRDefault="00BC4836" w:rsidP="00551AB2">
      <w:pPr>
        <w:spacing w:after="0" w:line="240" w:lineRule="auto"/>
        <w:rPr>
          <w:rFonts w:ascii="Cambria" w:eastAsia="Cambria" w:hAnsi="Cambria" w:cs="Cambria"/>
          <w:b/>
          <w:bCs/>
          <w:sz w:val="20"/>
          <w:szCs w:val="20"/>
        </w:rPr>
      </w:pPr>
      <w:r w:rsidRPr="001D6085">
        <w:rPr>
          <w:rFonts w:ascii="Cambria" w:hAnsi="Cambria"/>
          <w:b/>
          <w:bCs/>
          <w:sz w:val="20"/>
          <w:szCs w:val="20"/>
        </w:rPr>
        <w:t xml:space="preserve">Consignación, comunicación y uso de la información sobre captura  </w:t>
      </w:r>
    </w:p>
    <w:p w14:paraId="1FD7FE39" w14:textId="77777777" w:rsidR="00CA71F2" w:rsidRPr="001D6085" w:rsidRDefault="00CA71F2" w:rsidP="00CA71F2">
      <w:pPr>
        <w:pStyle w:val="ListParagraph"/>
        <w:spacing w:after="0" w:line="240" w:lineRule="auto"/>
        <w:ind w:left="284"/>
        <w:rPr>
          <w:rFonts w:ascii="Cambria" w:eastAsia="Cambria" w:hAnsi="Cambria" w:cs="Cambria"/>
          <w:b/>
          <w:bCs/>
          <w:i/>
          <w:iCs/>
          <w:sz w:val="20"/>
          <w:szCs w:val="20"/>
        </w:rPr>
      </w:pPr>
    </w:p>
    <w:p w14:paraId="530D0E6B" w14:textId="1058DC12" w:rsidR="00BC4836" w:rsidRPr="001D6085" w:rsidRDefault="438DB588" w:rsidP="00CA71F2">
      <w:pPr>
        <w:pStyle w:val="ListParagraph"/>
        <w:widowControl w:val="0"/>
        <w:numPr>
          <w:ilvl w:val="0"/>
          <w:numId w:val="3"/>
        </w:numPr>
        <w:spacing w:after="0" w:line="240" w:lineRule="auto"/>
        <w:ind w:left="284" w:hanging="284"/>
        <w:jc w:val="both"/>
        <w:rPr>
          <w:rFonts w:ascii="Cambria" w:eastAsia="Cambria" w:hAnsi="Cambria" w:cs="Cambria"/>
          <w:sz w:val="20"/>
          <w:szCs w:val="20"/>
        </w:rPr>
      </w:pPr>
      <w:r w:rsidRPr="001D6085">
        <w:rPr>
          <w:rFonts w:ascii="Cambria" w:hAnsi="Cambria"/>
          <w:sz w:val="20"/>
          <w:szCs w:val="20"/>
        </w:rPr>
        <w:t>Cada CPC se asegurará de</w:t>
      </w:r>
      <w:r w:rsidR="00551AB2" w:rsidRPr="001D6085">
        <w:rPr>
          <w:rFonts w:ascii="Cambria" w:hAnsi="Cambria"/>
          <w:sz w:val="20"/>
          <w:szCs w:val="20"/>
        </w:rPr>
        <w:t xml:space="preserve"> que</w:t>
      </w:r>
      <w:r w:rsidRPr="001D6085">
        <w:rPr>
          <w:rFonts w:ascii="Cambria" w:hAnsi="Cambria"/>
          <w:sz w:val="20"/>
          <w:szCs w:val="20"/>
        </w:rPr>
        <w:t xml:space="preserve"> </w:t>
      </w:r>
      <w:r w:rsidR="00A07501">
        <w:rPr>
          <w:rFonts w:ascii="Cambria" w:hAnsi="Cambria"/>
          <w:sz w:val="20"/>
          <w:szCs w:val="20"/>
        </w:rPr>
        <w:t>todos sus buques que capturan</w:t>
      </w:r>
      <w:r w:rsidRPr="001D6085">
        <w:rPr>
          <w:rFonts w:ascii="Cambria" w:hAnsi="Cambria"/>
          <w:sz w:val="20"/>
          <w:szCs w:val="20"/>
        </w:rPr>
        <w:t xml:space="preserve"> tiburón azul del Atlántico norte en asociación con pesquerías de ICCAT en la zona del Convenio consignan</w:t>
      </w:r>
      <w:r w:rsidR="00A07501">
        <w:rPr>
          <w:rFonts w:ascii="Cambria" w:hAnsi="Cambria"/>
          <w:sz w:val="20"/>
          <w:szCs w:val="20"/>
        </w:rPr>
        <w:t xml:space="preserve"> sus capturas </w:t>
      </w:r>
      <w:r w:rsidRPr="001D6085">
        <w:rPr>
          <w:rFonts w:ascii="Cambria" w:hAnsi="Cambria"/>
          <w:sz w:val="20"/>
          <w:szCs w:val="20"/>
        </w:rPr>
        <w:t xml:space="preserve">de conformidad con </w:t>
      </w:r>
      <w:r w:rsidRPr="001D6085">
        <w:rPr>
          <w:rFonts w:ascii="Cambria" w:hAnsi="Cambria"/>
          <w:sz w:val="20"/>
          <w:szCs w:val="20"/>
        </w:rPr>
        <w:lastRenderedPageBreak/>
        <w:t xml:space="preserve">los requisitos establecidos en la </w:t>
      </w:r>
      <w:r w:rsidRPr="001D6085">
        <w:rPr>
          <w:rFonts w:ascii="Cambria" w:hAnsi="Cambria"/>
          <w:i/>
          <w:iCs/>
          <w:sz w:val="20"/>
          <w:szCs w:val="20"/>
        </w:rPr>
        <w:t>Recomendación de ICCAT sobre el registro de capturas realizadas por barcos en la zona del Convenio ICCAT</w:t>
      </w:r>
      <w:r w:rsidRPr="001D6085">
        <w:rPr>
          <w:rFonts w:ascii="Cambria" w:hAnsi="Cambria"/>
          <w:sz w:val="20"/>
          <w:szCs w:val="20"/>
        </w:rPr>
        <w:t xml:space="preserve"> (Rec. 03-13). </w:t>
      </w:r>
    </w:p>
    <w:p w14:paraId="0FB0C21F" w14:textId="2C2E8E17" w:rsidR="030F1738" w:rsidRPr="001D6085" w:rsidRDefault="030F1738" w:rsidP="00CA71F2">
      <w:pPr>
        <w:spacing w:after="0" w:line="240" w:lineRule="auto"/>
        <w:jc w:val="both"/>
        <w:rPr>
          <w:rFonts w:ascii="Cambria" w:eastAsia="Cambria" w:hAnsi="Cambria" w:cs="Cambria"/>
          <w:sz w:val="20"/>
          <w:szCs w:val="20"/>
        </w:rPr>
      </w:pPr>
    </w:p>
    <w:p w14:paraId="220EACF7" w14:textId="432670F9" w:rsidR="00BC4836" w:rsidRPr="001D6085" w:rsidRDefault="00CA71F2" w:rsidP="00CA71F2">
      <w:pPr>
        <w:pStyle w:val="ListParagraph"/>
        <w:widowControl w:val="0"/>
        <w:numPr>
          <w:ilvl w:val="0"/>
          <w:numId w:val="3"/>
        </w:numPr>
        <w:spacing w:after="0" w:line="240" w:lineRule="auto"/>
        <w:ind w:left="284" w:hanging="284"/>
        <w:jc w:val="both"/>
        <w:rPr>
          <w:rFonts w:ascii="Cambria" w:eastAsia="Cambria" w:hAnsi="Cambria" w:cs="Cambria"/>
          <w:sz w:val="20"/>
          <w:szCs w:val="20"/>
        </w:rPr>
      </w:pPr>
      <w:r w:rsidRPr="001D6085">
        <w:rPr>
          <w:rFonts w:ascii="Cambria" w:hAnsi="Cambria"/>
          <w:sz w:val="20"/>
          <w:szCs w:val="20"/>
        </w:rPr>
        <w:t xml:space="preserve">Las CPC implementarán programas de recopilación de datos que garanticen la comunicación a ICCAT de datos precisos de captura, esfuerzo, talla y descartes de </w:t>
      </w:r>
      <w:r w:rsidR="00462400" w:rsidRPr="001D6085">
        <w:rPr>
          <w:rFonts w:ascii="Cambria" w:hAnsi="Cambria"/>
          <w:sz w:val="20"/>
          <w:szCs w:val="20"/>
        </w:rPr>
        <w:t>tiburón azul</w:t>
      </w:r>
      <w:r w:rsidRPr="001D6085">
        <w:rPr>
          <w:rFonts w:ascii="Cambria" w:hAnsi="Cambria"/>
          <w:sz w:val="20"/>
          <w:szCs w:val="20"/>
        </w:rPr>
        <w:t xml:space="preserve"> del Atlántico norte de plena conformidad con los requisitos de ICCAT para la presentación de datos de Tarea 1 y Tarea 2.</w:t>
      </w:r>
    </w:p>
    <w:p w14:paraId="06EDECE2" w14:textId="77777777" w:rsidR="00CA71F2" w:rsidRPr="001D6085" w:rsidRDefault="00CA71F2" w:rsidP="00CA71F2">
      <w:pPr>
        <w:pStyle w:val="ListParagraph"/>
        <w:spacing w:after="0" w:line="240" w:lineRule="auto"/>
        <w:rPr>
          <w:rFonts w:ascii="Cambria" w:eastAsia="Cambria" w:hAnsi="Cambria" w:cs="Cambria"/>
          <w:sz w:val="20"/>
          <w:szCs w:val="20"/>
        </w:rPr>
      </w:pPr>
    </w:p>
    <w:p w14:paraId="754C9790" w14:textId="29224823" w:rsidR="00D641B4" w:rsidRPr="001D6085" w:rsidRDefault="7C74ADF8" w:rsidP="00CA71F2">
      <w:pPr>
        <w:pStyle w:val="ListParagraph"/>
        <w:widowControl w:val="0"/>
        <w:numPr>
          <w:ilvl w:val="0"/>
          <w:numId w:val="3"/>
        </w:numPr>
        <w:spacing w:after="0" w:line="240" w:lineRule="auto"/>
        <w:ind w:left="284" w:hanging="284"/>
        <w:jc w:val="both"/>
        <w:rPr>
          <w:rFonts w:ascii="Cambria" w:hAnsi="Cambria"/>
          <w:sz w:val="20"/>
        </w:rPr>
      </w:pPr>
      <w:r w:rsidRPr="001D6085">
        <w:rPr>
          <w:rFonts w:ascii="Cambria" w:hAnsi="Cambria"/>
          <w:sz w:val="20"/>
          <w:szCs w:val="20"/>
        </w:rPr>
        <w:t>En los casos en que no se retenga tiburón azul del Atlántico norte, las CPC harán todos los esfuerzos razonables para que los ejemplares capturados de forma fortuita en las pesquerías de ICCAT sean liberados ilesos y lo antes posible. Las CPC comunicarán a la Secretaría de ICCAT, de conformidad con los requisitos de comunicación de datos de ICCAT, el número de ejemplares liberados, incluyendo su estado en el momento de la liberación (es decir, descartes muertos y liberaciones vivas).</w:t>
      </w:r>
    </w:p>
    <w:p w14:paraId="49781FC0" w14:textId="605615B4" w:rsidR="16757BA1" w:rsidRPr="001D6085" w:rsidRDefault="16757BA1" w:rsidP="00CA71F2">
      <w:pPr>
        <w:spacing w:after="0" w:line="240" w:lineRule="auto"/>
        <w:jc w:val="both"/>
        <w:rPr>
          <w:rFonts w:ascii="Cambria" w:eastAsia="Cambria" w:hAnsi="Cambria" w:cs="Cambria"/>
          <w:sz w:val="20"/>
          <w:szCs w:val="20"/>
        </w:rPr>
      </w:pPr>
    </w:p>
    <w:p w14:paraId="2E0A6EF2" w14:textId="3F9CA6AE" w:rsidR="00BC4836" w:rsidRPr="001D6085" w:rsidRDefault="54E92F44" w:rsidP="00CA71F2">
      <w:pPr>
        <w:pStyle w:val="ListParagraph"/>
        <w:widowControl w:val="0"/>
        <w:numPr>
          <w:ilvl w:val="0"/>
          <w:numId w:val="3"/>
        </w:numPr>
        <w:spacing w:after="0" w:line="240" w:lineRule="auto"/>
        <w:ind w:left="284" w:hanging="284"/>
        <w:jc w:val="both"/>
        <w:rPr>
          <w:rFonts w:ascii="Cambria" w:eastAsia="Cambria" w:hAnsi="Cambria" w:cs="Cambria"/>
          <w:sz w:val="20"/>
          <w:szCs w:val="20"/>
        </w:rPr>
      </w:pPr>
      <w:r w:rsidRPr="001D6085">
        <w:rPr>
          <w:rFonts w:ascii="Cambria" w:hAnsi="Cambria"/>
          <w:sz w:val="20"/>
          <w:szCs w:val="20"/>
        </w:rPr>
        <w:t>Las CPC incluirán en sus “Hojas de control de cumplimento de las medidas relacionadas con los tiburones”, presentadas a ICCAT de conformidad con la Recomendación 18-06, información sobre las acciones emprendidas a nivel interno para llevar a cabo un seguimiento de las capturas y para la conservación y ordenación</w:t>
      </w:r>
      <w:r w:rsidR="00CA71F2" w:rsidRPr="001D6085">
        <w:rPr>
          <w:rFonts w:ascii="Cambria" w:hAnsi="Cambria"/>
          <w:sz w:val="20"/>
          <w:szCs w:val="20"/>
        </w:rPr>
        <w:t xml:space="preserve"> sostenible</w:t>
      </w:r>
      <w:r w:rsidRPr="001D6085">
        <w:rPr>
          <w:rFonts w:ascii="Cambria" w:hAnsi="Cambria"/>
          <w:sz w:val="20"/>
          <w:szCs w:val="20"/>
        </w:rPr>
        <w:t xml:space="preserve"> de</w:t>
      </w:r>
      <w:r w:rsidR="00D95D24" w:rsidRPr="001D6085">
        <w:rPr>
          <w:rFonts w:ascii="Cambria" w:hAnsi="Cambria"/>
          <w:sz w:val="20"/>
          <w:szCs w:val="20"/>
        </w:rPr>
        <w:t xml:space="preserve">l tiburón azul </w:t>
      </w:r>
      <w:r w:rsidRPr="001D6085">
        <w:rPr>
          <w:rFonts w:ascii="Cambria" w:hAnsi="Cambria"/>
          <w:sz w:val="20"/>
          <w:szCs w:val="20"/>
        </w:rPr>
        <w:t>del Atlántico norte.</w:t>
      </w:r>
    </w:p>
    <w:p w14:paraId="034603F6" w14:textId="77777777" w:rsidR="00CA71F2" w:rsidRPr="001D6085" w:rsidRDefault="00CA71F2" w:rsidP="00CA71F2">
      <w:pPr>
        <w:pStyle w:val="ListParagraph"/>
        <w:spacing w:after="0" w:line="240" w:lineRule="auto"/>
        <w:rPr>
          <w:rFonts w:ascii="Cambria" w:eastAsia="Cambria" w:hAnsi="Cambria" w:cs="Cambria"/>
          <w:sz w:val="20"/>
          <w:szCs w:val="20"/>
        </w:rPr>
      </w:pPr>
    </w:p>
    <w:p w14:paraId="47262CC2" w14:textId="6D47E771" w:rsidR="00BC4836" w:rsidRPr="001D6085" w:rsidRDefault="00BC4836" w:rsidP="00CA71F2">
      <w:pPr>
        <w:spacing w:after="0" w:line="240" w:lineRule="auto"/>
        <w:rPr>
          <w:rFonts w:ascii="Cambria" w:hAnsi="Cambria"/>
          <w:b/>
          <w:bCs/>
          <w:sz w:val="20"/>
          <w:szCs w:val="20"/>
        </w:rPr>
      </w:pPr>
      <w:r w:rsidRPr="001D6085">
        <w:rPr>
          <w:rFonts w:ascii="Cambria" w:hAnsi="Cambria"/>
          <w:b/>
          <w:bCs/>
          <w:sz w:val="20"/>
          <w:szCs w:val="20"/>
        </w:rPr>
        <w:t xml:space="preserve">Investigación científica  </w:t>
      </w:r>
    </w:p>
    <w:p w14:paraId="7B3064E0" w14:textId="77777777" w:rsidR="00462400" w:rsidRPr="001D6085" w:rsidRDefault="00462400" w:rsidP="00CA71F2">
      <w:pPr>
        <w:spacing w:after="0" w:line="240" w:lineRule="auto"/>
        <w:rPr>
          <w:rFonts w:ascii="Cambria" w:eastAsia="Cambria" w:hAnsi="Cambria" w:cs="Cambria"/>
          <w:b/>
          <w:bCs/>
          <w:sz w:val="20"/>
          <w:szCs w:val="20"/>
        </w:rPr>
      </w:pPr>
    </w:p>
    <w:p w14:paraId="0F009035" w14:textId="1C707C9E" w:rsidR="00BC4836" w:rsidRPr="001D6085" w:rsidRDefault="438DB588" w:rsidP="00CA71F2">
      <w:pPr>
        <w:pStyle w:val="ListParagraph"/>
        <w:numPr>
          <w:ilvl w:val="0"/>
          <w:numId w:val="3"/>
        </w:numPr>
        <w:spacing w:after="0" w:line="240" w:lineRule="auto"/>
        <w:ind w:left="426"/>
        <w:jc w:val="both"/>
        <w:rPr>
          <w:rFonts w:ascii="Cambria" w:eastAsia="Cambria" w:hAnsi="Cambria" w:cs="Cambria"/>
          <w:sz w:val="20"/>
          <w:szCs w:val="20"/>
        </w:rPr>
      </w:pPr>
      <w:r w:rsidRPr="001D6085">
        <w:rPr>
          <w:rFonts w:ascii="Cambria" w:hAnsi="Cambria"/>
          <w:sz w:val="20"/>
          <w:szCs w:val="20"/>
        </w:rPr>
        <w:t>Se insta a las CPC a emprender trabajos de investigación</w:t>
      </w:r>
      <w:r w:rsidR="00257B1A" w:rsidRPr="001D6085">
        <w:rPr>
          <w:rFonts w:ascii="Cambria" w:hAnsi="Cambria"/>
          <w:sz w:val="20"/>
          <w:szCs w:val="20"/>
        </w:rPr>
        <w:t xml:space="preserve"> científicos</w:t>
      </w:r>
      <w:r w:rsidRPr="001D6085">
        <w:rPr>
          <w:rFonts w:ascii="Cambria" w:hAnsi="Cambria"/>
          <w:sz w:val="20"/>
          <w:szCs w:val="20"/>
        </w:rPr>
        <w:t xml:space="preserve"> que proporcionen información sobre parámetros ecológicos/biológicos clave, ciclo vital, migraciones, supervivencia tras la liberación y características de conducta de</w:t>
      </w:r>
      <w:r w:rsidR="00462400" w:rsidRPr="001D6085">
        <w:rPr>
          <w:rFonts w:ascii="Cambria" w:hAnsi="Cambria"/>
          <w:sz w:val="20"/>
          <w:szCs w:val="20"/>
        </w:rPr>
        <w:t>l tiburón azul</w:t>
      </w:r>
      <w:r w:rsidRPr="001D6085">
        <w:rPr>
          <w:rFonts w:ascii="Cambria" w:hAnsi="Cambria"/>
          <w:sz w:val="20"/>
          <w:szCs w:val="20"/>
        </w:rPr>
        <w:t xml:space="preserve">. Dicha información se pondrá a disposición del SCRS.  </w:t>
      </w:r>
    </w:p>
    <w:p w14:paraId="23A90CC9" w14:textId="77777777" w:rsidR="00BC4836" w:rsidRPr="001D6085" w:rsidRDefault="00BC4836" w:rsidP="00CA71F2">
      <w:pPr>
        <w:pStyle w:val="ListParagraph"/>
        <w:spacing w:after="0" w:line="240" w:lineRule="auto"/>
        <w:jc w:val="both"/>
        <w:rPr>
          <w:rFonts w:ascii="Cambria" w:eastAsia="Cambria" w:hAnsi="Cambria" w:cs="Cambria"/>
          <w:sz w:val="20"/>
          <w:szCs w:val="20"/>
        </w:rPr>
      </w:pPr>
    </w:p>
    <w:bookmarkEnd w:id="2"/>
    <w:p w14:paraId="0F172A5E" w14:textId="55031C6D" w:rsidR="00885E93" w:rsidRPr="001D6085" w:rsidRDefault="77F1B88C" w:rsidP="00CA71F2">
      <w:pPr>
        <w:pStyle w:val="ListParagraph"/>
        <w:numPr>
          <w:ilvl w:val="0"/>
          <w:numId w:val="3"/>
        </w:numPr>
        <w:spacing w:after="0" w:line="240" w:lineRule="auto"/>
        <w:ind w:left="426"/>
        <w:jc w:val="both"/>
        <w:rPr>
          <w:rFonts w:ascii="Cambria" w:hAnsi="Cambria"/>
          <w:sz w:val="20"/>
        </w:rPr>
      </w:pPr>
      <w:r w:rsidRPr="001D6085">
        <w:rPr>
          <w:rFonts w:ascii="Cambria" w:hAnsi="Cambria"/>
          <w:sz w:val="20"/>
          <w:szCs w:val="20"/>
        </w:rPr>
        <w:t>Siguiendo</w:t>
      </w:r>
      <w:r w:rsidRPr="001D6085">
        <w:rPr>
          <w:rFonts w:ascii="Cambria" w:hAnsi="Cambria"/>
          <w:sz w:val="20"/>
        </w:rPr>
        <w:t xml:space="preserve"> la tarea encomendada en la Recomendación 19-07, el SCRS informará a la Comisión, antes de </w:t>
      </w:r>
      <w:r w:rsidR="00F74C75" w:rsidRPr="001D6085">
        <w:rPr>
          <w:rFonts w:ascii="Cambria" w:hAnsi="Cambria"/>
          <w:sz w:val="20"/>
        </w:rPr>
        <w:t>2025</w:t>
      </w:r>
      <w:r w:rsidRPr="001D6085">
        <w:rPr>
          <w:rFonts w:ascii="Cambria" w:hAnsi="Cambria"/>
          <w:sz w:val="20"/>
        </w:rPr>
        <w:t xml:space="preserve">, sobre la viabilidad, </w:t>
      </w:r>
      <w:r w:rsidR="00E724B6" w:rsidRPr="001D6085">
        <w:rPr>
          <w:rFonts w:ascii="Cambria" w:hAnsi="Cambria"/>
          <w:sz w:val="20"/>
        </w:rPr>
        <w:t xml:space="preserve">el coste, </w:t>
      </w:r>
      <w:r w:rsidRPr="001D6085">
        <w:rPr>
          <w:rFonts w:ascii="Cambria" w:hAnsi="Cambria"/>
          <w:sz w:val="20"/>
        </w:rPr>
        <w:t>las opciones y la hoja de ruta provisional para desarrollar un marco de MSE (que incluya, entre otras cosas, HCR con los puntos de referencia límite, objetivo y umbral asociados) para la ordenación de este stock en la zona del Convenio de ICCAT.</w:t>
      </w:r>
      <w:r w:rsidRPr="001D6085">
        <w:rPr>
          <w:rFonts w:ascii="Cambria" w:hAnsi="Cambria"/>
          <w:color w:val="000000" w:themeColor="text1"/>
          <w:sz w:val="20"/>
          <w:szCs w:val="20"/>
        </w:rPr>
        <w:t xml:space="preserve"> </w:t>
      </w:r>
      <w:r w:rsidRPr="001D6085">
        <w:rPr>
          <w:rFonts w:ascii="Cambria" w:hAnsi="Cambria"/>
          <w:sz w:val="20"/>
          <w:szCs w:val="20"/>
        </w:rPr>
        <w:t xml:space="preserve">   </w:t>
      </w:r>
    </w:p>
    <w:p w14:paraId="74A812B0" w14:textId="77777777" w:rsidR="007D1CB6" w:rsidRPr="001D6085" w:rsidRDefault="007D1CB6" w:rsidP="00CA71F2">
      <w:pPr>
        <w:pStyle w:val="ListParagraph"/>
        <w:spacing w:after="0" w:line="240" w:lineRule="auto"/>
      </w:pPr>
    </w:p>
    <w:p w14:paraId="2ED3210F" w14:textId="66982DC6" w:rsidR="007D1CB6" w:rsidRPr="001D6085" w:rsidRDefault="007D1CB6" w:rsidP="00CA71F2">
      <w:pPr>
        <w:spacing w:after="0" w:line="240" w:lineRule="auto"/>
        <w:jc w:val="both"/>
        <w:rPr>
          <w:rFonts w:ascii="Cambria" w:hAnsi="Cambria"/>
          <w:b/>
          <w:bCs/>
          <w:sz w:val="20"/>
          <w:szCs w:val="20"/>
        </w:rPr>
      </w:pPr>
      <w:r w:rsidRPr="001D6085">
        <w:rPr>
          <w:rFonts w:ascii="Cambria" w:hAnsi="Cambria"/>
          <w:b/>
          <w:bCs/>
          <w:sz w:val="20"/>
          <w:szCs w:val="20"/>
        </w:rPr>
        <w:t>Implementación y examen</w:t>
      </w:r>
    </w:p>
    <w:p w14:paraId="41F92C2F" w14:textId="77777777" w:rsidR="00462400" w:rsidRPr="001D6085" w:rsidRDefault="00462400" w:rsidP="00CA71F2">
      <w:pPr>
        <w:spacing w:after="0" w:line="240" w:lineRule="auto"/>
        <w:jc w:val="both"/>
        <w:rPr>
          <w:rFonts w:ascii="Cambria" w:eastAsia="Cambria" w:hAnsi="Cambria" w:cs="Cambria"/>
          <w:b/>
          <w:bCs/>
          <w:sz w:val="20"/>
          <w:szCs w:val="20"/>
        </w:rPr>
      </w:pPr>
    </w:p>
    <w:p w14:paraId="73C2D93E" w14:textId="3DD7F7E1" w:rsidR="007D1CB6" w:rsidRPr="001D6085" w:rsidRDefault="54E92F44" w:rsidP="00CA71F2">
      <w:pPr>
        <w:pStyle w:val="ListParagraph"/>
        <w:numPr>
          <w:ilvl w:val="0"/>
          <w:numId w:val="3"/>
        </w:numPr>
        <w:spacing w:after="0" w:line="240" w:lineRule="auto"/>
        <w:ind w:left="426"/>
        <w:jc w:val="both"/>
        <w:rPr>
          <w:rFonts w:ascii="Cambria" w:eastAsia="Cambria" w:hAnsi="Cambria" w:cs="Cambria"/>
          <w:sz w:val="20"/>
          <w:szCs w:val="20"/>
        </w:rPr>
      </w:pPr>
      <w:r w:rsidRPr="001D6085">
        <w:rPr>
          <w:rFonts w:ascii="Cambria" w:hAnsi="Cambria"/>
          <w:sz w:val="20"/>
          <w:szCs w:val="20"/>
        </w:rPr>
        <w:t xml:space="preserve">Esta </w:t>
      </w:r>
      <w:r w:rsidRPr="001D6085">
        <w:rPr>
          <w:rFonts w:ascii="Cambria" w:hAnsi="Cambria"/>
          <w:sz w:val="20"/>
        </w:rPr>
        <w:t>Recomendación</w:t>
      </w:r>
      <w:r w:rsidRPr="001D6085">
        <w:rPr>
          <w:rFonts w:ascii="Cambria" w:hAnsi="Cambria"/>
          <w:sz w:val="20"/>
          <w:szCs w:val="20"/>
        </w:rPr>
        <w:t xml:space="preserve"> se revisará a la luz </w:t>
      </w:r>
      <w:r w:rsidR="00AB6113" w:rsidRPr="001D6085">
        <w:rPr>
          <w:rFonts w:ascii="Cambria" w:hAnsi="Cambria"/>
          <w:sz w:val="20"/>
          <w:szCs w:val="20"/>
        </w:rPr>
        <w:t>del resultado d</w:t>
      </w:r>
      <w:r w:rsidRPr="001D6085">
        <w:rPr>
          <w:rFonts w:ascii="Cambria" w:hAnsi="Cambria"/>
          <w:sz w:val="20"/>
          <w:szCs w:val="20"/>
        </w:rPr>
        <w:t xml:space="preserve">e la próxima evaluación de stock de </w:t>
      </w:r>
      <w:r w:rsidR="00C56935" w:rsidRPr="001D6085">
        <w:rPr>
          <w:rFonts w:ascii="Cambria" w:hAnsi="Cambria"/>
          <w:sz w:val="20"/>
          <w:szCs w:val="20"/>
        </w:rPr>
        <w:t>tiburón</w:t>
      </w:r>
      <w:r w:rsidR="00462400" w:rsidRPr="001D6085">
        <w:rPr>
          <w:rFonts w:ascii="Cambria" w:hAnsi="Cambria"/>
          <w:sz w:val="20"/>
          <w:szCs w:val="20"/>
        </w:rPr>
        <w:t xml:space="preserve"> azul</w:t>
      </w:r>
      <w:r w:rsidRPr="001D6085">
        <w:rPr>
          <w:rFonts w:ascii="Cambria" w:hAnsi="Cambria"/>
          <w:sz w:val="20"/>
          <w:szCs w:val="20"/>
        </w:rPr>
        <w:t xml:space="preserve"> del Atlántico norte del SCRS</w:t>
      </w:r>
      <w:r w:rsidR="00CA71F2" w:rsidRPr="001D6085">
        <w:rPr>
          <w:rFonts w:ascii="Cambria" w:hAnsi="Cambria"/>
          <w:sz w:val="20"/>
          <w:szCs w:val="20"/>
        </w:rPr>
        <w:t>.</w:t>
      </w:r>
    </w:p>
    <w:p w14:paraId="797F4ECF" w14:textId="77777777" w:rsidR="00CA71F2" w:rsidRPr="001D6085" w:rsidRDefault="00CA71F2" w:rsidP="00CA71F2">
      <w:pPr>
        <w:pStyle w:val="ListParagraph"/>
        <w:spacing w:after="0" w:line="240" w:lineRule="auto"/>
        <w:ind w:left="426"/>
        <w:jc w:val="both"/>
        <w:rPr>
          <w:rFonts w:ascii="Cambria" w:eastAsia="Cambria" w:hAnsi="Cambria" w:cs="Cambria"/>
          <w:sz w:val="20"/>
          <w:szCs w:val="20"/>
        </w:rPr>
      </w:pPr>
    </w:p>
    <w:p w14:paraId="0E4960B1" w14:textId="20980589" w:rsidR="007D1CB6" w:rsidRPr="005C6F3F" w:rsidRDefault="007D1CB6" w:rsidP="00CA71F2">
      <w:pPr>
        <w:pStyle w:val="ListParagraph"/>
        <w:numPr>
          <w:ilvl w:val="0"/>
          <w:numId w:val="3"/>
        </w:numPr>
        <w:spacing w:after="0" w:line="240" w:lineRule="auto"/>
        <w:ind w:left="426"/>
        <w:jc w:val="both"/>
        <w:rPr>
          <w:rFonts w:ascii="Cambria" w:eastAsia="Cambria" w:hAnsi="Cambria" w:cs="Cambria"/>
          <w:sz w:val="20"/>
          <w:szCs w:val="20"/>
        </w:rPr>
      </w:pPr>
      <w:r w:rsidRPr="005C6F3F">
        <w:rPr>
          <w:rFonts w:ascii="Cambria" w:hAnsi="Cambria"/>
          <w:sz w:val="20"/>
          <w:szCs w:val="20"/>
        </w:rPr>
        <w:t>Est</w:t>
      </w:r>
      <w:r w:rsidR="00F445D9" w:rsidRPr="005C6F3F">
        <w:rPr>
          <w:rFonts w:ascii="Cambria" w:hAnsi="Cambria"/>
          <w:sz w:val="20"/>
          <w:szCs w:val="20"/>
        </w:rPr>
        <w:t>a</w:t>
      </w:r>
      <w:r w:rsidRPr="005C6F3F">
        <w:rPr>
          <w:rFonts w:ascii="Cambria" w:hAnsi="Cambria"/>
          <w:sz w:val="20"/>
          <w:szCs w:val="20"/>
        </w:rPr>
        <w:t xml:space="preserve"> </w:t>
      </w:r>
      <w:r w:rsidRPr="005C6F3F">
        <w:rPr>
          <w:rFonts w:ascii="Cambria" w:hAnsi="Cambria"/>
          <w:sz w:val="20"/>
        </w:rPr>
        <w:t>Recomendación</w:t>
      </w:r>
      <w:r w:rsidRPr="005C6F3F">
        <w:rPr>
          <w:rFonts w:ascii="Cambria" w:hAnsi="Cambria"/>
          <w:sz w:val="20"/>
          <w:szCs w:val="20"/>
        </w:rPr>
        <w:t xml:space="preserve"> deroga </w:t>
      </w:r>
      <w:r w:rsidR="001D6085" w:rsidRPr="005C6F3F">
        <w:rPr>
          <w:rFonts w:ascii="Cambria" w:hAnsi="Cambria"/>
          <w:sz w:val="20"/>
          <w:szCs w:val="20"/>
        </w:rPr>
        <w:t xml:space="preserve">y sustituye </w:t>
      </w:r>
      <w:r w:rsidRPr="005C6F3F">
        <w:rPr>
          <w:rFonts w:ascii="Cambria" w:hAnsi="Cambria"/>
          <w:sz w:val="20"/>
          <w:szCs w:val="20"/>
        </w:rPr>
        <w:t xml:space="preserve">la </w:t>
      </w:r>
      <w:r w:rsidR="00457AA1" w:rsidRPr="005C6F3F">
        <w:rPr>
          <w:rFonts w:ascii="Cambria" w:hAnsi="Cambria"/>
          <w:i/>
          <w:iCs/>
          <w:sz w:val="20"/>
          <w:szCs w:val="20"/>
        </w:rPr>
        <w:t xml:space="preserve">Recomendación de </w:t>
      </w:r>
      <w:r w:rsidR="00F74C75" w:rsidRPr="005C6F3F">
        <w:rPr>
          <w:rFonts w:ascii="Cambria" w:hAnsi="Cambria"/>
          <w:i/>
          <w:iCs/>
          <w:sz w:val="20"/>
          <w:szCs w:val="20"/>
        </w:rPr>
        <w:t xml:space="preserve">ICCAT </w:t>
      </w:r>
      <w:r w:rsidR="00457AA1" w:rsidRPr="005C6F3F">
        <w:rPr>
          <w:rFonts w:ascii="Cambria" w:hAnsi="Cambria"/>
          <w:i/>
          <w:iCs/>
          <w:sz w:val="20"/>
          <w:szCs w:val="20"/>
        </w:rPr>
        <w:t>que enmienda la Recomendación</w:t>
      </w:r>
      <w:r w:rsidR="00F01FA4" w:rsidRPr="005C6F3F">
        <w:rPr>
          <w:rFonts w:ascii="Cambria" w:hAnsi="Cambria"/>
          <w:i/>
          <w:iCs/>
          <w:sz w:val="20"/>
          <w:szCs w:val="20"/>
        </w:rPr>
        <w:t> </w:t>
      </w:r>
      <w:r w:rsidR="00F74C75" w:rsidRPr="005C6F3F">
        <w:rPr>
          <w:rFonts w:ascii="Cambria" w:hAnsi="Cambria"/>
          <w:i/>
          <w:iCs/>
          <w:sz w:val="20"/>
          <w:szCs w:val="20"/>
        </w:rPr>
        <w:t xml:space="preserve">16-12 </w:t>
      </w:r>
      <w:r w:rsidR="00457AA1" w:rsidRPr="005C6F3F">
        <w:rPr>
          <w:rFonts w:ascii="Cambria" w:hAnsi="Cambria"/>
          <w:i/>
          <w:iCs/>
          <w:sz w:val="20"/>
          <w:szCs w:val="20"/>
        </w:rPr>
        <w:t xml:space="preserve">sobre medidas de ordenación para la conservación de la tintorera del Atlántico norte capturada en asociación con pesquerías de </w:t>
      </w:r>
      <w:r w:rsidR="00F74C75" w:rsidRPr="005C6F3F">
        <w:rPr>
          <w:rFonts w:ascii="Cambria" w:hAnsi="Cambria"/>
          <w:i/>
          <w:iCs/>
          <w:sz w:val="20"/>
          <w:szCs w:val="20"/>
        </w:rPr>
        <w:t>ICCAT</w:t>
      </w:r>
      <w:r w:rsidR="00457AA1" w:rsidRPr="005C6F3F">
        <w:rPr>
          <w:rFonts w:ascii="Cambria" w:hAnsi="Cambria"/>
          <w:i/>
          <w:iCs/>
          <w:sz w:val="20"/>
          <w:szCs w:val="20"/>
        </w:rPr>
        <w:t xml:space="preserve"> </w:t>
      </w:r>
      <w:r w:rsidR="00457AA1" w:rsidRPr="005C6F3F">
        <w:rPr>
          <w:rFonts w:ascii="Cambria" w:hAnsi="Cambria"/>
          <w:sz w:val="20"/>
          <w:szCs w:val="20"/>
        </w:rPr>
        <w:t>(Rec. 19-07)</w:t>
      </w:r>
      <w:r w:rsidR="00F445D9" w:rsidRPr="005C6F3F">
        <w:rPr>
          <w:rFonts w:ascii="Cambria" w:hAnsi="Cambria"/>
          <w:sz w:val="20"/>
          <w:szCs w:val="20"/>
        </w:rPr>
        <w:t xml:space="preserve"> y la </w:t>
      </w:r>
      <w:r w:rsidR="001D6085" w:rsidRPr="005C6F3F">
        <w:rPr>
          <w:rFonts w:ascii="Cambria" w:hAnsi="Cambria"/>
          <w:i/>
          <w:iCs/>
          <w:sz w:val="20"/>
          <w:szCs w:val="20"/>
        </w:rPr>
        <w:t xml:space="preserve">Recomendación de ICCAT que enmienda la Recomendación 19-07 que enmienda la Recomendación 16-12 sobre medidas de </w:t>
      </w:r>
      <w:proofErr w:type="gramStart"/>
      <w:r w:rsidR="001D6085" w:rsidRPr="005C6F3F">
        <w:rPr>
          <w:rFonts w:ascii="Cambria" w:hAnsi="Cambria"/>
          <w:i/>
          <w:iCs/>
          <w:sz w:val="20"/>
          <w:szCs w:val="20"/>
        </w:rPr>
        <w:t>ordenación  para</w:t>
      </w:r>
      <w:proofErr w:type="gramEnd"/>
      <w:r w:rsidR="001D6085" w:rsidRPr="005C6F3F">
        <w:rPr>
          <w:rFonts w:ascii="Cambria" w:hAnsi="Cambria"/>
          <w:i/>
          <w:iCs/>
          <w:sz w:val="20"/>
          <w:szCs w:val="20"/>
        </w:rPr>
        <w:t xml:space="preserve"> la conservación de la tintorera del Atlántico norte capturada  en asociación con pesquerías de ICCAT </w:t>
      </w:r>
      <w:r w:rsidR="001D6085" w:rsidRPr="005C6F3F">
        <w:rPr>
          <w:rFonts w:ascii="Cambria" w:hAnsi="Cambria"/>
          <w:sz w:val="20"/>
          <w:szCs w:val="20"/>
        </w:rPr>
        <w:t>(Rec. 21-10)</w:t>
      </w:r>
      <w:r w:rsidR="001D6085" w:rsidRPr="005C6F3F">
        <w:t>.</w:t>
      </w:r>
    </w:p>
    <w:sectPr w:rsidR="007D1CB6" w:rsidRPr="005C6F3F">
      <w:footerReference w:type="default" r:id="rId12"/>
      <w:footnotePr>
        <w:numRestart w:val="eachSect"/>
      </w:footnotePr>
      <w:pgSz w:w="11906" w:h="16838"/>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C30B1" w14:textId="77777777" w:rsidR="0059494B" w:rsidRDefault="0059494B">
      <w:pPr>
        <w:spacing w:after="0" w:line="240" w:lineRule="auto"/>
      </w:pPr>
      <w:r>
        <w:separator/>
      </w:r>
    </w:p>
  </w:endnote>
  <w:endnote w:type="continuationSeparator" w:id="0">
    <w:p w14:paraId="4DD4F964" w14:textId="77777777" w:rsidR="0059494B" w:rsidRDefault="0059494B">
      <w:pPr>
        <w:spacing w:after="0" w:line="240" w:lineRule="auto"/>
      </w:pPr>
      <w:r>
        <w:continuationSeparator/>
      </w:r>
    </w:p>
  </w:endnote>
  <w:endnote w:type="continuationNotice" w:id="1">
    <w:p w14:paraId="349906F3" w14:textId="77777777" w:rsidR="0059494B" w:rsidRDefault="005949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FFD1" w14:textId="455E9811" w:rsidR="0086608E" w:rsidRPr="0086608E" w:rsidRDefault="0086608E" w:rsidP="0086608E">
    <w:pPr>
      <w:tabs>
        <w:tab w:val="center" w:pos="4535"/>
        <w:tab w:val="center" w:pos="4680"/>
        <w:tab w:val="left" w:pos="6150"/>
        <w:tab w:val="right" w:pos="9360"/>
      </w:tabs>
      <w:spacing w:after="200" w:line="276" w:lineRule="auto"/>
      <w:jc w:val="center"/>
      <w:rPr>
        <w:rFonts w:ascii="Cambria" w:hAnsi="Cambria"/>
        <w:sz w:val="20"/>
      </w:rPr>
    </w:pPr>
    <w:r w:rsidRPr="0086608E">
      <w:rPr>
        <w:rFonts w:ascii="Cambria" w:hAnsi="Cambria"/>
        <w:sz w:val="20"/>
        <w:szCs w:val="20"/>
      </w:rPr>
      <w:fldChar w:fldCharType="begin"/>
    </w:r>
    <w:r w:rsidRPr="0086608E">
      <w:rPr>
        <w:rFonts w:ascii="Cambria" w:hAnsi="Cambria"/>
        <w:sz w:val="20"/>
        <w:szCs w:val="20"/>
      </w:rPr>
      <w:instrText xml:space="preserve"> PAGE </w:instrText>
    </w:r>
    <w:r w:rsidRPr="0086608E">
      <w:rPr>
        <w:rFonts w:ascii="Cambria" w:hAnsi="Cambria"/>
        <w:sz w:val="20"/>
        <w:szCs w:val="20"/>
      </w:rPr>
      <w:fldChar w:fldCharType="separate"/>
    </w:r>
    <w:r w:rsidR="00C65380">
      <w:rPr>
        <w:rFonts w:ascii="Cambria" w:hAnsi="Cambria"/>
        <w:sz w:val="20"/>
        <w:szCs w:val="20"/>
      </w:rPr>
      <w:t>1</w:t>
    </w:r>
    <w:r w:rsidRPr="0086608E">
      <w:rPr>
        <w:rFonts w:ascii="Cambria" w:hAnsi="Cambria"/>
        <w:sz w:val="20"/>
        <w:szCs w:val="20"/>
      </w:rPr>
      <w:fldChar w:fldCharType="end"/>
    </w:r>
    <w:r>
      <w:rPr>
        <w:rFonts w:ascii="Cambria" w:hAnsi="Cambri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055D5" w14:textId="77777777" w:rsidR="0059494B" w:rsidRDefault="0059494B">
      <w:pPr>
        <w:spacing w:after="0" w:line="240" w:lineRule="auto"/>
      </w:pPr>
      <w:r>
        <w:separator/>
      </w:r>
    </w:p>
  </w:footnote>
  <w:footnote w:type="continuationSeparator" w:id="0">
    <w:p w14:paraId="2B27AEA0" w14:textId="77777777" w:rsidR="0059494B" w:rsidRDefault="0059494B">
      <w:pPr>
        <w:spacing w:after="0" w:line="240" w:lineRule="auto"/>
      </w:pPr>
      <w:r>
        <w:continuationSeparator/>
      </w:r>
    </w:p>
  </w:footnote>
  <w:footnote w:type="continuationNotice" w:id="1">
    <w:p w14:paraId="6AB3A63E" w14:textId="77777777" w:rsidR="0059494B" w:rsidRDefault="005949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10264"/>
    <w:multiLevelType w:val="hybridMultilevel"/>
    <w:tmpl w:val="82684660"/>
    <w:lvl w:ilvl="0" w:tplc="99607EC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333862CF"/>
    <w:multiLevelType w:val="hybridMultilevel"/>
    <w:tmpl w:val="47D2CA5C"/>
    <w:lvl w:ilvl="0" w:tplc="BECA01EE">
      <w:start w:val="1"/>
      <w:numFmt w:val="decimal"/>
      <w:lvlText w:val="%1."/>
      <w:lvlJc w:val="left"/>
      <w:pPr>
        <w:ind w:left="720" w:hanging="360"/>
      </w:pPr>
    </w:lvl>
    <w:lvl w:ilvl="1" w:tplc="53E87950">
      <w:start w:val="1"/>
      <w:numFmt w:val="lowerLetter"/>
      <w:lvlText w:val="%2."/>
      <w:lvlJc w:val="left"/>
      <w:pPr>
        <w:ind w:left="1440" w:hanging="360"/>
      </w:pPr>
    </w:lvl>
    <w:lvl w:ilvl="2" w:tplc="51742DA4">
      <w:start w:val="1"/>
      <w:numFmt w:val="lowerRoman"/>
      <w:lvlText w:val="%3."/>
      <w:lvlJc w:val="right"/>
      <w:pPr>
        <w:ind w:left="2160" w:hanging="180"/>
      </w:pPr>
    </w:lvl>
    <w:lvl w:ilvl="3" w:tplc="797AA652">
      <w:start w:val="1"/>
      <w:numFmt w:val="decimal"/>
      <w:lvlText w:val="%4."/>
      <w:lvlJc w:val="left"/>
      <w:pPr>
        <w:ind w:left="2880" w:hanging="360"/>
      </w:pPr>
    </w:lvl>
    <w:lvl w:ilvl="4" w:tplc="13B0CE36">
      <w:start w:val="1"/>
      <w:numFmt w:val="lowerLetter"/>
      <w:lvlText w:val="%5."/>
      <w:lvlJc w:val="left"/>
      <w:pPr>
        <w:ind w:left="3600" w:hanging="360"/>
      </w:pPr>
    </w:lvl>
    <w:lvl w:ilvl="5" w:tplc="A98E39D2">
      <w:start w:val="1"/>
      <w:numFmt w:val="lowerRoman"/>
      <w:lvlText w:val="%6."/>
      <w:lvlJc w:val="right"/>
      <w:pPr>
        <w:ind w:left="4320" w:hanging="180"/>
      </w:pPr>
    </w:lvl>
    <w:lvl w:ilvl="6" w:tplc="804ECB0E">
      <w:start w:val="1"/>
      <w:numFmt w:val="decimal"/>
      <w:lvlText w:val="%7."/>
      <w:lvlJc w:val="left"/>
      <w:pPr>
        <w:ind w:left="5040" w:hanging="360"/>
      </w:pPr>
    </w:lvl>
    <w:lvl w:ilvl="7" w:tplc="565A3F1A">
      <w:start w:val="1"/>
      <w:numFmt w:val="lowerLetter"/>
      <w:lvlText w:val="%8."/>
      <w:lvlJc w:val="left"/>
      <w:pPr>
        <w:ind w:left="5760" w:hanging="360"/>
      </w:pPr>
    </w:lvl>
    <w:lvl w:ilvl="8" w:tplc="5198B49E">
      <w:start w:val="1"/>
      <w:numFmt w:val="lowerRoman"/>
      <w:lvlText w:val="%9."/>
      <w:lvlJc w:val="right"/>
      <w:pPr>
        <w:ind w:left="6480" w:hanging="180"/>
      </w:pPr>
    </w:lvl>
  </w:abstractNum>
  <w:abstractNum w:abstractNumId="2" w15:restartNumberingAfterBreak="0">
    <w:nsid w:val="69D4316F"/>
    <w:multiLevelType w:val="multilevel"/>
    <w:tmpl w:val="8A4E33F8"/>
    <w:lvl w:ilvl="0">
      <w:start w:val="1"/>
      <w:numFmt w:val="lowerRoman"/>
      <w:lvlText w:val="(%1)"/>
      <w:lvlJc w:val="left"/>
      <w:pPr>
        <w:ind w:left="720" w:hanging="720"/>
      </w:pPr>
      <w:rPr>
        <w:i w:val="0"/>
      </w:r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3" w15:restartNumberingAfterBreak="0">
    <w:nsid w:val="7D53362E"/>
    <w:multiLevelType w:val="hybridMultilevel"/>
    <w:tmpl w:val="B0ECD11E"/>
    <w:lvl w:ilvl="0" w:tplc="FFFFFFFF">
      <w:start w:val="1"/>
      <w:numFmt w:val="decimal"/>
      <w:lvlText w:val="%1."/>
      <w:lvlJc w:val="left"/>
      <w:pPr>
        <w:ind w:left="780" w:hanging="42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57578413">
    <w:abstractNumId w:val="1"/>
  </w:num>
  <w:num w:numId="2" w16cid:durableId="735474555">
    <w:abstractNumId w:val="2"/>
  </w:num>
  <w:num w:numId="3" w16cid:durableId="647126436">
    <w:abstractNumId w:val="3"/>
  </w:num>
  <w:num w:numId="4" w16cid:durableId="1024138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en-AU" w:vendorID="64" w:dllVersion="0" w:nlCheck="1" w:checkStyle="0"/>
  <w:activeWritingStyle w:appName="MSWord" w:lang="en-IE"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proofState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85E93"/>
    <w:rsid w:val="00007D4D"/>
    <w:rsid w:val="00010AEC"/>
    <w:rsid w:val="00013D77"/>
    <w:rsid w:val="000325D2"/>
    <w:rsid w:val="0003520E"/>
    <w:rsid w:val="00044D8C"/>
    <w:rsid w:val="00075010"/>
    <w:rsid w:val="00075032"/>
    <w:rsid w:val="0007563E"/>
    <w:rsid w:val="00080299"/>
    <w:rsid w:val="000A05D5"/>
    <w:rsid w:val="000D111E"/>
    <w:rsid w:val="000D66F5"/>
    <w:rsid w:val="000E57E2"/>
    <w:rsid w:val="001342AE"/>
    <w:rsid w:val="00140459"/>
    <w:rsid w:val="00150E37"/>
    <w:rsid w:val="00152E95"/>
    <w:rsid w:val="00154F3A"/>
    <w:rsid w:val="00156B65"/>
    <w:rsid w:val="00173245"/>
    <w:rsid w:val="001816B9"/>
    <w:rsid w:val="00191065"/>
    <w:rsid w:val="001959B0"/>
    <w:rsid w:val="001A3548"/>
    <w:rsid w:val="001C566F"/>
    <w:rsid w:val="001D3008"/>
    <w:rsid w:val="001D6085"/>
    <w:rsid w:val="001E0C2A"/>
    <w:rsid w:val="001E2106"/>
    <w:rsid w:val="002021A5"/>
    <w:rsid w:val="00203ACE"/>
    <w:rsid w:val="00222C73"/>
    <w:rsid w:val="00232DEA"/>
    <w:rsid w:val="00253C37"/>
    <w:rsid w:val="00253DD1"/>
    <w:rsid w:val="00257B1A"/>
    <w:rsid w:val="00280A82"/>
    <w:rsid w:val="0029062F"/>
    <w:rsid w:val="00296F36"/>
    <w:rsid w:val="002B7CEA"/>
    <w:rsid w:val="002C3CB8"/>
    <w:rsid w:val="002D2B96"/>
    <w:rsid w:val="002E034E"/>
    <w:rsid w:val="00307E8F"/>
    <w:rsid w:val="003115BE"/>
    <w:rsid w:val="0032215B"/>
    <w:rsid w:val="00365930"/>
    <w:rsid w:val="003711E6"/>
    <w:rsid w:val="003D0398"/>
    <w:rsid w:val="003D3B08"/>
    <w:rsid w:val="003F7797"/>
    <w:rsid w:val="003F77A9"/>
    <w:rsid w:val="003F7C22"/>
    <w:rsid w:val="0044333D"/>
    <w:rsid w:val="004526D2"/>
    <w:rsid w:val="00457AA1"/>
    <w:rsid w:val="00461834"/>
    <w:rsid w:val="00462400"/>
    <w:rsid w:val="0048117C"/>
    <w:rsid w:val="00487ABC"/>
    <w:rsid w:val="00491AA7"/>
    <w:rsid w:val="004B6B54"/>
    <w:rsid w:val="004B7E05"/>
    <w:rsid w:val="004E34EA"/>
    <w:rsid w:val="004E3B32"/>
    <w:rsid w:val="00525A62"/>
    <w:rsid w:val="00532B79"/>
    <w:rsid w:val="00551AB2"/>
    <w:rsid w:val="00551EBB"/>
    <w:rsid w:val="0055384E"/>
    <w:rsid w:val="00576E19"/>
    <w:rsid w:val="00592AB1"/>
    <w:rsid w:val="0059494B"/>
    <w:rsid w:val="005A079E"/>
    <w:rsid w:val="005B27B5"/>
    <w:rsid w:val="005C6F3F"/>
    <w:rsid w:val="005C7866"/>
    <w:rsid w:val="005D36F7"/>
    <w:rsid w:val="005E5C82"/>
    <w:rsid w:val="00606A33"/>
    <w:rsid w:val="006177EF"/>
    <w:rsid w:val="00625B10"/>
    <w:rsid w:val="006356A4"/>
    <w:rsid w:val="00651C27"/>
    <w:rsid w:val="0067177F"/>
    <w:rsid w:val="0069694C"/>
    <w:rsid w:val="0069B543"/>
    <w:rsid w:val="006A0F4E"/>
    <w:rsid w:val="006A7C90"/>
    <w:rsid w:val="006B3F88"/>
    <w:rsid w:val="006C6D76"/>
    <w:rsid w:val="006D542A"/>
    <w:rsid w:val="006E12C4"/>
    <w:rsid w:val="006F0C2D"/>
    <w:rsid w:val="006F36DD"/>
    <w:rsid w:val="00701CC1"/>
    <w:rsid w:val="00726140"/>
    <w:rsid w:val="00756D92"/>
    <w:rsid w:val="007637AF"/>
    <w:rsid w:val="007842F0"/>
    <w:rsid w:val="00784AE2"/>
    <w:rsid w:val="007D1CB6"/>
    <w:rsid w:val="007D4525"/>
    <w:rsid w:val="007E4EFC"/>
    <w:rsid w:val="007F5EDE"/>
    <w:rsid w:val="00816713"/>
    <w:rsid w:val="0083153E"/>
    <w:rsid w:val="00832BE7"/>
    <w:rsid w:val="00853F1C"/>
    <w:rsid w:val="0086608E"/>
    <w:rsid w:val="00867C8C"/>
    <w:rsid w:val="00877A0A"/>
    <w:rsid w:val="00881932"/>
    <w:rsid w:val="00885E93"/>
    <w:rsid w:val="00887CB6"/>
    <w:rsid w:val="00895C98"/>
    <w:rsid w:val="008C7139"/>
    <w:rsid w:val="008E4EF0"/>
    <w:rsid w:val="009164DB"/>
    <w:rsid w:val="00922063"/>
    <w:rsid w:val="00936389"/>
    <w:rsid w:val="00936FC1"/>
    <w:rsid w:val="0093772D"/>
    <w:rsid w:val="009641CD"/>
    <w:rsid w:val="0099284D"/>
    <w:rsid w:val="009A01BD"/>
    <w:rsid w:val="009A2E94"/>
    <w:rsid w:val="009A4AA7"/>
    <w:rsid w:val="009B0A76"/>
    <w:rsid w:val="009C2C86"/>
    <w:rsid w:val="009E7E2F"/>
    <w:rsid w:val="009F58DF"/>
    <w:rsid w:val="00A07501"/>
    <w:rsid w:val="00A2058D"/>
    <w:rsid w:val="00A24E83"/>
    <w:rsid w:val="00A3166F"/>
    <w:rsid w:val="00A37A7B"/>
    <w:rsid w:val="00A5096A"/>
    <w:rsid w:val="00A55B8C"/>
    <w:rsid w:val="00A643B8"/>
    <w:rsid w:val="00A70741"/>
    <w:rsid w:val="00A71E44"/>
    <w:rsid w:val="00A74688"/>
    <w:rsid w:val="00A81FEE"/>
    <w:rsid w:val="00A9346B"/>
    <w:rsid w:val="00A94C0A"/>
    <w:rsid w:val="00AB6113"/>
    <w:rsid w:val="00AC3827"/>
    <w:rsid w:val="00AC537F"/>
    <w:rsid w:val="00B252EF"/>
    <w:rsid w:val="00B26442"/>
    <w:rsid w:val="00B63EC3"/>
    <w:rsid w:val="00B71480"/>
    <w:rsid w:val="00B74F1A"/>
    <w:rsid w:val="00B92680"/>
    <w:rsid w:val="00B94D0B"/>
    <w:rsid w:val="00BA55B7"/>
    <w:rsid w:val="00BB4049"/>
    <w:rsid w:val="00BC4836"/>
    <w:rsid w:val="00BE4CD7"/>
    <w:rsid w:val="00C04D4C"/>
    <w:rsid w:val="00C0512E"/>
    <w:rsid w:val="00C1087E"/>
    <w:rsid w:val="00C1278F"/>
    <w:rsid w:val="00C22CCE"/>
    <w:rsid w:val="00C30A08"/>
    <w:rsid w:val="00C31F0F"/>
    <w:rsid w:val="00C42E19"/>
    <w:rsid w:val="00C56935"/>
    <w:rsid w:val="00C62A12"/>
    <w:rsid w:val="00C65380"/>
    <w:rsid w:val="00C925FA"/>
    <w:rsid w:val="00CA71F2"/>
    <w:rsid w:val="00D10688"/>
    <w:rsid w:val="00D161B0"/>
    <w:rsid w:val="00D27D11"/>
    <w:rsid w:val="00D57C7B"/>
    <w:rsid w:val="00D62A55"/>
    <w:rsid w:val="00D641B4"/>
    <w:rsid w:val="00D86C36"/>
    <w:rsid w:val="00D95D24"/>
    <w:rsid w:val="00DC0E2F"/>
    <w:rsid w:val="00DD65C0"/>
    <w:rsid w:val="00DE114B"/>
    <w:rsid w:val="00DE12E4"/>
    <w:rsid w:val="00DF2E0E"/>
    <w:rsid w:val="00E20226"/>
    <w:rsid w:val="00E362C9"/>
    <w:rsid w:val="00E4568E"/>
    <w:rsid w:val="00E60CA7"/>
    <w:rsid w:val="00E6FB8D"/>
    <w:rsid w:val="00E71A2B"/>
    <w:rsid w:val="00E7230F"/>
    <w:rsid w:val="00E724B6"/>
    <w:rsid w:val="00E85EBE"/>
    <w:rsid w:val="00EC6EF3"/>
    <w:rsid w:val="00EF3F69"/>
    <w:rsid w:val="00F01FA4"/>
    <w:rsid w:val="00F02B20"/>
    <w:rsid w:val="00F048B9"/>
    <w:rsid w:val="00F36CF2"/>
    <w:rsid w:val="00F36F43"/>
    <w:rsid w:val="00F445D9"/>
    <w:rsid w:val="00F62116"/>
    <w:rsid w:val="00F707B9"/>
    <w:rsid w:val="00F74C75"/>
    <w:rsid w:val="00F74F32"/>
    <w:rsid w:val="00F9221E"/>
    <w:rsid w:val="00FC4B5E"/>
    <w:rsid w:val="00FD0C6B"/>
    <w:rsid w:val="00FD1902"/>
    <w:rsid w:val="00FD3E9E"/>
    <w:rsid w:val="00FD6F9B"/>
    <w:rsid w:val="01D7CE0F"/>
    <w:rsid w:val="020751F3"/>
    <w:rsid w:val="02239B3B"/>
    <w:rsid w:val="02783293"/>
    <w:rsid w:val="0282F370"/>
    <w:rsid w:val="028C15BB"/>
    <w:rsid w:val="030F1738"/>
    <w:rsid w:val="03905016"/>
    <w:rsid w:val="03A15605"/>
    <w:rsid w:val="03FEA014"/>
    <w:rsid w:val="04C7F922"/>
    <w:rsid w:val="05014DD2"/>
    <w:rsid w:val="05699721"/>
    <w:rsid w:val="056A8CEB"/>
    <w:rsid w:val="064AA721"/>
    <w:rsid w:val="066581C1"/>
    <w:rsid w:val="068C17F0"/>
    <w:rsid w:val="06BE08A5"/>
    <w:rsid w:val="07118D69"/>
    <w:rsid w:val="0718CC58"/>
    <w:rsid w:val="073AD45D"/>
    <w:rsid w:val="07566493"/>
    <w:rsid w:val="08563702"/>
    <w:rsid w:val="09112965"/>
    <w:rsid w:val="0A018F29"/>
    <w:rsid w:val="0A6AA2C3"/>
    <w:rsid w:val="0A6DF87D"/>
    <w:rsid w:val="0A9B5062"/>
    <w:rsid w:val="0ADF548B"/>
    <w:rsid w:val="0BCB0BE1"/>
    <w:rsid w:val="0C133CD1"/>
    <w:rsid w:val="0CB048F5"/>
    <w:rsid w:val="0D015B01"/>
    <w:rsid w:val="0E0DBC06"/>
    <w:rsid w:val="0E3BB79D"/>
    <w:rsid w:val="0E540564"/>
    <w:rsid w:val="0EA00CE1"/>
    <w:rsid w:val="0F9A3FF1"/>
    <w:rsid w:val="10350925"/>
    <w:rsid w:val="1050243B"/>
    <w:rsid w:val="11320F3A"/>
    <w:rsid w:val="1145FA67"/>
    <w:rsid w:val="11B9D8B3"/>
    <w:rsid w:val="12659D2E"/>
    <w:rsid w:val="135A8973"/>
    <w:rsid w:val="1378DB5B"/>
    <w:rsid w:val="13954A94"/>
    <w:rsid w:val="1402FAE6"/>
    <w:rsid w:val="1490AA3D"/>
    <w:rsid w:val="14A857A0"/>
    <w:rsid w:val="14DA21B2"/>
    <w:rsid w:val="15087AA2"/>
    <w:rsid w:val="150F8231"/>
    <w:rsid w:val="15720099"/>
    <w:rsid w:val="15E68D09"/>
    <w:rsid w:val="15EF025D"/>
    <w:rsid w:val="15FFC568"/>
    <w:rsid w:val="16248E83"/>
    <w:rsid w:val="163CEA95"/>
    <w:rsid w:val="165DC43E"/>
    <w:rsid w:val="166D4989"/>
    <w:rsid w:val="16757BA1"/>
    <w:rsid w:val="1689418B"/>
    <w:rsid w:val="16EC9F43"/>
    <w:rsid w:val="179E0D7F"/>
    <w:rsid w:val="18037BFA"/>
    <w:rsid w:val="1811C274"/>
    <w:rsid w:val="182511EC"/>
    <w:rsid w:val="1832B8E2"/>
    <w:rsid w:val="18E16ED1"/>
    <w:rsid w:val="19091792"/>
    <w:rsid w:val="196300AD"/>
    <w:rsid w:val="1A107281"/>
    <w:rsid w:val="1A898E31"/>
    <w:rsid w:val="1ACA3C24"/>
    <w:rsid w:val="1B3FB61F"/>
    <w:rsid w:val="1B66AB22"/>
    <w:rsid w:val="1B748CD4"/>
    <w:rsid w:val="1BD15FD6"/>
    <w:rsid w:val="1C33EA95"/>
    <w:rsid w:val="1C504773"/>
    <w:rsid w:val="1CAC2542"/>
    <w:rsid w:val="1CD61475"/>
    <w:rsid w:val="1D157EE6"/>
    <w:rsid w:val="1D2412BD"/>
    <w:rsid w:val="1D8CDA51"/>
    <w:rsid w:val="1DE6E2BB"/>
    <w:rsid w:val="1E7A9CEB"/>
    <w:rsid w:val="1E93BBF8"/>
    <w:rsid w:val="1EF5CE25"/>
    <w:rsid w:val="1F023890"/>
    <w:rsid w:val="1F0D0F88"/>
    <w:rsid w:val="1F5BAFA2"/>
    <w:rsid w:val="1F93E971"/>
    <w:rsid w:val="1FCDDB43"/>
    <w:rsid w:val="1FE3C604"/>
    <w:rsid w:val="205572C1"/>
    <w:rsid w:val="215C9A52"/>
    <w:rsid w:val="2175E8F0"/>
    <w:rsid w:val="21778458"/>
    <w:rsid w:val="217F9665"/>
    <w:rsid w:val="21CB5CBA"/>
    <w:rsid w:val="21E8F009"/>
    <w:rsid w:val="220F66C5"/>
    <w:rsid w:val="22351CC2"/>
    <w:rsid w:val="223E2788"/>
    <w:rsid w:val="229BDC0A"/>
    <w:rsid w:val="22E5AC9D"/>
    <w:rsid w:val="22F86AB3"/>
    <w:rsid w:val="2322D247"/>
    <w:rsid w:val="2346D675"/>
    <w:rsid w:val="23672D1B"/>
    <w:rsid w:val="24B73727"/>
    <w:rsid w:val="24D4A8EA"/>
    <w:rsid w:val="24EAC9A4"/>
    <w:rsid w:val="25A8726C"/>
    <w:rsid w:val="25BF4A54"/>
    <w:rsid w:val="25DB178C"/>
    <w:rsid w:val="25E1943A"/>
    <w:rsid w:val="267E7A4C"/>
    <w:rsid w:val="2685784D"/>
    <w:rsid w:val="269ECDDD"/>
    <w:rsid w:val="26A1529F"/>
    <w:rsid w:val="26AEC943"/>
    <w:rsid w:val="27DC7F54"/>
    <w:rsid w:val="281A15AE"/>
    <w:rsid w:val="28A33B8D"/>
    <w:rsid w:val="2914A19F"/>
    <w:rsid w:val="29C263AB"/>
    <w:rsid w:val="2A6B0ACE"/>
    <w:rsid w:val="2AD410D2"/>
    <w:rsid w:val="2B79116B"/>
    <w:rsid w:val="2BC7A5B4"/>
    <w:rsid w:val="2C263C4E"/>
    <w:rsid w:val="2CFD12B8"/>
    <w:rsid w:val="2D4F2601"/>
    <w:rsid w:val="2DBE0971"/>
    <w:rsid w:val="2E045716"/>
    <w:rsid w:val="2E42D0D4"/>
    <w:rsid w:val="2F07D1FD"/>
    <w:rsid w:val="2FFE3F33"/>
    <w:rsid w:val="31117B78"/>
    <w:rsid w:val="312CD6A1"/>
    <w:rsid w:val="313AA736"/>
    <w:rsid w:val="313BF7D8"/>
    <w:rsid w:val="32017001"/>
    <w:rsid w:val="32501FCB"/>
    <w:rsid w:val="3267661A"/>
    <w:rsid w:val="327054C5"/>
    <w:rsid w:val="32F2D6C6"/>
    <w:rsid w:val="334892C3"/>
    <w:rsid w:val="3385EA14"/>
    <w:rsid w:val="3387C32D"/>
    <w:rsid w:val="338A9E0B"/>
    <w:rsid w:val="33FD262E"/>
    <w:rsid w:val="341FD54A"/>
    <w:rsid w:val="342C0B1E"/>
    <w:rsid w:val="34B0D20C"/>
    <w:rsid w:val="34BC201A"/>
    <w:rsid w:val="34C36068"/>
    <w:rsid w:val="34F2BA3A"/>
    <w:rsid w:val="353E37A4"/>
    <w:rsid w:val="3550701A"/>
    <w:rsid w:val="3666F6CC"/>
    <w:rsid w:val="3690F9E4"/>
    <w:rsid w:val="36DAD572"/>
    <w:rsid w:val="37419FB9"/>
    <w:rsid w:val="3847DE01"/>
    <w:rsid w:val="384B9AE6"/>
    <w:rsid w:val="38576ED3"/>
    <w:rsid w:val="38C25462"/>
    <w:rsid w:val="39185907"/>
    <w:rsid w:val="391B0B34"/>
    <w:rsid w:val="3923F72D"/>
    <w:rsid w:val="397B9D04"/>
    <w:rsid w:val="398A1805"/>
    <w:rsid w:val="39E3AE62"/>
    <w:rsid w:val="39F33F34"/>
    <w:rsid w:val="3ABCE333"/>
    <w:rsid w:val="3AF5C8C9"/>
    <w:rsid w:val="3B1B6A87"/>
    <w:rsid w:val="3B84321B"/>
    <w:rsid w:val="3C2AEE81"/>
    <w:rsid w:val="3CF4ED0E"/>
    <w:rsid w:val="3D1B4F24"/>
    <w:rsid w:val="3D94C56C"/>
    <w:rsid w:val="3DCFC8C7"/>
    <w:rsid w:val="3DFECDC1"/>
    <w:rsid w:val="3E103B69"/>
    <w:rsid w:val="3F55F73F"/>
    <w:rsid w:val="3F5E0996"/>
    <w:rsid w:val="3FAC0BCA"/>
    <w:rsid w:val="4019516B"/>
    <w:rsid w:val="412DA9BA"/>
    <w:rsid w:val="4166965D"/>
    <w:rsid w:val="419ABEA3"/>
    <w:rsid w:val="41AEAB34"/>
    <w:rsid w:val="41EEC047"/>
    <w:rsid w:val="42040704"/>
    <w:rsid w:val="425DE6A5"/>
    <w:rsid w:val="42AA3D80"/>
    <w:rsid w:val="42E3AC8C"/>
    <w:rsid w:val="433F1EDB"/>
    <w:rsid w:val="4368E448"/>
    <w:rsid w:val="438DB588"/>
    <w:rsid w:val="43C3D6C8"/>
    <w:rsid w:val="443E86B0"/>
    <w:rsid w:val="44FDB6A8"/>
    <w:rsid w:val="45208EFB"/>
    <w:rsid w:val="455FA729"/>
    <w:rsid w:val="45A4FC9D"/>
    <w:rsid w:val="461B4D4E"/>
    <w:rsid w:val="4641C5A3"/>
    <w:rsid w:val="46E1C4FA"/>
    <w:rsid w:val="473002A5"/>
    <w:rsid w:val="4781BD30"/>
    <w:rsid w:val="47AB727E"/>
    <w:rsid w:val="47B71DAF"/>
    <w:rsid w:val="48006F1B"/>
    <w:rsid w:val="48050074"/>
    <w:rsid w:val="48D6D3F4"/>
    <w:rsid w:val="48EC23C6"/>
    <w:rsid w:val="48F5A943"/>
    <w:rsid w:val="4923F877"/>
    <w:rsid w:val="494C1A05"/>
    <w:rsid w:val="4952EE10"/>
    <w:rsid w:val="49721887"/>
    <w:rsid w:val="49F2B341"/>
    <w:rsid w:val="4B012285"/>
    <w:rsid w:val="4B05F55B"/>
    <w:rsid w:val="4B73694D"/>
    <w:rsid w:val="4B7F8100"/>
    <w:rsid w:val="4BCEE8AD"/>
    <w:rsid w:val="4BF5DE27"/>
    <w:rsid w:val="4C88D27F"/>
    <w:rsid w:val="4C9EA1FF"/>
    <w:rsid w:val="4D25FF0D"/>
    <w:rsid w:val="4E7072D3"/>
    <w:rsid w:val="4E8F9A8B"/>
    <w:rsid w:val="4F3329EC"/>
    <w:rsid w:val="4FC22F94"/>
    <w:rsid w:val="4FC26F12"/>
    <w:rsid w:val="4FDC5C4C"/>
    <w:rsid w:val="502F8472"/>
    <w:rsid w:val="505EBDE4"/>
    <w:rsid w:val="507AAE71"/>
    <w:rsid w:val="50F6D564"/>
    <w:rsid w:val="510A371A"/>
    <w:rsid w:val="511CB630"/>
    <w:rsid w:val="5126AD14"/>
    <w:rsid w:val="515DFFF5"/>
    <w:rsid w:val="51721322"/>
    <w:rsid w:val="518F0CE3"/>
    <w:rsid w:val="51D635FC"/>
    <w:rsid w:val="52272CE3"/>
    <w:rsid w:val="52D6FAA4"/>
    <w:rsid w:val="5351A699"/>
    <w:rsid w:val="540A7573"/>
    <w:rsid w:val="547B4F08"/>
    <w:rsid w:val="549C36F7"/>
    <w:rsid w:val="549E6A3A"/>
    <w:rsid w:val="54C65A30"/>
    <w:rsid w:val="54E92F44"/>
    <w:rsid w:val="54F070B5"/>
    <w:rsid w:val="55512686"/>
    <w:rsid w:val="5627F0F6"/>
    <w:rsid w:val="56E43DCE"/>
    <w:rsid w:val="56F7A3D5"/>
    <w:rsid w:val="570A1FFD"/>
    <w:rsid w:val="5739003C"/>
    <w:rsid w:val="574AE4FD"/>
    <w:rsid w:val="578ED33B"/>
    <w:rsid w:val="57A1B9F9"/>
    <w:rsid w:val="57B0A9FF"/>
    <w:rsid w:val="58F9284D"/>
    <w:rsid w:val="59C8989B"/>
    <w:rsid w:val="5A02B633"/>
    <w:rsid w:val="5A714D40"/>
    <w:rsid w:val="5A80CE7C"/>
    <w:rsid w:val="5A835AB8"/>
    <w:rsid w:val="5AB3E52A"/>
    <w:rsid w:val="5AF37FCF"/>
    <w:rsid w:val="5B30D0B2"/>
    <w:rsid w:val="5B512789"/>
    <w:rsid w:val="5B69FCCE"/>
    <w:rsid w:val="5B7354C5"/>
    <w:rsid w:val="5B7AF9A6"/>
    <w:rsid w:val="5BCE294D"/>
    <w:rsid w:val="5C05C2DA"/>
    <w:rsid w:val="5C5DB68C"/>
    <w:rsid w:val="5C67A9E5"/>
    <w:rsid w:val="5C7BE353"/>
    <w:rsid w:val="5D2C35D6"/>
    <w:rsid w:val="5D2D4AFE"/>
    <w:rsid w:val="5D548320"/>
    <w:rsid w:val="5D7E1980"/>
    <w:rsid w:val="5DB2BFC7"/>
    <w:rsid w:val="5DD57FAA"/>
    <w:rsid w:val="5F01DE77"/>
    <w:rsid w:val="5F12703C"/>
    <w:rsid w:val="5F24497D"/>
    <w:rsid w:val="5F32AB0C"/>
    <w:rsid w:val="5F71500B"/>
    <w:rsid w:val="60735A15"/>
    <w:rsid w:val="607E8B98"/>
    <w:rsid w:val="60C76667"/>
    <w:rsid w:val="6100FED9"/>
    <w:rsid w:val="613127AF"/>
    <w:rsid w:val="61931830"/>
    <w:rsid w:val="61C9CB07"/>
    <w:rsid w:val="61E793C4"/>
    <w:rsid w:val="6218E764"/>
    <w:rsid w:val="62385400"/>
    <w:rsid w:val="62BEF70F"/>
    <w:rsid w:val="62C2A6FB"/>
    <w:rsid w:val="62D103BE"/>
    <w:rsid w:val="62DA01F5"/>
    <w:rsid w:val="62F8499F"/>
    <w:rsid w:val="631EF682"/>
    <w:rsid w:val="632566BD"/>
    <w:rsid w:val="63B4B7C5"/>
    <w:rsid w:val="63B52E37"/>
    <w:rsid w:val="64475687"/>
    <w:rsid w:val="64BC8776"/>
    <w:rsid w:val="64FFE6AE"/>
    <w:rsid w:val="651F3486"/>
    <w:rsid w:val="65508826"/>
    <w:rsid w:val="6550FE98"/>
    <w:rsid w:val="65CF8FC1"/>
    <w:rsid w:val="65D2149C"/>
    <w:rsid w:val="66668953"/>
    <w:rsid w:val="668A957B"/>
    <w:rsid w:val="66BABEA8"/>
    <w:rsid w:val="66C676D4"/>
    <w:rsid w:val="66EC5887"/>
    <w:rsid w:val="66F85BC5"/>
    <w:rsid w:val="67001E71"/>
    <w:rsid w:val="67108506"/>
    <w:rsid w:val="673642A5"/>
    <w:rsid w:val="677074B3"/>
    <w:rsid w:val="677C7AB6"/>
    <w:rsid w:val="67E63D99"/>
    <w:rsid w:val="680259B4"/>
    <w:rsid w:val="684F9105"/>
    <w:rsid w:val="685D5FAB"/>
    <w:rsid w:val="687A58E0"/>
    <w:rsid w:val="6888A40F"/>
    <w:rsid w:val="690AD5FC"/>
    <w:rsid w:val="69359562"/>
    <w:rsid w:val="699E2A15"/>
    <w:rsid w:val="69EB6166"/>
    <w:rsid w:val="6A0489C3"/>
    <w:rsid w:val="6AD21809"/>
    <w:rsid w:val="6AE91201"/>
    <w:rsid w:val="6C3A6A57"/>
    <w:rsid w:val="6C835C5A"/>
    <w:rsid w:val="6CEF20D9"/>
    <w:rsid w:val="6D230228"/>
    <w:rsid w:val="6D25D611"/>
    <w:rsid w:val="6D2A466B"/>
    <w:rsid w:val="6D586845"/>
    <w:rsid w:val="6DE83AF9"/>
    <w:rsid w:val="6E00B893"/>
    <w:rsid w:val="6E1F2CBB"/>
    <w:rsid w:val="6E337AC2"/>
    <w:rsid w:val="6E748858"/>
    <w:rsid w:val="6EE7F078"/>
    <w:rsid w:val="6EF56CA9"/>
    <w:rsid w:val="6F2D415D"/>
    <w:rsid w:val="6FB3689E"/>
    <w:rsid w:val="6FB81E21"/>
    <w:rsid w:val="7029C6D4"/>
    <w:rsid w:val="70900907"/>
    <w:rsid w:val="709F3E0B"/>
    <w:rsid w:val="70A605F8"/>
    <w:rsid w:val="70AEC00F"/>
    <w:rsid w:val="70C911BE"/>
    <w:rsid w:val="7103091C"/>
    <w:rsid w:val="71D14D24"/>
    <w:rsid w:val="726CCFA5"/>
    <w:rsid w:val="72791107"/>
    <w:rsid w:val="7292F442"/>
    <w:rsid w:val="72A777E0"/>
    <w:rsid w:val="72D1E9E3"/>
    <w:rsid w:val="735F6DE4"/>
    <w:rsid w:val="73C280E8"/>
    <w:rsid w:val="7402A955"/>
    <w:rsid w:val="743A4A7A"/>
    <w:rsid w:val="74E8CA42"/>
    <w:rsid w:val="7538E520"/>
    <w:rsid w:val="757FBAA3"/>
    <w:rsid w:val="758094C8"/>
    <w:rsid w:val="75CB73BA"/>
    <w:rsid w:val="7641BCF8"/>
    <w:rsid w:val="76469259"/>
    <w:rsid w:val="765AE555"/>
    <w:rsid w:val="76927969"/>
    <w:rsid w:val="776119FE"/>
    <w:rsid w:val="77732CD9"/>
    <w:rsid w:val="77A55226"/>
    <w:rsid w:val="77A940A0"/>
    <w:rsid w:val="77DD8D59"/>
    <w:rsid w:val="77F1B88C"/>
    <w:rsid w:val="77FBFC36"/>
    <w:rsid w:val="78206B04"/>
    <w:rsid w:val="7891792E"/>
    <w:rsid w:val="78ACC36D"/>
    <w:rsid w:val="78DC1129"/>
    <w:rsid w:val="78E828C4"/>
    <w:rsid w:val="78F98AA6"/>
    <w:rsid w:val="79928617"/>
    <w:rsid w:val="79C04FB8"/>
    <w:rsid w:val="7A77E18A"/>
    <w:rsid w:val="7AA0F846"/>
    <w:rsid w:val="7AD135A9"/>
    <w:rsid w:val="7B44AC97"/>
    <w:rsid w:val="7B5F070D"/>
    <w:rsid w:val="7C5CEB51"/>
    <w:rsid w:val="7C74ADF8"/>
    <w:rsid w:val="7C7BB6B4"/>
    <w:rsid w:val="7C877BCC"/>
    <w:rsid w:val="7CDF4CE9"/>
    <w:rsid w:val="7CE5C468"/>
    <w:rsid w:val="7D0F1A5B"/>
    <w:rsid w:val="7D837741"/>
    <w:rsid w:val="7DCD0F83"/>
    <w:rsid w:val="7E0411BF"/>
    <w:rsid w:val="7E3D3E0B"/>
    <w:rsid w:val="7ED2A695"/>
    <w:rsid w:val="7EDEBCAA"/>
    <w:rsid w:val="7F18BE52"/>
    <w:rsid w:val="7FA04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9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6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2E2E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E33"/>
    <w:rPr>
      <w:sz w:val="20"/>
      <w:szCs w:val="20"/>
    </w:rPr>
  </w:style>
  <w:style w:type="character" w:styleId="FootnoteReference">
    <w:name w:val="footnote reference"/>
    <w:aliases w:val="fr"/>
    <w:basedOn w:val="DefaultParagraphFont"/>
    <w:uiPriority w:val="99"/>
    <w:semiHidden/>
    <w:unhideWhenUsed/>
    <w:rsid w:val="002E2E33"/>
    <w:rPr>
      <w:vertAlign w:val="superscript"/>
    </w:rPr>
  </w:style>
  <w:style w:type="paragraph" w:styleId="BalloonText">
    <w:name w:val="Balloon Text"/>
    <w:basedOn w:val="Normal"/>
    <w:link w:val="BalloonTextChar"/>
    <w:uiPriority w:val="99"/>
    <w:semiHidden/>
    <w:unhideWhenUsed/>
    <w:rsid w:val="00A86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94E"/>
    <w:rPr>
      <w:rFonts w:ascii="Segoe UI" w:hAnsi="Segoe UI" w:cs="Segoe UI"/>
      <w:sz w:val="18"/>
      <w:szCs w:val="18"/>
    </w:rPr>
  </w:style>
  <w:style w:type="paragraph" w:styleId="Header">
    <w:name w:val="header"/>
    <w:basedOn w:val="Normal"/>
    <w:link w:val="HeaderChar"/>
    <w:uiPriority w:val="99"/>
    <w:unhideWhenUsed/>
    <w:rsid w:val="00361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A77"/>
  </w:style>
  <w:style w:type="paragraph" w:styleId="Footer">
    <w:name w:val="footer"/>
    <w:basedOn w:val="Normal"/>
    <w:link w:val="FooterChar"/>
    <w:uiPriority w:val="99"/>
    <w:unhideWhenUsed/>
    <w:rsid w:val="00361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A77"/>
  </w:style>
  <w:style w:type="paragraph" w:styleId="ListParagraph">
    <w:name w:val="List Paragraph"/>
    <w:basedOn w:val="Normal"/>
    <w:uiPriority w:val="34"/>
    <w:qFormat/>
    <w:rsid w:val="00A72C6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Revision">
    <w:name w:val="Revision"/>
    <w:hidden/>
    <w:uiPriority w:val="99"/>
    <w:semiHidden/>
    <w:rsid w:val="00C62A12"/>
    <w:pPr>
      <w:spacing w:after="0" w:line="240" w:lineRule="auto"/>
    </w:pPr>
  </w:style>
  <w:style w:type="table" w:styleId="TableGrid">
    <w:name w:val="Table Grid"/>
    <w:basedOn w:val="TableNormal"/>
    <w:uiPriority w:val="39"/>
    <w:rsid w:val="00FD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2215B"/>
  </w:style>
  <w:style w:type="character" w:customStyle="1" w:styleId="Heading5Char">
    <w:name w:val="Heading 5 Char"/>
    <w:basedOn w:val="DefaultParagraphFont"/>
    <w:link w:val="Heading5"/>
    <w:rsid w:val="001C566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3043">
      <w:bodyDiv w:val="1"/>
      <w:marLeft w:val="0"/>
      <w:marRight w:val="0"/>
      <w:marTop w:val="0"/>
      <w:marBottom w:val="0"/>
      <w:divBdr>
        <w:top w:val="none" w:sz="0" w:space="0" w:color="auto"/>
        <w:left w:val="none" w:sz="0" w:space="0" w:color="auto"/>
        <w:bottom w:val="none" w:sz="0" w:space="0" w:color="auto"/>
        <w:right w:val="none" w:sz="0" w:space="0" w:color="auto"/>
      </w:divBdr>
    </w:div>
    <w:div w:id="306008553">
      <w:bodyDiv w:val="1"/>
      <w:marLeft w:val="0"/>
      <w:marRight w:val="0"/>
      <w:marTop w:val="0"/>
      <w:marBottom w:val="0"/>
      <w:divBdr>
        <w:top w:val="none" w:sz="0" w:space="0" w:color="auto"/>
        <w:left w:val="none" w:sz="0" w:space="0" w:color="auto"/>
        <w:bottom w:val="none" w:sz="0" w:space="0" w:color="auto"/>
        <w:right w:val="none" w:sz="0" w:space="0" w:color="auto"/>
      </w:divBdr>
    </w:div>
    <w:div w:id="308561343">
      <w:bodyDiv w:val="1"/>
      <w:marLeft w:val="0"/>
      <w:marRight w:val="0"/>
      <w:marTop w:val="0"/>
      <w:marBottom w:val="0"/>
      <w:divBdr>
        <w:top w:val="none" w:sz="0" w:space="0" w:color="auto"/>
        <w:left w:val="none" w:sz="0" w:space="0" w:color="auto"/>
        <w:bottom w:val="none" w:sz="0" w:space="0" w:color="auto"/>
        <w:right w:val="none" w:sz="0" w:space="0" w:color="auto"/>
      </w:divBdr>
    </w:div>
    <w:div w:id="344207929">
      <w:bodyDiv w:val="1"/>
      <w:marLeft w:val="0"/>
      <w:marRight w:val="0"/>
      <w:marTop w:val="0"/>
      <w:marBottom w:val="0"/>
      <w:divBdr>
        <w:top w:val="none" w:sz="0" w:space="0" w:color="auto"/>
        <w:left w:val="none" w:sz="0" w:space="0" w:color="auto"/>
        <w:bottom w:val="none" w:sz="0" w:space="0" w:color="auto"/>
        <w:right w:val="none" w:sz="0" w:space="0" w:color="auto"/>
      </w:divBdr>
    </w:div>
    <w:div w:id="418646140">
      <w:bodyDiv w:val="1"/>
      <w:marLeft w:val="0"/>
      <w:marRight w:val="0"/>
      <w:marTop w:val="0"/>
      <w:marBottom w:val="0"/>
      <w:divBdr>
        <w:top w:val="none" w:sz="0" w:space="0" w:color="auto"/>
        <w:left w:val="none" w:sz="0" w:space="0" w:color="auto"/>
        <w:bottom w:val="none" w:sz="0" w:space="0" w:color="auto"/>
        <w:right w:val="none" w:sz="0" w:space="0" w:color="auto"/>
      </w:divBdr>
    </w:div>
    <w:div w:id="1015617140">
      <w:bodyDiv w:val="1"/>
      <w:marLeft w:val="0"/>
      <w:marRight w:val="0"/>
      <w:marTop w:val="0"/>
      <w:marBottom w:val="0"/>
      <w:divBdr>
        <w:top w:val="none" w:sz="0" w:space="0" w:color="auto"/>
        <w:left w:val="none" w:sz="0" w:space="0" w:color="auto"/>
        <w:bottom w:val="none" w:sz="0" w:space="0" w:color="auto"/>
        <w:right w:val="none" w:sz="0" w:space="0" w:color="auto"/>
      </w:divBdr>
    </w:div>
    <w:div w:id="165853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7" ma:contentTypeDescription="Create a new document." ma:contentTypeScope="" ma:versionID="6eeb5a8ca08fa0ae6017f04d563a6e89">
  <xsd:schema xmlns:xsd="http://www.w3.org/2001/XMLSchema" xmlns:xs="http://www.w3.org/2001/XMLSchema" xmlns:p="http://schemas.microsoft.com/office/2006/metadata/properties" xmlns:ns1="http://schemas.microsoft.com/sharepoint/v3" xmlns:ns2="33e07890-6196-4e26-9dd2-53178dae8e48" xmlns:ns3="faa54b14-608b-44ba-8621-4287d9574b27" targetNamespace="http://schemas.microsoft.com/office/2006/metadata/properties" ma:root="true" ma:fieldsID="a37a0ce93773b635363f10925c83c069" ns1:_="" ns2:_="" ns3:_="">
    <xsd:import namespace="http://schemas.microsoft.com/sharepoint/v3"/>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a6a6631-4353-4bc1-8e74-4a49f1add123}" ma:internalName="TaxCatchAll" ma:showField="CatchAllData" ma:web="faa54b14-608b-44ba-8621-4287d9574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ufLPtzD0IXRYt88m+kC9p8unMGA==">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</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a54b14-608b-44ba-8621-4287d9574b27" xsi:nil="true"/>
    <lcf76f155ced4ddcb4097134ff3c332f xmlns="33e07890-6196-4e26-9dd2-53178dae8e4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48DFC9BE-85CD-4A43-8009-8F26E9FF033B}">
  <ds:schemaRefs>
    <ds:schemaRef ds:uri="http://schemas.microsoft.com/sharepoint/v3/contenttype/forms"/>
  </ds:schemaRefs>
</ds:datastoreItem>
</file>

<file path=customXml/itemProps2.xml><?xml version="1.0" encoding="utf-8"?>
<ds:datastoreItem xmlns:ds="http://schemas.openxmlformats.org/officeDocument/2006/customXml" ds:itemID="{1E22AC65-F5B0-4D1C-844D-7C7C7EBC88D4}">
  <ds:schemaRefs>
    <ds:schemaRef ds:uri="http://schemas.openxmlformats.org/officeDocument/2006/bibliography"/>
  </ds:schemaRefs>
</ds:datastoreItem>
</file>

<file path=customXml/itemProps3.xml><?xml version="1.0" encoding="utf-8"?>
<ds:datastoreItem xmlns:ds="http://schemas.openxmlformats.org/officeDocument/2006/customXml" ds:itemID="{1122BB95-97DE-44E4-9EA4-0260C3C5F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9DAE3DF-7D20-4B05-B7AB-EA18084C2F8C}">
  <ds:schemaRefs>
    <ds:schemaRef ds:uri="http://schemas.microsoft.com/office/2006/metadata/properties"/>
    <ds:schemaRef ds:uri="http://schemas.microsoft.com/office/infopath/2007/PartnerControls"/>
    <ds:schemaRef ds:uri="http://schemas.microsoft.com/sharepoint/v3"/>
    <ds:schemaRef ds:uri="faa54b14-608b-44ba-8621-4287d9574b27"/>
    <ds:schemaRef ds:uri="33e07890-6196-4e26-9dd2-53178dae8e4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1350</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2023-11-06T13:48:00Z</dcterms:created>
  <dcterms:modified xsi:type="dcterms:W3CDTF">2024-03-21T14:39:00Z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2022-11-18T17:24:54Z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f3ecb3cd-b37d-4971-8be7-25f81c2ccead</vt:lpwstr>
  </property>
  <property fmtid="{D5CDD505-2E9C-101B-9397-08002B2CF9AE}" pid="8" name="MSIP_Label_6bd9ddd1-4d20-43f6-abfa-fc3c07406f94_ContentBits">
    <vt:lpwstr>0</vt:lpwstr>
  </property>
  <property fmtid="{D5CDD505-2E9C-101B-9397-08002B2CF9AE}" pid="9" name="ContentTypeId">
    <vt:lpwstr>0x010100ECFDF3D715AA394A9B15E0E0FAA07E37</vt:lpwstr>
  </property>
  <property fmtid="{D5CDD505-2E9C-101B-9397-08002B2CF9AE}" pid="10" name="MediaServiceImageTags">
    <vt:lpwstr/>
  </property>
</Properties>
</file>