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1664" w14:textId="41AD6D31" w:rsidR="00AA281C" w:rsidRPr="001824F0" w:rsidRDefault="00AA281C" w:rsidP="00AA281C">
      <w:pPr>
        <w:pBdr>
          <w:top w:val="double" w:sz="4" w:space="1" w:color="auto"/>
          <w:left w:val="double" w:sz="4" w:space="4" w:color="auto"/>
          <w:bottom w:val="double" w:sz="4" w:space="1" w:color="auto"/>
          <w:right w:val="double" w:sz="4" w:space="4" w:color="auto"/>
        </w:pBdr>
        <w:spacing w:after="0" w:line="240" w:lineRule="auto"/>
        <w:jc w:val="both"/>
        <w:rPr>
          <w:rFonts w:ascii="Cambria" w:hAnsi="Cambria"/>
          <w:b/>
          <w:sz w:val="20"/>
          <w:szCs w:val="20"/>
        </w:rPr>
      </w:pPr>
      <w:bookmarkStart w:id="0" w:name="_Hlk148451026"/>
      <w:bookmarkStart w:id="1" w:name="_Hlk151282338"/>
      <w:r w:rsidRPr="001824F0">
        <w:rPr>
          <w:rFonts w:ascii="Cambria" w:hAnsi="Cambria"/>
          <w:b/>
          <w:sz w:val="20"/>
          <w:szCs w:val="20"/>
        </w:rPr>
        <w:t>23-</w:t>
      </w:r>
      <w:r w:rsidR="00AC7EE5" w:rsidRPr="001824F0">
        <w:rPr>
          <w:rFonts w:ascii="Cambria" w:hAnsi="Cambria"/>
          <w:b/>
          <w:sz w:val="20"/>
          <w:szCs w:val="20"/>
        </w:rPr>
        <w:t>10</w:t>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Pr="001824F0">
        <w:rPr>
          <w:rFonts w:ascii="Cambria" w:hAnsi="Cambria"/>
          <w:b/>
          <w:sz w:val="20"/>
          <w:szCs w:val="20"/>
        </w:rPr>
        <w:tab/>
      </w:r>
      <w:r w:rsidR="00AC7EE5" w:rsidRPr="001824F0">
        <w:rPr>
          <w:rFonts w:ascii="Cambria" w:hAnsi="Cambria"/>
          <w:b/>
          <w:sz w:val="20"/>
          <w:szCs w:val="20"/>
        </w:rPr>
        <w:t>SHK</w:t>
      </w:r>
    </w:p>
    <w:p w14:paraId="4A5BD9EE" w14:textId="77777777" w:rsidR="00AA281C" w:rsidRPr="001824F0" w:rsidRDefault="00AA281C" w:rsidP="00AA281C">
      <w:pPr>
        <w:pBdr>
          <w:top w:val="double" w:sz="4" w:space="1" w:color="auto"/>
          <w:left w:val="double" w:sz="4" w:space="4" w:color="auto"/>
          <w:bottom w:val="double" w:sz="4" w:space="1" w:color="auto"/>
          <w:right w:val="double" w:sz="4" w:space="4" w:color="auto"/>
        </w:pBdr>
        <w:spacing w:after="0" w:line="240" w:lineRule="auto"/>
        <w:jc w:val="both"/>
        <w:rPr>
          <w:rFonts w:ascii="Cambria" w:hAnsi="Cambria"/>
          <w:b/>
          <w:sz w:val="20"/>
          <w:szCs w:val="20"/>
        </w:rPr>
      </w:pPr>
    </w:p>
    <w:p w14:paraId="3A519F2A" w14:textId="54D419D8" w:rsidR="009E224D" w:rsidRPr="001824F0" w:rsidRDefault="00AA281C" w:rsidP="00AA281C">
      <w:pPr>
        <w:pBdr>
          <w:top w:val="double" w:sz="4" w:space="1" w:color="auto"/>
          <w:left w:val="double" w:sz="4" w:space="4" w:color="auto"/>
          <w:bottom w:val="double" w:sz="4" w:space="1" w:color="auto"/>
          <w:right w:val="double" w:sz="4" w:space="4" w:color="auto"/>
        </w:pBdr>
        <w:spacing w:after="0" w:line="240" w:lineRule="auto"/>
        <w:jc w:val="center"/>
        <w:rPr>
          <w:rFonts w:ascii="Cambria" w:eastAsia="Cambria" w:hAnsi="Cambria" w:cs="Cambria"/>
          <w:b/>
          <w:sz w:val="20"/>
          <w:szCs w:val="20"/>
        </w:rPr>
      </w:pPr>
      <w:r w:rsidRPr="001824F0">
        <w:rPr>
          <w:rFonts w:ascii="Cambria" w:hAnsi="Cambria"/>
          <w:b/>
          <w:sz w:val="20"/>
          <w:szCs w:val="20"/>
        </w:rPr>
        <w:t>RECOMMANDATION DE L'ICCAT REMPLAÇANT LA RECOMMANDATION 19-07 SUR DES MESURES DE GESTION POUR LA CONSERVATION DU REQUIN PEAU BLEUE DE L’ATLANTIQUE NORD CAPTUR</w:t>
      </w:r>
      <w:r w:rsidR="00D14CA7" w:rsidRPr="001824F0">
        <w:rPr>
          <w:rFonts w:ascii="Cambria" w:hAnsi="Cambria"/>
          <w:b/>
          <w:sz w:val="20"/>
          <w:szCs w:val="20"/>
        </w:rPr>
        <w:t>É</w:t>
      </w:r>
      <w:r w:rsidRPr="001824F0">
        <w:rPr>
          <w:rFonts w:ascii="Cambria" w:hAnsi="Cambria"/>
          <w:b/>
          <w:sz w:val="20"/>
          <w:szCs w:val="20"/>
        </w:rPr>
        <w:t xml:space="preserve"> EN ASSOCIATION AVEC LES P</w:t>
      </w:r>
      <w:r w:rsidR="00D14CA7" w:rsidRPr="001824F0">
        <w:rPr>
          <w:rFonts w:ascii="Cambria" w:hAnsi="Cambria"/>
          <w:b/>
          <w:sz w:val="20"/>
          <w:szCs w:val="20"/>
        </w:rPr>
        <w:t>Ê</w:t>
      </w:r>
      <w:r w:rsidRPr="001824F0">
        <w:rPr>
          <w:rFonts w:ascii="Cambria" w:hAnsi="Cambria"/>
          <w:b/>
          <w:sz w:val="20"/>
          <w:szCs w:val="20"/>
        </w:rPr>
        <w:t>CHERIES DE L’ICCAT</w:t>
      </w:r>
    </w:p>
    <w:bookmarkEnd w:id="0"/>
    <w:p w14:paraId="582E4C4C" w14:textId="77777777" w:rsidR="00647350" w:rsidRPr="001824F0" w:rsidRDefault="00647350" w:rsidP="00AA281C">
      <w:pPr>
        <w:pBdr>
          <w:top w:val="double" w:sz="4" w:space="1" w:color="auto"/>
          <w:left w:val="double" w:sz="4" w:space="4" w:color="auto"/>
          <w:bottom w:val="double" w:sz="4" w:space="1" w:color="auto"/>
          <w:right w:val="double" w:sz="4" w:space="4" w:color="auto"/>
        </w:pBdr>
        <w:spacing w:after="0" w:line="240" w:lineRule="auto"/>
        <w:jc w:val="center"/>
        <w:rPr>
          <w:rFonts w:ascii="Cambria" w:eastAsia="Cambria" w:hAnsi="Cambria" w:cs="Cambria"/>
          <w:bCs/>
          <w:i/>
          <w:iCs/>
          <w:sz w:val="20"/>
          <w:szCs w:val="20"/>
        </w:rPr>
      </w:pPr>
    </w:p>
    <w:p w14:paraId="2EFC2514" w14:textId="77777777" w:rsidR="00647350" w:rsidRPr="001824F0" w:rsidRDefault="00647350" w:rsidP="00BC4836">
      <w:pPr>
        <w:spacing w:after="0" w:line="240" w:lineRule="auto"/>
        <w:jc w:val="center"/>
        <w:rPr>
          <w:rFonts w:ascii="Cambria" w:eastAsia="Cambria" w:hAnsi="Cambria" w:cs="Cambria"/>
          <w:b/>
          <w:sz w:val="20"/>
          <w:szCs w:val="20"/>
        </w:rPr>
      </w:pPr>
    </w:p>
    <w:bookmarkEnd w:id="1"/>
    <w:p w14:paraId="199BFAF9" w14:textId="1356D5AC" w:rsidR="009164DB" w:rsidRPr="001824F0" w:rsidRDefault="00013D77" w:rsidP="00BF334A">
      <w:pPr>
        <w:spacing w:after="0" w:line="240" w:lineRule="auto"/>
        <w:ind w:firstLine="426"/>
        <w:jc w:val="both"/>
        <w:rPr>
          <w:rFonts w:ascii="Cambria" w:eastAsia="Cambria" w:hAnsi="Cambria" w:cs="Cambria"/>
          <w:iCs/>
          <w:sz w:val="20"/>
          <w:szCs w:val="20"/>
        </w:rPr>
      </w:pPr>
      <w:r w:rsidRPr="001824F0">
        <w:rPr>
          <w:rFonts w:ascii="Cambria" w:hAnsi="Cambria"/>
          <w:i/>
          <w:iCs/>
          <w:sz w:val="20"/>
          <w:szCs w:val="20"/>
        </w:rPr>
        <w:t>RAPPELANT</w:t>
      </w:r>
      <w:r w:rsidRPr="001824F0">
        <w:rPr>
          <w:rFonts w:ascii="Cambria" w:hAnsi="Cambria"/>
          <w:sz w:val="20"/>
          <w:szCs w:val="20"/>
        </w:rPr>
        <w:t xml:space="preserve"> que la Commission a adopté la </w:t>
      </w:r>
      <w:r w:rsidRPr="001824F0">
        <w:rPr>
          <w:rFonts w:ascii="Cambria" w:hAnsi="Cambria"/>
          <w:i/>
          <w:iCs/>
          <w:sz w:val="20"/>
          <w:szCs w:val="20"/>
        </w:rPr>
        <w:t>Résolution de l’ICCAT sur les requins atlantiques</w:t>
      </w:r>
      <w:r w:rsidRPr="001824F0">
        <w:rPr>
          <w:rFonts w:ascii="Cambria" w:hAnsi="Cambria"/>
          <w:sz w:val="20"/>
          <w:szCs w:val="20"/>
        </w:rPr>
        <w:t xml:space="preserve"> (Rés. 01-11), la </w:t>
      </w:r>
      <w:r w:rsidRPr="001824F0">
        <w:rPr>
          <w:rFonts w:ascii="Cambria" w:hAnsi="Cambria"/>
          <w:i/>
          <w:iCs/>
          <w:sz w:val="20"/>
          <w:szCs w:val="20"/>
        </w:rPr>
        <w:t>Recommandation de l’ICCAT concernant la conservation des requins capturés en association avec les pêcheries gérées par l’ICCAT</w:t>
      </w:r>
      <w:r w:rsidRPr="001824F0">
        <w:rPr>
          <w:rFonts w:ascii="Cambria" w:hAnsi="Cambria"/>
          <w:sz w:val="20"/>
          <w:szCs w:val="20"/>
        </w:rPr>
        <w:t xml:space="preserve"> (Rec. 04-10), la </w:t>
      </w:r>
      <w:r w:rsidRPr="001824F0">
        <w:rPr>
          <w:rFonts w:ascii="Cambria" w:hAnsi="Cambria"/>
          <w:i/>
          <w:iCs/>
          <w:sz w:val="20"/>
          <w:szCs w:val="20"/>
        </w:rPr>
        <w:t>Recommandation supplémentaire de l’ICCAT concernant les requins</w:t>
      </w:r>
      <w:r w:rsidRPr="001824F0">
        <w:rPr>
          <w:rFonts w:ascii="Cambria" w:hAnsi="Cambria"/>
          <w:sz w:val="20"/>
          <w:szCs w:val="20"/>
        </w:rPr>
        <w:t xml:space="preserve"> (Rec. 07-06), y compris l’obligation pour les CPC de déclarer chaque année les données de tâche 1 et de tâche 2 concernant les requins, conformément aux procédures de déclaration des données de l'ICCAT</w:t>
      </w:r>
      <w:r w:rsidR="00820207">
        <w:rPr>
          <w:rFonts w:ascii="Cambria" w:hAnsi="Cambria"/>
          <w:sz w:val="20"/>
          <w:szCs w:val="20"/>
        </w:rPr>
        <w:t>,</w:t>
      </w:r>
      <w:r w:rsidRPr="001824F0">
        <w:rPr>
          <w:rFonts w:ascii="Cambria" w:hAnsi="Cambria"/>
          <w:sz w:val="20"/>
          <w:szCs w:val="20"/>
        </w:rPr>
        <w:t xml:space="preserve"> et la </w:t>
      </w:r>
      <w:r w:rsidRPr="001824F0">
        <w:rPr>
          <w:rFonts w:ascii="Cambria" w:hAnsi="Cambria"/>
          <w:i/>
          <w:iCs/>
          <w:sz w:val="20"/>
          <w:szCs w:val="20"/>
        </w:rPr>
        <w:t>Recommandation de l’ICCAT sur le développement de règles de contrôle de l’exploitation et d'une évaluation de la stratégie de gestion</w:t>
      </w:r>
      <w:r w:rsidRPr="001824F0">
        <w:rPr>
          <w:rFonts w:ascii="Cambria" w:hAnsi="Cambria"/>
          <w:sz w:val="20"/>
          <w:szCs w:val="20"/>
        </w:rPr>
        <w:t xml:space="preserve"> (Rec. 15-07)</w:t>
      </w:r>
      <w:r w:rsidR="008827C2" w:rsidRPr="001824F0">
        <w:rPr>
          <w:rFonts w:ascii="Cambria" w:hAnsi="Cambria"/>
          <w:sz w:val="20"/>
          <w:szCs w:val="20"/>
        </w:rPr>
        <w:t> ;</w:t>
      </w:r>
    </w:p>
    <w:p w14:paraId="23E08F00" w14:textId="77777777" w:rsidR="009164DB" w:rsidRPr="001824F0" w:rsidRDefault="009164DB" w:rsidP="00BF334A">
      <w:pPr>
        <w:spacing w:after="0" w:line="240" w:lineRule="auto"/>
        <w:ind w:firstLine="426"/>
        <w:jc w:val="both"/>
        <w:rPr>
          <w:rFonts w:ascii="Cambria" w:eastAsia="Cambria" w:hAnsi="Cambria" w:cs="Cambria"/>
          <w:iCs/>
          <w:sz w:val="20"/>
          <w:szCs w:val="20"/>
        </w:rPr>
      </w:pPr>
    </w:p>
    <w:p w14:paraId="01B3A16E" w14:textId="68474E5D" w:rsidR="009164DB" w:rsidRPr="001824F0" w:rsidRDefault="009164DB" w:rsidP="00BF334A">
      <w:pPr>
        <w:spacing w:after="0" w:line="240" w:lineRule="auto"/>
        <w:ind w:firstLine="426"/>
        <w:jc w:val="both"/>
        <w:rPr>
          <w:rFonts w:ascii="Cambria" w:eastAsia="Cambria" w:hAnsi="Cambria" w:cs="Cambria"/>
          <w:sz w:val="20"/>
          <w:szCs w:val="20"/>
        </w:rPr>
      </w:pPr>
      <w:r w:rsidRPr="001824F0">
        <w:rPr>
          <w:rFonts w:ascii="Cambria" w:hAnsi="Cambria"/>
          <w:i/>
          <w:iCs/>
          <w:sz w:val="20"/>
          <w:szCs w:val="20"/>
        </w:rPr>
        <w:t xml:space="preserve">RAPPELANT EN OUTRE </w:t>
      </w:r>
      <w:r w:rsidRPr="001824F0">
        <w:rPr>
          <w:rFonts w:ascii="Cambria" w:hAnsi="Cambria"/>
          <w:sz w:val="20"/>
          <w:szCs w:val="20"/>
        </w:rPr>
        <w:t xml:space="preserve">que la Commission a adopté des mesures de gestion aux fins de la protection des espèces de requins menacées d'extinction capturées en association avec les pêcheries gérées par l'ICCAT et de la conservation et l'utilisation durable des espèces </w:t>
      </w:r>
      <w:r w:rsidR="00A46DBC" w:rsidRPr="001824F0">
        <w:rPr>
          <w:rFonts w:ascii="Cambria" w:hAnsi="Cambria"/>
          <w:sz w:val="20"/>
          <w:szCs w:val="20"/>
        </w:rPr>
        <w:t xml:space="preserve">commerciales </w:t>
      </w:r>
      <w:r w:rsidRPr="001824F0">
        <w:rPr>
          <w:rFonts w:ascii="Cambria" w:hAnsi="Cambria"/>
          <w:sz w:val="20"/>
          <w:szCs w:val="20"/>
        </w:rPr>
        <w:t xml:space="preserve">de </w:t>
      </w:r>
      <w:r w:rsidR="00F579A5" w:rsidRPr="001824F0">
        <w:rPr>
          <w:rFonts w:ascii="Cambria" w:hAnsi="Cambria"/>
          <w:sz w:val="20"/>
          <w:szCs w:val="20"/>
        </w:rPr>
        <w:t>requins ;</w:t>
      </w:r>
    </w:p>
    <w:p w14:paraId="6A76E5D2" w14:textId="7C2FC5C5" w:rsidR="009164DB" w:rsidRPr="001824F0" w:rsidRDefault="009164DB" w:rsidP="00BF334A">
      <w:pPr>
        <w:spacing w:after="0" w:line="240" w:lineRule="auto"/>
        <w:ind w:firstLine="426"/>
        <w:jc w:val="both"/>
        <w:rPr>
          <w:rFonts w:ascii="Cambria" w:eastAsia="Cambria" w:hAnsi="Cambria" w:cs="Cambria"/>
          <w:iCs/>
          <w:sz w:val="20"/>
          <w:szCs w:val="20"/>
        </w:rPr>
      </w:pPr>
    </w:p>
    <w:p w14:paraId="4E5E719D" w14:textId="054FF3B1" w:rsidR="00647350" w:rsidRPr="001824F0" w:rsidRDefault="00647350" w:rsidP="00647350">
      <w:pPr>
        <w:tabs>
          <w:tab w:val="left" w:pos="480"/>
        </w:tabs>
        <w:spacing w:after="0" w:line="240" w:lineRule="auto"/>
        <w:ind w:firstLine="284"/>
        <w:jc w:val="both"/>
        <w:rPr>
          <w:rFonts w:ascii="Cambria" w:eastAsia="Cambria" w:hAnsi="Cambria" w:cs="Cambria"/>
          <w:sz w:val="20"/>
          <w:szCs w:val="20"/>
        </w:rPr>
      </w:pPr>
      <w:r w:rsidRPr="001824F0">
        <w:rPr>
          <w:rFonts w:ascii="Cambria" w:hAnsi="Cambria"/>
          <w:i/>
          <w:iCs/>
          <w:sz w:val="20"/>
        </w:rPr>
        <w:t>RAPPELANT DE SURCROÎT</w:t>
      </w:r>
      <w:r w:rsidRPr="001824F0">
        <w:rPr>
          <w:rFonts w:ascii="Cambria" w:hAnsi="Cambria"/>
          <w:sz w:val="20"/>
        </w:rPr>
        <w:t xml:space="preserve"> que la Commission a adopté la Recommandation 16-12 sur des mesures de gestion s'appliquant au requin peau bleue de l'Atlantique (</w:t>
      </w:r>
      <w:r w:rsidRPr="001824F0">
        <w:rPr>
          <w:rFonts w:ascii="Cambria" w:hAnsi="Cambria"/>
          <w:i/>
          <w:iCs/>
          <w:sz w:val="20"/>
        </w:rPr>
        <w:t>Prionace glauca</w:t>
      </w:r>
      <w:r w:rsidRPr="001824F0">
        <w:rPr>
          <w:rFonts w:ascii="Cambria" w:hAnsi="Cambria"/>
          <w:sz w:val="20"/>
        </w:rPr>
        <w:t>) et a ensuite adopté des limites de capture pour le stock de requin peau bleue de l'Atlantique Nord dans la Recommandation 19-0</w:t>
      </w:r>
      <w:r w:rsidR="001824F0">
        <w:rPr>
          <w:rFonts w:ascii="Cambria" w:hAnsi="Cambria"/>
          <w:sz w:val="20"/>
        </w:rPr>
        <w:t>7</w:t>
      </w:r>
      <w:r w:rsidR="00454F3F" w:rsidRPr="001824F0">
        <w:rPr>
          <w:rFonts w:ascii="Cambria" w:hAnsi="Cambria"/>
          <w:sz w:val="20"/>
        </w:rPr>
        <w:t xml:space="preserve"> </w:t>
      </w:r>
      <w:r w:rsidRPr="001824F0">
        <w:rPr>
          <w:rFonts w:ascii="Cambria" w:hAnsi="Cambria"/>
          <w:sz w:val="20"/>
        </w:rPr>
        <w:t xml:space="preserve">amendée </w:t>
      </w:r>
      <w:r w:rsidR="00454F3F" w:rsidRPr="001824F0">
        <w:rPr>
          <w:rFonts w:ascii="Cambria" w:hAnsi="Cambria"/>
          <w:sz w:val="20"/>
        </w:rPr>
        <w:t>par</w:t>
      </w:r>
      <w:r w:rsidRPr="001824F0">
        <w:rPr>
          <w:rFonts w:ascii="Cambria" w:hAnsi="Cambria"/>
          <w:sz w:val="20"/>
        </w:rPr>
        <w:t xml:space="preserve"> la Recommandation 21-10 ;</w:t>
      </w:r>
    </w:p>
    <w:p w14:paraId="7881B2C2" w14:textId="77777777" w:rsidR="00AF08E7" w:rsidRPr="001824F0" w:rsidRDefault="00AF08E7" w:rsidP="00BF334A">
      <w:pPr>
        <w:spacing w:after="0" w:line="240" w:lineRule="auto"/>
        <w:ind w:firstLine="426"/>
        <w:jc w:val="both"/>
        <w:rPr>
          <w:rFonts w:ascii="Cambria" w:eastAsia="Cambria" w:hAnsi="Cambria" w:cs="Cambria"/>
          <w:iCs/>
          <w:sz w:val="20"/>
          <w:szCs w:val="20"/>
        </w:rPr>
      </w:pPr>
    </w:p>
    <w:p w14:paraId="78233CEF" w14:textId="4F60CC92" w:rsidR="009164DB" w:rsidRPr="001824F0" w:rsidRDefault="009164DB" w:rsidP="00BF334A">
      <w:pPr>
        <w:spacing w:after="0" w:line="240" w:lineRule="auto"/>
        <w:ind w:firstLine="426"/>
        <w:jc w:val="both"/>
        <w:rPr>
          <w:rFonts w:ascii="Cambria" w:eastAsia="Cambria" w:hAnsi="Cambria" w:cs="Cambria"/>
          <w:sz w:val="20"/>
          <w:szCs w:val="20"/>
        </w:rPr>
      </w:pPr>
      <w:r w:rsidRPr="001824F0">
        <w:rPr>
          <w:rFonts w:ascii="Cambria" w:hAnsi="Cambria"/>
          <w:i/>
          <w:iCs/>
          <w:sz w:val="20"/>
        </w:rPr>
        <w:t>RECONNAISSANT</w:t>
      </w:r>
      <w:r w:rsidRPr="001824F0">
        <w:rPr>
          <w:rFonts w:ascii="Cambria" w:hAnsi="Cambria"/>
          <w:sz w:val="20"/>
        </w:rPr>
        <w:t xml:space="preserve"> que le requin peau bleue de l'Atlantique est capturé en association avec des pêcheries gérées par l’ICCAT et que ses stocks peuvent être gérés de façon durable sur la base de l'avis du SCRS</w:t>
      </w:r>
      <w:r w:rsidR="00A46DBC" w:rsidRPr="001824F0">
        <w:rPr>
          <w:rFonts w:ascii="Cambria" w:hAnsi="Cambria"/>
          <w:sz w:val="20"/>
        </w:rPr>
        <w:t> ;</w:t>
      </w:r>
    </w:p>
    <w:p w14:paraId="639BAE8C" w14:textId="07C97249" w:rsidR="009164DB" w:rsidRPr="001824F0" w:rsidRDefault="009164DB" w:rsidP="00BF334A">
      <w:pPr>
        <w:spacing w:after="0" w:line="240" w:lineRule="auto"/>
        <w:ind w:firstLine="426"/>
        <w:jc w:val="both"/>
        <w:rPr>
          <w:rFonts w:ascii="Cambria" w:eastAsia="Cambria" w:hAnsi="Cambria" w:cs="Cambria"/>
          <w:iCs/>
          <w:sz w:val="20"/>
          <w:szCs w:val="20"/>
        </w:rPr>
      </w:pPr>
    </w:p>
    <w:p w14:paraId="2CA0D915" w14:textId="4379E10B" w:rsidR="00487ABC" w:rsidRPr="001824F0" w:rsidRDefault="009164DB" w:rsidP="00BF334A">
      <w:pPr>
        <w:spacing w:after="0" w:line="240" w:lineRule="auto"/>
        <w:ind w:firstLine="426"/>
        <w:jc w:val="both"/>
        <w:rPr>
          <w:rFonts w:ascii="Cambria" w:eastAsia="Cambria" w:hAnsi="Cambria" w:cs="Cambria"/>
          <w:sz w:val="20"/>
          <w:szCs w:val="20"/>
        </w:rPr>
      </w:pPr>
      <w:r w:rsidRPr="001824F0">
        <w:rPr>
          <w:rFonts w:ascii="Cambria" w:hAnsi="Cambria"/>
          <w:i/>
          <w:iCs/>
          <w:sz w:val="20"/>
          <w:szCs w:val="20"/>
        </w:rPr>
        <w:t>CONSIDÉRANT</w:t>
      </w:r>
      <w:r w:rsidRPr="001824F0">
        <w:rPr>
          <w:rFonts w:ascii="Cambria" w:hAnsi="Cambria"/>
          <w:sz w:val="20"/>
          <w:szCs w:val="20"/>
        </w:rPr>
        <w:t xml:space="preserve"> que, à la suite de l'évaluation de stock réalisée en 2023, le SCRS indique dans son rapport que le</w:t>
      </w:r>
      <w:r w:rsidR="007F3BCA" w:rsidRPr="001824F0">
        <w:rPr>
          <w:rFonts w:ascii="Cambria" w:hAnsi="Cambria"/>
          <w:sz w:val="20"/>
          <w:szCs w:val="20"/>
        </w:rPr>
        <w:t xml:space="preserve"> stock de</w:t>
      </w:r>
      <w:r w:rsidRPr="001824F0">
        <w:rPr>
          <w:rFonts w:ascii="Cambria" w:hAnsi="Cambria"/>
          <w:sz w:val="20"/>
          <w:szCs w:val="20"/>
        </w:rPr>
        <w:t xml:space="preserve"> requin peau bleue de l'Atlantique Nord n'est pas surexploité et qu’il ne fait pas l’objet de surpêche</w:t>
      </w:r>
      <w:r w:rsidR="00A46DBC" w:rsidRPr="001824F0">
        <w:rPr>
          <w:rFonts w:ascii="Cambria" w:hAnsi="Cambria"/>
          <w:sz w:val="20"/>
          <w:szCs w:val="20"/>
        </w:rPr>
        <w:t> ;</w:t>
      </w:r>
    </w:p>
    <w:p w14:paraId="20C1E5D4" w14:textId="77777777" w:rsidR="009E224D" w:rsidRPr="001824F0" w:rsidRDefault="009E224D" w:rsidP="10350925">
      <w:pPr>
        <w:tabs>
          <w:tab w:val="left" w:pos="480"/>
        </w:tabs>
        <w:spacing w:after="0" w:line="240" w:lineRule="auto"/>
        <w:jc w:val="both"/>
        <w:rPr>
          <w:rFonts w:ascii="Cambria" w:eastAsia="Cambria" w:hAnsi="Cambria" w:cs="Cambria"/>
          <w:sz w:val="20"/>
          <w:szCs w:val="20"/>
        </w:rPr>
      </w:pPr>
    </w:p>
    <w:p w14:paraId="091394F6" w14:textId="2D839BCE" w:rsidR="00647350" w:rsidRPr="001824F0" w:rsidRDefault="00647350" w:rsidP="00647350">
      <w:pPr>
        <w:tabs>
          <w:tab w:val="left" w:pos="480"/>
        </w:tabs>
        <w:spacing w:after="0" w:line="240" w:lineRule="auto"/>
        <w:ind w:firstLine="284"/>
        <w:jc w:val="both"/>
        <w:rPr>
          <w:rFonts w:ascii="Cambria" w:eastAsia="Cambria" w:hAnsi="Cambria" w:cs="Cambria"/>
          <w:sz w:val="20"/>
          <w:szCs w:val="20"/>
        </w:rPr>
      </w:pPr>
      <w:r w:rsidRPr="001824F0">
        <w:rPr>
          <w:rFonts w:ascii="Cambria" w:hAnsi="Cambria"/>
          <w:i/>
          <w:iCs/>
          <w:sz w:val="20"/>
          <w:szCs w:val="20"/>
        </w:rPr>
        <w:t>CONSIDÉRANT EN OUTRE</w:t>
      </w:r>
      <w:r w:rsidRPr="001824F0">
        <w:rPr>
          <w:rFonts w:ascii="Cambria" w:hAnsi="Cambria"/>
          <w:sz w:val="20"/>
          <w:szCs w:val="20"/>
        </w:rPr>
        <w:t xml:space="preserve"> que le rapport du SCRS de 2023 indique « qu’il y a une probabilité de 49,6</w:t>
      </w:r>
      <w:r w:rsidR="00454F3F" w:rsidRPr="001824F0">
        <w:rPr>
          <w:rFonts w:ascii="Cambria" w:hAnsi="Cambria"/>
          <w:sz w:val="20"/>
          <w:szCs w:val="20"/>
        </w:rPr>
        <w:t> </w:t>
      </w:r>
      <w:r w:rsidRPr="001824F0">
        <w:rPr>
          <w:rFonts w:ascii="Cambria" w:hAnsi="Cambria"/>
          <w:sz w:val="20"/>
          <w:szCs w:val="20"/>
        </w:rPr>
        <w:t xml:space="preserve">% que le stock se trouve actuellement dans le quadrant jaune du diagramme de Kobe (surexploité mais ne faisant pas l’objet de surpêche) », ce qui implique qu'une approche plus prudente est nécessaire pour garantir que le stock reste dans le quadrant </w:t>
      </w:r>
      <w:r w:rsidR="00650499" w:rsidRPr="001824F0">
        <w:rPr>
          <w:rFonts w:ascii="Cambria" w:hAnsi="Cambria"/>
          <w:sz w:val="20"/>
          <w:szCs w:val="20"/>
        </w:rPr>
        <w:t>vert</w:t>
      </w:r>
      <w:r w:rsidR="00454F3F" w:rsidRPr="001824F0">
        <w:rPr>
          <w:rFonts w:ascii="Cambria" w:hAnsi="Cambria"/>
          <w:sz w:val="20"/>
          <w:szCs w:val="20"/>
        </w:rPr>
        <w:t> ;</w:t>
      </w:r>
    </w:p>
    <w:p w14:paraId="5B0FBFFA" w14:textId="77777777" w:rsidR="00AF08E7" w:rsidRPr="001824F0" w:rsidRDefault="00AF08E7" w:rsidP="10350925">
      <w:pPr>
        <w:tabs>
          <w:tab w:val="left" w:pos="480"/>
        </w:tabs>
        <w:spacing w:after="0" w:line="240" w:lineRule="auto"/>
        <w:jc w:val="both"/>
        <w:rPr>
          <w:rFonts w:ascii="Cambria" w:eastAsia="Cambria" w:hAnsi="Cambria" w:cs="Cambria"/>
          <w:sz w:val="20"/>
          <w:szCs w:val="20"/>
        </w:rPr>
      </w:pPr>
    </w:p>
    <w:p w14:paraId="0896CB84" w14:textId="7996DD99" w:rsidR="00A81FEE" w:rsidRPr="001824F0" w:rsidRDefault="28A33B8D" w:rsidP="00BF334A">
      <w:pPr>
        <w:spacing w:after="0" w:line="240" w:lineRule="auto"/>
        <w:ind w:firstLine="426"/>
        <w:jc w:val="both"/>
        <w:rPr>
          <w:rFonts w:ascii="Cambria" w:eastAsia="Cambria" w:hAnsi="Cambria" w:cs="Cambria"/>
          <w:sz w:val="20"/>
          <w:szCs w:val="20"/>
        </w:rPr>
      </w:pPr>
      <w:r w:rsidRPr="001824F0">
        <w:rPr>
          <w:rFonts w:ascii="Cambria" w:hAnsi="Cambria"/>
          <w:i/>
          <w:iCs/>
          <w:sz w:val="20"/>
          <w:szCs w:val="20"/>
        </w:rPr>
        <w:t xml:space="preserve">CONSIDÉRANT </w:t>
      </w:r>
      <w:r w:rsidR="00454F3F" w:rsidRPr="001824F0">
        <w:rPr>
          <w:rFonts w:ascii="Cambria" w:hAnsi="Cambria"/>
          <w:i/>
          <w:iCs/>
          <w:sz w:val="20"/>
          <w:szCs w:val="20"/>
        </w:rPr>
        <w:t>DE SURCROÎT</w:t>
      </w:r>
      <w:r w:rsidRPr="001824F0">
        <w:rPr>
          <w:rFonts w:ascii="Cambria" w:hAnsi="Cambria"/>
          <w:sz w:val="20"/>
          <w:szCs w:val="20"/>
        </w:rPr>
        <w:t xml:space="preserve"> que</w:t>
      </w:r>
      <w:r w:rsidR="001A2C06" w:rsidRPr="001824F0">
        <w:rPr>
          <w:rFonts w:ascii="Cambria" w:hAnsi="Cambria"/>
          <w:sz w:val="20"/>
          <w:szCs w:val="20"/>
        </w:rPr>
        <w:t>,</w:t>
      </w:r>
      <w:r w:rsidRPr="001824F0">
        <w:rPr>
          <w:rFonts w:ascii="Cambria" w:hAnsi="Cambria"/>
          <w:sz w:val="20"/>
          <w:szCs w:val="20"/>
        </w:rPr>
        <w:t xml:space="preserve"> depuis 2019, la production moyenne est inférieure au niveau de la </w:t>
      </w:r>
      <w:r w:rsidR="00454F3F" w:rsidRPr="001824F0">
        <w:rPr>
          <w:rFonts w:ascii="Cambria" w:hAnsi="Cambria"/>
          <w:sz w:val="20"/>
          <w:szCs w:val="20"/>
        </w:rPr>
        <w:t>production maximale équilibrée (</w:t>
      </w:r>
      <w:r w:rsidRPr="001824F0">
        <w:rPr>
          <w:rFonts w:ascii="Cambria" w:hAnsi="Cambria"/>
          <w:sz w:val="20"/>
          <w:szCs w:val="20"/>
        </w:rPr>
        <w:t>PME</w:t>
      </w:r>
      <w:r w:rsidR="00454F3F" w:rsidRPr="001824F0">
        <w:rPr>
          <w:rFonts w:ascii="Cambria" w:hAnsi="Cambria"/>
          <w:sz w:val="20"/>
          <w:szCs w:val="20"/>
        </w:rPr>
        <w:t>)</w:t>
      </w:r>
      <w:r w:rsidRPr="001824F0">
        <w:rPr>
          <w:rFonts w:ascii="Cambria" w:hAnsi="Cambria"/>
          <w:sz w:val="20"/>
          <w:szCs w:val="20"/>
        </w:rPr>
        <w:t xml:space="preserve"> estimée dans l'évaluation du stock de 2023</w:t>
      </w:r>
      <w:r w:rsidR="00A46DBC" w:rsidRPr="001824F0">
        <w:rPr>
          <w:rFonts w:ascii="Cambria" w:hAnsi="Cambria"/>
          <w:sz w:val="20"/>
          <w:szCs w:val="20"/>
        </w:rPr>
        <w:t> ;</w:t>
      </w:r>
    </w:p>
    <w:p w14:paraId="661C7ACB" w14:textId="564216B6" w:rsidR="677074B3" w:rsidRPr="001824F0" w:rsidRDefault="677074B3" w:rsidP="00BF334A">
      <w:pPr>
        <w:spacing w:after="0" w:line="240" w:lineRule="auto"/>
        <w:ind w:firstLine="426"/>
        <w:jc w:val="both"/>
        <w:rPr>
          <w:rFonts w:ascii="Cambria" w:eastAsia="Cambria" w:hAnsi="Cambria" w:cs="Cambria"/>
          <w:sz w:val="20"/>
          <w:szCs w:val="20"/>
        </w:rPr>
      </w:pPr>
    </w:p>
    <w:p w14:paraId="1CCD1FAC" w14:textId="748F84AD" w:rsidR="5B7AF9A6" w:rsidRPr="001824F0" w:rsidRDefault="205572C1" w:rsidP="00BF334A">
      <w:pPr>
        <w:spacing w:after="0" w:line="240" w:lineRule="auto"/>
        <w:ind w:firstLine="426"/>
        <w:jc w:val="both"/>
        <w:rPr>
          <w:rFonts w:ascii="Cambria" w:eastAsia="Cambria" w:hAnsi="Cambria" w:cs="Cambria"/>
          <w:sz w:val="20"/>
          <w:szCs w:val="20"/>
        </w:rPr>
      </w:pPr>
      <w:r w:rsidRPr="001824F0">
        <w:rPr>
          <w:rFonts w:ascii="Cambria" w:hAnsi="Cambria"/>
          <w:i/>
          <w:iCs/>
          <w:sz w:val="20"/>
          <w:szCs w:val="20"/>
        </w:rPr>
        <w:t>NOTANT</w:t>
      </w:r>
      <w:r w:rsidRPr="001824F0">
        <w:rPr>
          <w:rFonts w:ascii="Cambria" w:hAnsi="Cambria"/>
          <w:sz w:val="20"/>
          <w:szCs w:val="20"/>
        </w:rPr>
        <w:t xml:space="preserve"> que, selon le rapport du SCRS de 2023, la pleine utilisation du </w:t>
      </w:r>
      <w:r w:rsidR="00454F3F" w:rsidRPr="001824F0">
        <w:rPr>
          <w:rFonts w:ascii="Cambria" w:hAnsi="Cambria"/>
          <w:sz w:val="20"/>
        </w:rPr>
        <w:t xml:space="preserve">total admissible de captures (TAC) </w:t>
      </w:r>
      <w:r w:rsidR="00AF08E7" w:rsidRPr="001824F0">
        <w:rPr>
          <w:rFonts w:ascii="Cambria" w:hAnsi="Cambria"/>
          <w:sz w:val="20"/>
          <w:szCs w:val="20"/>
        </w:rPr>
        <w:t xml:space="preserve">établi par la Rec. 19-07 </w:t>
      </w:r>
      <w:r w:rsidRPr="001824F0">
        <w:rPr>
          <w:rFonts w:ascii="Cambria" w:hAnsi="Cambria"/>
          <w:sz w:val="20"/>
          <w:szCs w:val="20"/>
        </w:rPr>
        <w:t>(39.102</w:t>
      </w:r>
      <w:r w:rsidR="001A2C06" w:rsidRPr="001824F0">
        <w:rPr>
          <w:rFonts w:ascii="Cambria" w:hAnsi="Cambria"/>
          <w:sz w:val="20"/>
          <w:szCs w:val="20"/>
        </w:rPr>
        <w:t> </w:t>
      </w:r>
      <w:r w:rsidRPr="001824F0">
        <w:rPr>
          <w:rFonts w:ascii="Cambria" w:hAnsi="Cambria"/>
          <w:sz w:val="20"/>
          <w:szCs w:val="20"/>
        </w:rPr>
        <w:t>t) entraînerait une très faible probabilité (3</w:t>
      </w:r>
      <w:r w:rsidR="001A2C06" w:rsidRPr="001824F0">
        <w:rPr>
          <w:rFonts w:ascii="Cambria" w:hAnsi="Cambria"/>
          <w:sz w:val="20"/>
          <w:szCs w:val="20"/>
        </w:rPr>
        <w:t> </w:t>
      </w:r>
      <w:r w:rsidRPr="001824F0">
        <w:rPr>
          <w:rFonts w:ascii="Cambria" w:hAnsi="Cambria"/>
          <w:sz w:val="20"/>
          <w:szCs w:val="20"/>
        </w:rPr>
        <w:t>%) de maintenir le stock dans le quadrant vert du diagramme de Kobe d'ici 2033</w:t>
      </w:r>
      <w:r w:rsidR="00A46DBC" w:rsidRPr="001824F0">
        <w:rPr>
          <w:rFonts w:ascii="Cambria" w:hAnsi="Cambria"/>
          <w:sz w:val="20"/>
          <w:szCs w:val="20"/>
        </w:rPr>
        <w:t> ;</w:t>
      </w:r>
    </w:p>
    <w:p w14:paraId="37ACCB58" w14:textId="77777777" w:rsidR="00097C1F" w:rsidRPr="001824F0" w:rsidRDefault="00097C1F" w:rsidP="16757BA1">
      <w:pPr>
        <w:tabs>
          <w:tab w:val="left" w:pos="480"/>
        </w:tabs>
        <w:spacing w:after="0" w:line="240" w:lineRule="auto"/>
        <w:jc w:val="both"/>
        <w:rPr>
          <w:rFonts w:ascii="Cambria" w:eastAsia="Cambria" w:hAnsi="Cambria" w:cs="Cambria"/>
          <w:sz w:val="20"/>
          <w:szCs w:val="20"/>
        </w:rPr>
      </w:pPr>
    </w:p>
    <w:p w14:paraId="31B6D212" w14:textId="77777777" w:rsidR="00647350" w:rsidRPr="001824F0" w:rsidRDefault="00647350" w:rsidP="00647350">
      <w:pPr>
        <w:tabs>
          <w:tab w:val="left" w:pos="480"/>
        </w:tabs>
        <w:spacing w:after="0" w:line="240" w:lineRule="auto"/>
        <w:ind w:firstLine="284"/>
        <w:jc w:val="both"/>
        <w:rPr>
          <w:rFonts w:ascii="Cambria" w:hAnsi="Cambria"/>
          <w:sz w:val="20"/>
        </w:rPr>
      </w:pPr>
      <w:r w:rsidRPr="001824F0">
        <w:rPr>
          <w:rFonts w:ascii="Cambria" w:hAnsi="Cambria"/>
          <w:i/>
          <w:iCs/>
          <w:sz w:val="20"/>
        </w:rPr>
        <w:t>CONSIDÉRANT</w:t>
      </w:r>
      <w:r w:rsidRPr="001824F0">
        <w:rPr>
          <w:rFonts w:ascii="Cambria" w:hAnsi="Cambria"/>
          <w:sz w:val="20"/>
        </w:rPr>
        <w:t xml:space="preserve"> que le SCRS, qui a réalisé sa dernière évaluation du stock en 2023, a recommandé que le TAC actuel soit réduit « à des niveaux de capture qui maintiendront le stock dans le quadrant vert du diagramme de Kobe avec une forte probabilité » ;</w:t>
      </w:r>
    </w:p>
    <w:p w14:paraId="1DDC8A04" w14:textId="4FCAE6EA" w:rsidR="00AF08E7" w:rsidRPr="001824F0" w:rsidRDefault="00AF08E7" w:rsidP="16757BA1">
      <w:pPr>
        <w:tabs>
          <w:tab w:val="left" w:pos="480"/>
        </w:tabs>
        <w:spacing w:after="0" w:line="240" w:lineRule="auto"/>
        <w:jc w:val="both"/>
        <w:rPr>
          <w:rFonts w:ascii="Cambria" w:eastAsia="Cambria" w:hAnsi="Cambria" w:cs="Cambria"/>
          <w:sz w:val="20"/>
          <w:szCs w:val="20"/>
        </w:rPr>
      </w:pPr>
    </w:p>
    <w:p w14:paraId="49B0BA7F" w14:textId="0FF843CD" w:rsidR="00647350" w:rsidRPr="001824F0" w:rsidRDefault="00647350" w:rsidP="00647350">
      <w:pPr>
        <w:tabs>
          <w:tab w:val="left" w:pos="480"/>
        </w:tabs>
        <w:spacing w:after="0" w:line="240" w:lineRule="auto"/>
        <w:ind w:firstLine="284"/>
        <w:jc w:val="both"/>
        <w:rPr>
          <w:rFonts w:ascii="Cambria" w:hAnsi="Cambria"/>
          <w:sz w:val="20"/>
        </w:rPr>
      </w:pPr>
      <w:r w:rsidRPr="001824F0">
        <w:rPr>
          <w:rFonts w:ascii="Cambria" w:hAnsi="Cambria"/>
          <w:i/>
          <w:iCs/>
          <w:sz w:val="20"/>
        </w:rPr>
        <w:t xml:space="preserve">CONSIDÉRANT EN OUTRE </w:t>
      </w:r>
      <w:r w:rsidRPr="001824F0">
        <w:rPr>
          <w:rFonts w:ascii="Cambria" w:hAnsi="Cambria"/>
          <w:sz w:val="20"/>
        </w:rPr>
        <w:t>que les options de capture de l'évaluation de 2023 qui se traduisent par une probabilité ≥60</w:t>
      </w:r>
      <w:r w:rsidR="00454F3F" w:rsidRPr="001824F0">
        <w:rPr>
          <w:rFonts w:ascii="Cambria" w:hAnsi="Cambria"/>
          <w:sz w:val="20"/>
        </w:rPr>
        <w:t> </w:t>
      </w:r>
      <w:r w:rsidRPr="001824F0">
        <w:rPr>
          <w:rFonts w:ascii="Cambria" w:hAnsi="Cambria"/>
          <w:sz w:val="20"/>
        </w:rPr>
        <w:t>% de situer</w:t>
      </w:r>
      <w:r w:rsidR="00454F3F" w:rsidRPr="001824F0">
        <w:rPr>
          <w:rFonts w:ascii="Cambria" w:hAnsi="Cambria"/>
          <w:sz w:val="20"/>
        </w:rPr>
        <w:t xml:space="preserve"> le stock</w:t>
      </w:r>
      <w:r w:rsidRPr="001824F0">
        <w:rPr>
          <w:rFonts w:ascii="Cambria" w:hAnsi="Cambria"/>
          <w:sz w:val="20"/>
        </w:rPr>
        <w:t xml:space="preserve"> dans le quadrant vert après 10 ans correspondent à des captures annuelles de 30.000 t ou moins ;</w:t>
      </w:r>
    </w:p>
    <w:p w14:paraId="385C75DC" w14:textId="77777777" w:rsidR="00647350" w:rsidRPr="001824F0" w:rsidRDefault="00647350" w:rsidP="00BF334A">
      <w:pPr>
        <w:spacing w:after="0" w:line="240" w:lineRule="auto"/>
        <w:ind w:firstLine="426"/>
        <w:jc w:val="both"/>
        <w:rPr>
          <w:rFonts w:ascii="Cambria" w:hAnsi="Cambria"/>
          <w:i/>
          <w:iCs/>
          <w:sz w:val="20"/>
          <w:szCs w:val="20"/>
        </w:rPr>
      </w:pPr>
    </w:p>
    <w:p w14:paraId="3E9615CC" w14:textId="17D2EE31" w:rsidR="00647350" w:rsidRPr="001824F0" w:rsidRDefault="00647350" w:rsidP="00647350">
      <w:pPr>
        <w:tabs>
          <w:tab w:val="left" w:pos="480"/>
        </w:tabs>
        <w:spacing w:after="0" w:line="240" w:lineRule="auto"/>
        <w:ind w:firstLine="284"/>
        <w:jc w:val="both"/>
        <w:rPr>
          <w:rFonts w:ascii="Cambria" w:hAnsi="Cambria"/>
          <w:sz w:val="20"/>
        </w:rPr>
      </w:pPr>
      <w:r w:rsidRPr="001824F0">
        <w:rPr>
          <w:rFonts w:ascii="Cambria" w:hAnsi="Cambria"/>
          <w:i/>
          <w:iCs/>
          <w:sz w:val="20"/>
        </w:rPr>
        <w:t>CHERCHANT</w:t>
      </w:r>
      <w:r w:rsidRPr="001824F0">
        <w:rPr>
          <w:rFonts w:ascii="Cambria" w:hAnsi="Cambria"/>
          <w:sz w:val="20"/>
        </w:rPr>
        <w:t xml:space="preserve">, par conséquent, à s’assurer que la prise totale ne dépasse pas 30.000 t en établissant </w:t>
      </w:r>
      <w:r w:rsidR="00650499" w:rsidRPr="001824F0">
        <w:rPr>
          <w:rFonts w:ascii="Cambria" w:hAnsi="Cambria"/>
          <w:sz w:val="20"/>
        </w:rPr>
        <w:t xml:space="preserve">un </w:t>
      </w:r>
      <w:r w:rsidRPr="001824F0">
        <w:rPr>
          <w:rFonts w:ascii="Cambria" w:hAnsi="Cambria"/>
          <w:sz w:val="20"/>
        </w:rPr>
        <w:t>TAC</w:t>
      </w:r>
      <w:r w:rsidR="00454F3F" w:rsidRPr="001824F0">
        <w:rPr>
          <w:rFonts w:ascii="Cambria" w:hAnsi="Cambria"/>
          <w:sz w:val="20"/>
        </w:rPr>
        <w:t xml:space="preserve"> annuel ;</w:t>
      </w:r>
    </w:p>
    <w:p w14:paraId="149A0F5E" w14:textId="77777777" w:rsidR="00650499" w:rsidRPr="001824F0" w:rsidRDefault="00650499" w:rsidP="00647350">
      <w:pPr>
        <w:tabs>
          <w:tab w:val="left" w:pos="480"/>
        </w:tabs>
        <w:spacing w:after="0" w:line="240" w:lineRule="auto"/>
        <w:ind w:firstLine="284"/>
        <w:jc w:val="both"/>
        <w:rPr>
          <w:rFonts w:ascii="Cambria" w:hAnsi="Cambria"/>
          <w:sz w:val="20"/>
        </w:rPr>
      </w:pPr>
    </w:p>
    <w:p w14:paraId="0C7BB737" w14:textId="6D4A4386" w:rsidR="00D14CA7" w:rsidRPr="001824F0" w:rsidRDefault="00647350" w:rsidP="00D14CA7">
      <w:pPr>
        <w:tabs>
          <w:tab w:val="left" w:pos="480"/>
        </w:tabs>
        <w:spacing w:after="0" w:line="240" w:lineRule="auto"/>
        <w:ind w:firstLine="284"/>
        <w:jc w:val="both"/>
        <w:rPr>
          <w:rFonts w:ascii="Cambria" w:hAnsi="Cambria"/>
          <w:i/>
          <w:iCs/>
          <w:sz w:val="20"/>
          <w:szCs w:val="20"/>
        </w:rPr>
      </w:pPr>
      <w:r w:rsidRPr="001824F0">
        <w:rPr>
          <w:rFonts w:ascii="Cambria" w:hAnsi="Cambria"/>
          <w:i/>
          <w:iCs/>
          <w:sz w:val="20"/>
        </w:rPr>
        <w:t>RAPPELANT EN OUTRE</w:t>
      </w:r>
      <w:r w:rsidRPr="001824F0">
        <w:rPr>
          <w:rFonts w:ascii="Cambria" w:hAnsi="Cambria"/>
          <w:sz w:val="20"/>
        </w:rPr>
        <w:t xml:space="preserve"> qu'il a été demandé au SCRS de fournir des options de règles de contrôle des captures (HCR), avec les points de référence limite, cible et seuil associés, </w:t>
      </w:r>
      <w:proofErr w:type="gramStart"/>
      <w:r w:rsidRPr="001824F0">
        <w:rPr>
          <w:rFonts w:ascii="Cambria" w:hAnsi="Cambria"/>
          <w:sz w:val="20"/>
        </w:rPr>
        <w:t>suite à</w:t>
      </w:r>
      <w:proofErr w:type="gramEnd"/>
      <w:r w:rsidRPr="001824F0">
        <w:rPr>
          <w:rFonts w:ascii="Cambria" w:hAnsi="Cambria"/>
          <w:sz w:val="20"/>
        </w:rPr>
        <w:t xml:space="preserve"> l'évaluation du stock de requin peau bleue dans la Recommandation 19-07</w:t>
      </w:r>
      <w:r w:rsidR="00D14CA7" w:rsidRPr="001824F0">
        <w:rPr>
          <w:rFonts w:ascii="Cambria" w:hAnsi="Cambria"/>
          <w:sz w:val="20"/>
        </w:rPr>
        <w:t> ;</w:t>
      </w:r>
      <w:r w:rsidR="00D14CA7" w:rsidRPr="001824F0">
        <w:rPr>
          <w:rFonts w:ascii="Cambria" w:hAnsi="Cambria"/>
          <w:i/>
          <w:iCs/>
          <w:sz w:val="20"/>
          <w:szCs w:val="20"/>
        </w:rPr>
        <w:br w:type="page"/>
      </w:r>
    </w:p>
    <w:p w14:paraId="334CA0D2" w14:textId="67F065BB" w:rsidR="00BC4836" w:rsidRPr="001824F0" w:rsidRDefault="62385400" w:rsidP="00BF334A">
      <w:pPr>
        <w:spacing w:after="0" w:line="240" w:lineRule="auto"/>
        <w:ind w:firstLine="426"/>
        <w:jc w:val="both"/>
        <w:rPr>
          <w:rFonts w:ascii="Cambria" w:eastAsia="Cambria" w:hAnsi="Cambria" w:cs="Cambria"/>
          <w:sz w:val="20"/>
          <w:szCs w:val="20"/>
        </w:rPr>
      </w:pPr>
      <w:r w:rsidRPr="001824F0">
        <w:rPr>
          <w:rFonts w:ascii="Cambria" w:hAnsi="Cambria"/>
          <w:i/>
          <w:iCs/>
          <w:sz w:val="20"/>
          <w:szCs w:val="20"/>
        </w:rPr>
        <w:lastRenderedPageBreak/>
        <w:t>RAPPELANT</w:t>
      </w:r>
      <w:r w:rsidRPr="001824F0">
        <w:rPr>
          <w:rFonts w:ascii="Cambria" w:hAnsi="Cambria"/>
          <w:sz w:val="20"/>
          <w:szCs w:val="20"/>
        </w:rPr>
        <w:t xml:space="preserve"> les dispositions de la </w:t>
      </w:r>
      <w:r w:rsidRPr="001824F0">
        <w:rPr>
          <w:rFonts w:ascii="Cambria" w:hAnsi="Cambria"/>
          <w:i/>
          <w:iCs/>
          <w:sz w:val="20"/>
          <w:szCs w:val="20"/>
        </w:rPr>
        <w:t>Résolution de l’ICCAT portant sur les critères pour l’allocation de possibilités de pêche</w:t>
      </w:r>
      <w:r w:rsidRPr="001824F0">
        <w:rPr>
          <w:rFonts w:ascii="Cambria" w:hAnsi="Cambria"/>
          <w:sz w:val="20"/>
          <w:szCs w:val="20"/>
        </w:rPr>
        <w:t xml:space="preserve"> (Rés. 15-13)</w:t>
      </w:r>
      <w:r w:rsidR="00AF08E7" w:rsidRPr="001824F0">
        <w:rPr>
          <w:rFonts w:ascii="Cambria" w:hAnsi="Cambria"/>
          <w:sz w:val="20"/>
          <w:szCs w:val="20"/>
        </w:rPr>
        <w:t xml:space="preserve"> </w:t>
      </w:r>
      <w:r w:rsidRPr="001824F0">
        <w:rPr>
          <w:rFonts w:ascii="Cambria" w:hAnsi="Cambria"/>
          <w:sz w:val="20"/>
          <w:szCs w:val="20"/>
        </w:rPr>
        <w:t xml:space="preserve">; </w:t>
      </w:r>
    </w:p>
    <w:p w14:paraId="585369F4" w14:textId="77777777" w:rsidR="00885E93" w:rsidRPr="001824F0" w:rsidRDefault="00885E93">
      <w:pPr>
        <w:spacing w:after="0" w:line="240" w:lineRule="auto"/>
        <w:jc w:val="center"/>
        <w:rPr>
          <w:rFonts w:ascii="Cambria" w:eastAsia="Cambria" w:hAnsi="Cambria" w:cs="Cambria"/>
          <w:sz w:val="20"/>
          <w:szCs w:val="20"/>
        </w:rPr>
      </w:pPr>
    </w:p>
    <w:p w14:paraId="131498C6" w14:textId="77777777" w:rsidR="00885E93" w:rsidRPr="001824F0" w:rsidRDefault="00885E93">
      <w:pPr>
        <w:spacing w:after="0" w:line="240" w:lineRule="auto"/>
        <w:jc w:val="center"/>
        <w:rPr>
          <w:rFonts w:ascii="Cambria" w:eastAsia="Cambria" w:hAnsi="Cambria" w:cs="Cambria"/>
          <w:sz w:val="20"/>
          <w:szCs w:val="20"/>
        </w:rPr>
      </w:pPr>
    </w:p>
    <w:p w14:paraId="1835A352" w14:textId="77777777" w:rsidR="00885E93" w:rsidRPr="001824F0" w:rsidRDefault="00013D77">
      <w:pPr>
        <w:spacing w:after="0" w:line="240" w:lineRule="auto"/>
        <w:jc w:val="center"/>
        <w:rPr>
          <w:rFonts w:ascii="Cambria" w:eastAsia="Cambria" w:hAnsi="Cambria" w:cs="Cambria"/>
          <w:sz w:val="20"/>
          <w:szCs w:val="20"/>
        </w:rPr>
      </w:pPr>
      <w:r w:rsidRPr="001824F0">
        <w:rPr>
          <w:rFonts w:ascii="Cambria" w:hAnsi="Cambria"/>
          <w:sz w:val="20"/>
          <w:szCs w:val="20"/>
        </w:rPr>
        <w:t>LA COMMISSION INTERNATIONALE POUR LA CONSERVATION</w:t>
      </w:r>
    </w:p>
    <w:p w14:paraId="5CC74DE4" w14:textId="77777777" w:rsidR="00885E93" w:rsidRPr="001824F0" w:rsidRDefault="00013D77">
      <w:pPr>
        <w:spacing w:after="0" w:line="240" w:lineRule="auto"/>
        <w:jc w:val="center"/>
        <w:rPr>
          <w:rFonts w:ascii="Cambria" w:eastAsia="Cambria" w:hAnsi="Cambria" w:cs="Cambria"/>
          <w:sz w:val="20"/>
          <w:szCs w:val="20"/>
        </w:rPr>
      </w:pPr>
      <w:r w:rsidRPr="001824F0">
        <w:rPr>
          <w:rFonts w:ascii="Cambria" w:hAnsi="Cambria"/>
          <w:sz w:val="20"/>
          <w:szCs w:val="20"/>
        </w:rPr>
        <w:t>DES THONIDÉS DE L’ATLANTIQUE (ICCAT) RECOMMANDE CE QUI SUIT :</w:t>
      </w:r>
    </w:p>
    <w:p w14:paraId="6503FA25" w14:textId="77777777" w:rsidR="00885E93" w:rsidRPr="001824F0" w:rsidRDefault="00885E93">
      <w:pPr>
        <w:spacing w:after="0" w:line="240" w:lineRule="auto"/>
        <w:jc w:val="center"/>
        <w:rPr>
          <w:rFonts w:ascii="Cambria" w:eastAsia="Cambria" w:hAnsi="Cambria" w:cs="Cambria"/>
          <w:sz w:val="20"/>
          <w:szCs w:val="20"/>
        </w:rPr>
      </w:pPr>
    </w:p>
    <w:p w14:paraId="252508B3" w14:textId="6DE64544" w:rsidR="00BC4836" w:rsidRPr="001824F0" w:rsidRDefault="00D23ABF" w:rsidP="00D23ABF">
      <w:pPr>
        <w:widowControl w:val="0"/>
        <w:spacing w:after="0" w:line="240" w:lineRule="auto"/>
        <w:ind w:left="426" w:hanging="426"/>
        <w:jc w:val="both"/>
        <w:rPr>
          <w:rFonts w:ascii="Cambria" w:eastAsia="Cambria" w:hAnsi="Cambria" w:cs="Cambria"/>
          <w:sz w:val="20"/>
          <w:szCs w:val="20"/>
        </w:rPr>
      </w:pPr>
      <w:bookmarkStart w:id="2" w:name="_Hlk119423086"/>
      <w:r w:rsidRPr="001824F0">
        <w:rPr>
          <w:rFonts w:ascii="Cambria" w:hAnsi="Cambria"/>
          <w:sz w:val="20"/>
          <w:szCs w:val="20"/>
        </w:rPr>
        <w:t xml:space="preserve">1. </w:t>
      </w:r>
      <w:r w:rsidRPr="001824F0">
        <w:rPr>
          <w:rFonts w:ascii="Cambria" w:hAnsi="Cambria"/>
          <w:sz w:val="20"/>
          <w:szCs w:val="20"/>
        </w:rPr>
        <w:tab/>
      </w:r>
      <w:r w:rsidR="0ADF548B" w:rsidRPr="001824F0">
        <w:rPr>
          <w:rFonts w:ascii="Cambria" w:hAnsi="Cambria"/>
          <w:sz w:val="20"/>
          <w:szCs w:val="20"/>
        </w:rPr>
        <w:t>Afin de garantir la conservation et la gestion durable du stock de requin peau bleue de l’Atlantique Nord dans la zone de la Convention, les mesures suivantes devront s’appliquer.</w:t>
      </w:r>
    </w:p>
    <w:p w14:paraId="3895F802" w14:textId="77777777" w:rsidR="009164DB" w:rsidRPr="001824F0" w:rsidRDefault="009164DB" w:rsidP="009164DB">
      <w:pPr>
        <w:widowControl w:val="0"/>
        <w:spacing w:after="0" w:line="240" w:lineRule="auto"/>
        <w:jc w:val="both"/>
        <w:rPr>
          <w:rFonts w:ascii="Cambria" w:eastAsia="Cambria" w:hAnsi="Cambria" w:cs="Cambria"/>
          <w:sz w:val="20"/>
          <w:szCs w:val="20"/>
        </w:rPr>
      </w:pPr>
    </w:p>
    <w:p w14:paraId="2C56867C" w14:textId="31B7FA84" w:rsidR="00BC4836" w:rsidRPr="001824F0" w:rsidRDefault="00BC4836" w:rsidP="00244768">
      <w:pPr>
        <w:widowControl w:val="0"/>
        <w:spacing w:after="0" w:line="240" w:lineRule="auto"/>
        <w:jc w:val="both"/>
        <w:rPr>
          <w:rFonts w:ascii="Cambria" w:eastAsia="Cambria" w:hAnsi="Cambria" w:cs="Cambria"/>
          <w:b/>
          <w:bCs/>
          <w:sz w:val="20"/>
          <w:szCs w:val="20"/>
        </w:rPr>
      </w:pPr>
      <w:r w:rsidRPr="001824F0">
        <w:rPr>
          <w:rFonts w:ascii="Cambria" w:hAnsi="Cambria"/>
          <w:b/>
          <w:bCs/>
          <w:sz w:val="20"/>
          <w:szCs w:val="20"/>
        </w:rPr>
        <w:t>Limites de capture s'appliquant au requin peau bleue</w:t>
      </w:r>
    </w:p>
    <w:p w14:paraId="39AA211C" w14:textId="77777777" w:rsidR="00BC4836" w:rsidRPr="001824F0" w:rsidRDefault="00BC4836" w:rsidP="00862935">
      <w:pPr>
        <w:pStyle w:val="ListParagraph"/>
        <w:widowControl w:val="0"/>
        <w:spacing w:after="0" w:line="240" w:lineRule="auto"/>
        <w:jc w:val="both"/>
        <w:rPr>
          <w:rFonts w:ascii="Cambria" w:eastAsia="Cambria" w:hAnsi="Cambria" w:cs="Cambria"/>
          <w:sz w:val="20"/>
          <w:szCs w:val="20"/>
        </w:rPr>
      </w:pPr>
    </w:p>
    <w:p w14:paraId="3FB3A70A" w14:textId="3DEF790B" w:rsidR="00D641B4" w:rsidRPr="001824F0" w:rsidRDefault="00D23ABF" w:rsidP="00D23ABF">
      <w:pPr>
        <w:widowControl w:val="0"/>
        <w:spacing w:after="0" w:line="240" w:lineRule="auto"/>
        <w:ind w:left="426" w:hanging="426"/>
        <w:jc w:val="both"/>
        <w:rPr>
          <w:rFonts w:ascii="Cambria" w:hAnsi="Cambria"/>
          <w:sz w:val="20"/>
          <w:szCs w:val="20"/>
        </w:rPr>
      </w:pPr>
      <w:r w:rsidRPr="001824F0">
        <w:rPr>
          <w:rFonts w:ascii="Cambria" w:hAnsi="Cambria"/>
          <w:sz w:val="20"/>
          <w:szCs w:val="20"/>
        </w:rPr>
        <w:t xml:space="preserve">2. </w:t>
      </w:r>
      <w:r w:rsidRPr="001824F0">
        <w:rPr>
          <w:rFonts w:ascii="Cambria" w:hAnsi="Cambria"/>
          <w:sz w:val="20"/>
          <w:szCs w:val="20"/>
        </w:rPr>
        <w:tab/>
      </w:r>
      <w:r w:rsidR="0ADF548B" w:rsidRPr="001824F0">
        <w:rPr>
          <w:rFonts w:ascii="Cambria" w:hAnsi="Cambria"/>
          <w:sz w:val="20"/>
          <w:szCs w:val="20"/>
        </w:rPr>
        <w:t xml:space="preserve">Un TAC annuel de </w:t>
      </w:r>
      <w:r w:rsidR="00AF08E7" w:rsidRPr="001824F0">
        <w:rPr>
          <w:rFonts w:ascii="Cambria" w:hAnsi="Cambria"/>
          <w:sz w:val="20"/>
          <w:szCs w:val="20"/>
        </w:rPr>
        <w:t xml:space="preserve">30.000 </w:t>
      </w:r>
      <w:r w:rsidR="0ADF548B" w:rsidRPr="001824F0">
        <w:rPr>
          <w:rFonts w:ascii="Cambria" w:hAnsi="Cambria"/>
          <w:sz w:val="20"/>
          <w:szCs w:val="20"/>
        </w:rPr>
        <w:t xml:space="preserve">t est établi pour le requin peau bleue de l'Atlantique Nord. </w:t>
      </w:r>
    </w:p>
    <w:p w14:paraId="29A5AD8D" w14:textId="77777777" w:rsidR="00244768" w:rsidRPr="001824F0" w:rsidRDefault="00244768" w:rsidP="00D23ABF">
      <w:pPr>
        <w:widowControl w:val="0"/>
        <w:spacing w:after="0" w:line="240" w:lineRule="auto"/>
        <w:ind w:left="426" w:hanging="426"/>
        <w:jc w:val="both"/>
        <w:rPr>
          <w:rFonts w:ascii="Cambria" w:hAnsi="Cambria"/>
          <w:sz w:val="20"/>
          <w:szCs w:val="20"/>
        </w:rPr>
      </w:pPr>
    </w:p>
    <w:p w14:paraId="54288A60" w14:textId="27038240" w:rsidR="00BC4836" w:rsidRPr="001824F0" w:rsidRDefault="00D23ABF" w:rsidP="00D23ABF">
      <w:pPr>
        <w:widowControl w:val="0"/>
        <w:spacing w:after="0" w:line="240" w:lineRule="auto"/>
        <w:ind w:left="426" w:hanging="426"/>
        <w:jc w:val="both"/>
        <w:rPr>
          <w:rFonts w:ascii="Cambria" w:eastAsia="Cambria" w:hAnsi="Cambria" w:cs="Cambria"/>
          <w:sz w:val="20"/>
          <w:szCs w:val="20"/>
        </w:rPr>
      </w:pPr>
      <w:r w:rsidRPr="001824F0">
        <w:rPr>
          <w:rFonts w:ascii="Cambria" w:hAnsi="Cambria"/>
          <w:sz w:val="20"/>
          <w:szCs w:val="20"/>
        </w:rPr>
        <w:t xml:space="preserve">3. </w:t>
      </w:r>
      <w:r w:rsidRPr="001824F0">
        <w:rPr>
          <w:rFonts w:ascii="Cambria" w:hAnsi="Cambria"/>
          <w:sz w:val="20"/>
          <w:szCs w:val="20"/>
        </w:rPr>
        <w:tab/>
      </w:r>
      <w:r w:rsidR="32501FCB" w:rsidRPr="001824F0">
        <w:rPr>
          <w:rFonts w:ascii="Cambria" w:hAnsi="Cambria"/>
          <w:sz w:val="20"/>
          <w:szCs w:val="20"/>
        </w:rPr>
        <w:t xml:space="preserve">Les CPC suivantes devront être soumises aux limites de capture </w:t>
      </w:r>
      <w:r w:rsidR="00C12495" w:rsidRPr="001824F0">
        <w:rPr>
          <w:rFonts w:ascii="Cambria" w:hAnsi="Cambria"/>
          <w:sz w:val="20"/>
          <w:szCs w:val="20"/>
        </w:rPr>
        <w:t xml:space="preserve">annuelles </w:t>
      </w:r>
      <w:r w:rsidR="32501FCB" w:rsidRPr="001824F0">
        <w:rPr>
          <w:rFonts w:ascii="Cambria" w:hAnsi="Cambria"/>
          <w:sz w:val="20"/>
          <w:szCs w:val="20"/>
        </w:rPr>
        <w:t>suivantes</w:t>
      </w:r>
      <w:r w:rsidR="00790EEE" w:rsidRPr="001824F0">
        <w:rPr>
          <w:rFonts w:ascii="Cambria" w:hAnsi="Cambria"/>
          <w:sz w:val="20"/>
          <w:szCs w:val="20"/>
        </w:rPr>
        <w:t> :</w:t>
      </w:r>
    </w:p>
    <w:p w14:paraId="5881EBFC" w14:textId="77777777" w:rsidR="00AF08E7" w:rsidRPr="001824F0" w:rsidRDefault="00AF08E7" w:rsidP="00AF08E7">
      <w:pPr>
        <w:pStyle w:val="ListParagraph"/>
        <w:rPr>
          <w:rFonts w:ascii="Cambria" w:eastAsia="Cambria" w:hAnsi="Cambria" w:cs="Cambria"/>
          <w:sz w:val="20"/>
          <w:szCs w:val="20"/>
        </w:rPr>
      </w:pPr>
    </w:p>
    <w:p w14:paraId="16911FE9" w14:textId="77777777" w:rsidR="00AF08E7" w:rsidRPr="001824F0" w:rsidRDefault="00AF08E7" w:rsidP="00650499">
      <w:pPr>
        <w:pStyle w:val="ListParagraph"/>
        <w:widowControl w:val="0"/>
        <w:spacing w:after="0" w:line="240" w:lineRule="auto"/>
        <w:ind w:left="426"/>
        <w:jc w:val="both"/>
        <w:rPr>
          <w:rFonts w:ascii="Cambria" w:eastAsia="Cambria" w:hAnsi="Cambria" w:cs="Cambria"/>
          <w:sz w:val="20"/>
          <w:szCs w:val="20"/>
        </w:rPr>
      </w:pPr>
    </w:p>
    <w:tbl>
      <w:tblPr>
        <w:tblStyle w:val="TableGrid"/>
        <w:tblW w:w="4111" w:type="dxa"/>
        <w:tblInd w:w="2263" w:type="dxa"/>
        <w:tblLook w:val="04A0" w:firstRow="1" w:lastRow="0" w:firstColumn="1" w:lastColumn="0" w:noHBand="0" w:noVBand="1"/>
      </w:tblPr>
      <w:tblGrid>
        <w:gridCol w:w="1812"/>
        <w:gridCol w:w="2299"/>
      </w:tblGrid>
      <w:tr w:rsidR="00FD1902" w:rsidRPr="001824F0" w14:paraId="7A6ED441" w14:textId="77777777" w:rsidTr="00252C2C">
        <w:trPr>
          <w:trHeight w:val="97"/>
        </w:trPr>
        <w:tc>
          <w:tcPr>
            <w:tcW w:w="1812" w:type="dxa"/>
          </w:tcPr>
          <w:p w14:paraId="4466CA7E" w14:textId="2C26A557" w:rsidR="00FD1902" w:rsidRPr="001824F0" w:rsidRDefault="00BF334A" w:rsidP="00BF334A">
            <w:pPr>
              <w:pStyle w:val="ListParagraph"/>
              <w:ind w:left="0"/>
              <w:jc w:val="center"/>
              <w:rPr>
                <w:rFonts w:ascii="Cambria" w:eastAsia="Cambria" w:hAnsi="Cambria" w:cs="Cambria"/>
                <w:i/>
                <w:iCs/>
                <w:sz w:val="20"/>
                <w:szCs w:val="20"/>
              </w:rPr>
            </w:pPr>
            <w:r w:rsidRPr="001824F0">
              <w:br w:type="page"/>
            </w:r>
            <w:r w:rsidR="32501FCB" w:rsidRPr="001824F0">
              <w:rPr>
                <w:rFonts w:ascii="Cambria" w:hAnsi="Cambria"/>
                <w:i/>
                <w:iCs/>
                <w:sz w:val="20"/>
                <w:szCs w:val="20"/>
              </w:rPr>
              <w:t>CPC</w:t>
            </w:r>
          </w:p>
        </w:tc>
        <w:tc>
          <w:tcPr>
            <w:tcW w:w="2299" w:type="dxa"/>
          </w:tcPr>
          <w:p w14:paraId="36732568" w14:textId="394CA888" w:rsidR="00FD1902" w:rsidRPr="001824F0" w:rsidRDefault="5B512789" w:rsidP="00BF334A">
            <w:pPr>
              <w:pStyle w:val="ListParagraph"/>
              <w:ind w:left="0"/>
              <w:jc w:val="center"/>
              <w:rPr>
                <w:rFonts w:ascii="Cambria" w:hAnsi="Cambria"/>
                <w:i/>
                <w:sz w:val="20"/>
              </w:rPr>
            </w:pPr>
            <w:r w:rsidRPr="001824F0">
              <w:rPr>
                <w:rFonts w:ascii="Cambria" w:hAnsi="Cambria"/>
                <w:i/>
                <w:iCs/>
                <w:sz w:val="20"/>
                <w:szCs w:val="20"/>
              </w:rPr>
              <w:t>Limite de capture</w:t>
            </w:r>
          </w:p>
        </w:tc>
      </w:tr>
      <w:tr w:rsidR="00FD1902" w:rsidRPr="001824F0" w14:paraId="50B4051E" w14:textId="77777777" w:rsidTr="007A2E40">
        <w:trPr>
          <w:trHeight w:val="300"/>
        </w:trPr>
        <w:tc>
          <w:tcPr>
            <w:tcW w:w="1812" w:type="dxa"/>
          </w:tcPr>
          <w:p w14:paraId="08D1BAC7" w14:textId="51C335C1" w:rsidR="00FD1902" w:rsidRPr="001824F0" w:rsidRDefault="00FD1902" w:rsidP="00D27D11">
            <w:pPr>
              <w:pStyle w:val="ListParagraph"/>
              <w:ind w:left="0"/>
              <w:jc w:val="both"/>
              <w:rPr>
                <w:rFonts w:ascii="Cambria" w:eastAsia="Cambria" w:hAnsi="Cambria" w:cs="Cambria"/>
                <w:sz w:val="20"/>
                <w:szCs w:val="20"/>
              </w:rPr>
            </w:pPr>
            <w:r w:rsidRPr="001824F0">
              <w:rPr>
                <w:rFonts w:ascii="Cambria" w:hAnsi="Cambria"/>
                <w:sz w:val="20"/>
                <w:szCs w:val="20"/>
              </w:rPr>
              <w:t>UE</w:t>
            </w:r>
          </w:p>
        </w:tc>
        <w:tc>
          <w:tcPr>
            <w:tcW w:w="2299" w:type="dxa"/>
          </w:tcPr>
          <w:p w14:paraId="70F70CD4" w14:textId="5B665733" w:rsidR="00FD1902" w:rsidRPr="001824F0" w:rsidRDefault="36DAD572" w:rsidP="00650499">
            <w:pPr>
              <w:pStyle w:val="ListParagraph"/>
              <w:ind w:left="0"/>
              <w:jc w:val="center"/>
              <w:rPr>
                <w:rFonts w:ascii="Cambria" w:eastAsia="Cambria" w:hAnsi="Cambria" w:cs="Cambria"/>
                <w:sz w:val="20"/>
                <w:szCs w:val="20"/>
              </w:rPr>
            </w:pPr>
            <w:r w:rsidRPr="001824F0">
              <w:rPr>
                <w:rFonts w:ascii="Cambria" w:hAnsi="Cambria"/>
                <w:sz w:val="20"/>
                <w:szCs w:val="20"/>
              </w:rPr>
              <w:t>2</w:t>
            </w:r>
            <w:r w:rsidR="00AF08E7" w:rsidRPr="001824F0">
              <w:rPr>
                <w:rFonts w:ascii="Cambria" w:hAnsi="Cambria"/>
                <w:sz w:val="20"/>
                <w:szCs w:val="20"/>
              </w:rPr>
              <w:t>4.</w:t>
            </w:r>
            <w:r w:rsidR="00EA606E" w:rsidRPr="001824F0">
              <w:rPr>
                <w:rFonts w:ascii="Cambria" w:hAnsi="Cambria"/>
                <w:sz w:val="20"/>
                <w:szCs w:val="20"/>
                <w:lang w:val="es-x-int-SDL"/>
              </w:rPr>
              <w:t>449</w:t>
            </w:r>
            <w:r w:rsidRPr="001824F0">
              <w:rPr>
                <w:rFonts w:ascii="Cambria" w:hAnsi="Cambria"/>
                <w:sz w:val="20"/>
                <w:szCs w:val="20"/>
              </w:rPr>
              <w:t xml:space="preserve"> t</w:t>
            </w:r>
            <w:r w:rsidR="006633C1" w:rsidRPr="001824F0">
              <w:rPr>
                <w:rFonts w:ascii="Cambria" w:hAnsi="Cambria"/>
                <w:sz w:val="20"/>
                <w:szCs w:val="20"/>
                <w:lang w:val="es-x-int-SDL"/>
              </w:rPr>
              <w:t>*</w:t>
            </w:r>
            <w:r w:rsidR="00D71BC9" w:rsidRPr="001824F0">
              <w:rPr>
                <w:rFonts w:ascii="Cambria" w:hAnsi="Cambria"/>
                <w:sz w:val="20"/>
                <w:szCs w:val="20"/>
              </w:rPr>
              <w:t xml:space="preserve"> </w:t>
            </w:r>
          </w:p>
        </w:tc>
      </w:tr>
      <w:tr w:rsidR="009164DB" w:rsidRPr="001824F0" w14:paraId="500425A8" w14:textId="77777777" w:rsidTr="007A2E40">
        <w:trPr>
          <w:trHeight w:val="300"/>
        </w:trPr>
        <w:tc>
          <w:tcPr>
            <w:tcW w:w="1812" w:type="dxa"/>
          </w:tcPr>
          <w:p w14:paraId="25354384" w14:textId="4E5ECE8C" w:rsidR="009164DB" w:rsidRPr="001824F0" w:rsidRDefault="009164DB" w:rsidP="00D27D11">
            <w:pPr>
              <w:pStyle w:val="ListParagraph"/>
              <w:ind w:left="0"/>
              <w:jc w:val="both"/>
              <w:rPr>
                <w:rFonts w:ascii="Cambria" w:eastAsia="Cambria" w:hAnsi="Cambria" w:cs="Cambria"/>
                <w:sz w:val="20"/>
                <w:szCs w:val="20"/>
              </w:rPr>
            </w:pPr>
            <w:r w:rsidRPr="001824F0">
              <w:rPr>
                <w:rFonts w:ascii="Cambria" w:hAnsi="Cambria"/>
                <w:sz w:val="20"/>
                <w:szCs w:val="20"/>
              </w:rPr>
              <w:t>Japon</w:t>
            </w:r>
          </w:p>
        </w:tc>
        <w:tc>
          <w:tcPr>
            <w:tcW w:w="2299" w:type="dxa"/>
          </w:tcPr>
          <w:p w14:paraId="076BDCD9" w14:textId="380F4EB9" w:rsidR="009164DB" w:rsidRPr="001824F0" w:rsidRDefault="48050074" w:rsidP="00650499">
            <w:pPr>
              <w:pStyle w:val="ListParagraph"/>
              <w:ind w:left="0"/>
              <w:jc w:val="center"/>
              <w:rPr>
                <w:rFonts w:ascii="Cambria" w:eastAsia="Cambria" w:hAnsi="Cambria" w:cs="Cambria"/>
                <w:sz w:val="20"/>
                <w:szCs w:val="20"/>
              </w:rPr>
            </w:pPr>
            <w:r w:rsidRPr="001824F0">
              <w:rPr>
                <w:rFonts w:ascii="Cambria" w:hAnsi="Cambria"/>
                <w:sz w:val="20"/>
                <w:szCs w:val="20"/>
              </w:rPr>
              <w:t>3</w:t>
            </w:r>
            <w:r w:rsidR="00BF334A" w:rsidRPr="001824F0">
              <w:rPr>
                <w:rFonts w:ascii="Cambria" w:hAnsi="Cambria"/>
                <w:sz w:val="20"/>
                <w:szCs w:val="20"/>
              </w:rPr>
              <w:t>.</w:t>
            </w:r>
            <w:r w:rsidR="00AF08E7" w:rsidRPr="001824F0">
              <w:rPr>
                <w:rFonts w:ascii="Cambria" w:hAnsi="Cambria"/>
                <w:sz w:val="20"/>
                <w:szCs w:val="20"/>
              </w:rPr>
              <w:t>0</w:t>
            </w:r>
            <w:r w:rsidR="00EA606E" w:rsidRPr="001824F0">
              <w:rPr>
                <w:rFonts w:ascii="Cambria" w:hAnsi="Cambria"/>
                <w:sz w:val="20"/>
                <w:szCs w:val="20"/>
                <w:lang w:val="es-x-int-SDL"/>
              </w:rPr>
              <w:t>12</w:t>
            </w:r>
            <w:r w:rsidRPr="001824F0">
              <w:rPr>
                <w:rFonts w:ascii="Cambria" w:hAnsi="Cambria"/>
                <w:sz w:val="20"/>
                <w:szCs w:val="20"/>
              </w:rPr>
              <w:t xml:space="preserve"> t</w:t>
            </w:r>
            <w:r w:rsidR="006633C1" w:rsidRPr="001824F0">
              <w:rPr>
                <w:rFonts w:ascii="Cambria" w:hAnsi="Cambria"/>
                <w:sz w:val="20"/>
                <w:szCs w:val="20"/>
                <w:lang w:val="es-x-int-SDL"/>
              </w:rPr>
              <w:t>**</w:t>
            </w:r>
            <w:r w:rsidR="00392236" w:rsidRPr="001824F0">
              <w:rPr>
                <w:rFonts w:ascii="Cambria" w:hAnsi="Cambria"/>
                <w:sz w:val="20"/>
                <w:szCs w:val="20"/>
              </w:rPr>
              <w:t xml:space="preserve"> </w:t>
            </w:r>
          </w:p>
        </w:tc>
      </w:tr>
      <w:tr w:rsidR="009164DB" w:rsidRPr="001824F0" w14:paraId="7F1A4CCA" w14:textId="77777777" w:rsidTr="007A2E40">
        <w:trPr>
          <w:trHeight w:val="300"/>
        </w:trPr>
        <w:tc>
          <w:tcPr>
            <w:tcW w:w="1812" w:type="dxa"/>
          </w:tcPr>
          <w:p w14:paraId="4A257A0B" w14:textId="71E11DC0" w:rsidR="009164DB" w:rsidRPr="001824F0" w:rsidRDefault="009164DB" w:rsidP="00D27D11">
            <w:pPr>
              <w:pStyle w:val="ListParagraph"/>
              <w:ind w:left="0"/>
              <w:jc w:val="both"/>
              <w:rPr>
                <w:rFonts w:ascii="Cambria" w:eastAsia="Cambria" w:hAnsi="Cambria" w:cs="Cambria"/>
                <w:sz w:val="20"/>
                <w:szCs w:val="20"/>
              </w:rPr>
            </w:pPr>
            <w:r w:rsidRPr="001824F0">
              <w:rPr>
                <w:rFonts w:ascii="Cambria" w:hAnsi="Cambria"/>
                <w:sz w:val="20"/>
                <w:szCs w:val="20"/>
              </w:rPr>
              <w:t xml:space="preserve">Maroc </w:t>
            </w:r>
          </w:p>
        </w:tc>
        <w:tc>
          <w:tcPr>
            <w:tcW w:w="2299" w:type="dxa"/>
          </w:tcPr>
          <w:p w14:paraId="1AC7D3F0" w14:textId="02D35EEE" w:rsidR="009164DB" w:rsidRPr="001824F0" w:rsidRDefault="166D4989" w:rsidP="00650499">
            <w:pPr>
              <w:pStyle w:val="ListParagraph"/>
              <w:ind w:left="0"/>
              <w:jc w:val="center"/>
              <w:rPr>
                <w:rFonts w:ascii="Cambria" w:eastAsia="Cambria" w:hAnsi="Cambria" w:cs="Cambria"/>
                <w:sz w:val="20"/>
                <w:szCs w:val="20"/>
                <w:lang w:val="es-x-int-SDL"/>
              </w:rPr>
            </w:pPr>
            <w:r w:rsidRPr="001824F0">
              <w:rPr>
                <w:rFonts w:ascii="Cambria" w:hAnsi="Cambria"/>
                <w:sz w:val="20"/>
                <w:szCs w:val="20"/>
              </w:rPr>
              <w:t>1</w:t>
            </w:r>
            <w:r w:rsidR="00BF334A" w:rsidRPr="001824F0">
              <w:rPr>
                <w:rFonts w:ascii="Cambria" w:hAnsi="Cambria"/>
                <w:sz w:val="20"/>
                <w:szCs w:val="20"/>
              </w:rPr>
              <w:t>.</w:t>
            </w:r>
            <w:r w:rsidR="00B63737" w:rsidRPr="001824F0">
              <w:rPr>
                <w:rFonts w:ascii="Cambria" w:hAnsi="Cambria"/>
                <w:sz w:val="20"/>
                <w:szCs w:val="20"/>
                <w:lang w:val="es-x-int-SDL"/>
              </w:rPr>
              <w:t>644</w:t>
            </w:r>
            <w:r w:rsidRPr="001824F0">
              <w:rPr>
                <w:rFonts w:ascii="Cambria" w:hAnsi="Cambria"/>
                <w:sz w:val="20"/>
                <w:szCs w:val="20"/>
              </w:rPr>
              <w:t xml:space="preserve"> t</w:t>
            </w:r>
            <w:r w:rsidR="006633C1" w:rsidRPr="001824F0">
              <w:rPr>
                <w:rFonts w:ascii="Cambria" w:hAnsi="Cambria"/>
                <w:sz w:val="20"/>
                <w:szCs w:val="20"/>
                <w:lang w:val="es-x-int-SDL"/>
              </w:rPr>
              <w:t>**</w:t>
            </w:r>
            <w:r w:rsidR="00B63737" w:rsidRPr="001824F0">
              <w:rPr>
                <w:rFonts w:ascii="Cambria" w:hAnsi="Cambria"/>
                <w:sz w:val="20"/>
                <w:szCs w:val="20"/>
                <w:lang w:val="es-x-int-SDL"/>
              </w:rPr>
              <w:t>*</w:t>
            </w:r>
          </w:p>
        </w:tc>
      </w:tr>
      <w:tr w:rsidR="007A2E40" w:rsidRPr="001824F0" w14:paraId="39E058AC" w14:textId="77777777" w:rsidTr="007A2E40">
        <w:trPr>
          <w:trHeight w:val="300"/>
        </w:trPr>
        <w:tc>
          <w:tcPr>
            <w:tcW w:w="1812" w:type="dxa"/>
          </w:tcPr>
          <w:p w14:paraId="2D8EC7D3" w14:textId="297B7862" w:rsidR="007A2E40" w:rsidRPr="001824F0" w:rsidRDefault="007A2E40" w:rsidP="00D27D11">
            <w:pPr>
              <w:pStyle w:val="ListParagraph"/>
              <w:ind w:left="0"/>
              <w:jc w:val="both"/>
              <w:rPr>
                <w:rFonts w:ascii="Cambria" w:hAnsi="Cambria"/>
                <w:sz w:val="20"/>
                <w:szCs w:val="20"/>
              </w:rPr>
            </w:pPr>
            <w:r w:rsidRPr="001824F0">
              <w:rPr>
                <w:rFonts w:ascii="Cambria" w:hAnsi="Cambria"/>
                <w:sz w:val="20"/>
                <w:szCs w:val="20"/>
              </w:rPr>
              <w:t>Royaume-Uni</w:t>
            </w:r>
          </w:p>
        </w:tc>
        <w:tc>
          <w:tcPr>
            <w:tcW w:w="2299" w:type="dxa"/>
          </w:tcPr>
          <w:p w14:paraId="5994BB3F" w14:textId="15A0CD9F" w:rsidR="007A2E40" w:rsidRPr="001824F0" w:rsidRDefault="007A2E40" w:rsidP="00650499">
            <w:pPr>
              <w:pStyle w:val="ListParagraph"/>
              <w:ind w:left="0"/>
              <w:jc w:val="center"/>
              <w:rPr>
                <w:rFonts w:ascii="Cambria" w:hAnsi="Cambria"/>
                <w:sz w:val="20"/>
                <w:szCs w:val="20"/>
              </w:rPr>
            </w:pPr>
            <w:r w:rsidRPr="001824F0">
              <w:rPr>
                <w:rFonts w:ascii="Cambria" w:hAnsi="Cambria"/>
                <w:sz w:val="20"/>
                <w:szCs w:val="20"/>
              </w:rPr>
              <w:t>2</w:t>
            </w:r>
            <w:r w:rsidR="00AF08E7" w:rsidRPr="001824F0">
              <w:rPr>
                <w:rFonts w:ascii="Cambria" w:hAnsi="Cambria"/>
                <w:sz w:val="20"/>
                <w:szCs w:val="20"/>
              </w:rPr>
              <w:t>5</w:t>
            </w:r>
            <w:r w:rsidRPr="001824F0">
              <w:rPr>
                <w:rFonts w:ascii="Cambria" w:hAnsi="Cambria"/>
                <w:sz w:val="20"/>
                <w:szCs w:val="20"/>
              </w:rPr>
              <w:t xml:space="preserve"> t</w:t>
            </w:r>
          </w:p>
        </w:tc>
      </w:tr>
    </w:tbl>
    <w:p w14:paraId="59887F2C" w14:textId="77777777" w:rsidR="00B63737" w:rsidRPr="001824F0" w:rsidRDefault="00B63737" w:rsidP="00244768">
      <w:pPr>
        <w:pStyle w:val="ListParagraph"/>
        <w:ind w:left="780"/>
        <w:rPr>
          <w:rFonts w:ascii="Cambria" w:eastAsia="Cambria" w:hAnsi="Cambria" w:cs="Cambria"/>
          <w:sz w:val="18"/>
          <w:szCs w:val="18"/>
          <w:lang w:val="es-x-int-SDL"/>
        </w:rPr>
      </w:pPr>
    </w:p>
    <w:p w14:paraId="6991D71A" w14:textId="7CF917AF" w:rsidR="00BF334A" w:rsidRPr="001824F0" w:rsidRDefault="00B63737" w:rsidP="00252C2C">
      <w:pPr>
        <w:pStyle w:val="ListParagraph"/>
        <w:ind w:left="1276" w:hanging="425"/>
        <w:jc w:val="both"/>
        <w:rPr>
          <w:rFonts w:ascii="Cambria" w:eastAsia="Cambria" w:hAnsi="Cambria" w:cs="Cambria"/>
          <w:sz w:val="16"/>
          <w:szCs w:val="16"/>
          <w:lang w:val="es-x-int-SDL"/>
        </w:rPr>
      </w:pPr>
      <w:r w:rsidRPr="001824F0">
        <w:rPr>
          <w:rFonts w:ascii="Cambria" w:eastAsia="Cambria" w:hAnsi="Cambria" w:cs="Cambria"/>
          <w:sz w:val="16"/>
          <w:szCs w:val="16"/>
          <w:lang w:val="es-x-int-SDL"/>
        </w:rPr>
        <w:t xml:space="preserve">* </w:t>
      </w:r>
      <w:r w:rsidR="00252C2C" w:rsidRPr="001824F0">
        <w:rPr>
          <w:rFonts w:ascii="Cambria" w:eastAsia="Cambria" w:hAnsi="Cambria" w:cs="Cambria"/>
          <w:sz w:val="16"/>
          <w:szCs w:val="16"/>
          <w:lang w:val="es-x-int-SDL"/>
        </w:rPr>
        <w:tab/>
      </w:r>
      <w:r w:rsidRPr="001824F0">
        <w:rPr>
          <w:rFonts w:ascii="Cambria" w:eastAsia="Cambria" w:hAnsi="Cambria" w:cs="Cambria"/>
          <w:sz w:val="16"/>
          <w:szCs w:val="16"/>
          <w:lang w:val="es-x-int-SDL"/>
        </w:rPr>
        <w:t xml:space="preserve">Cela </w:t>
      </w:r>
      <w:r w:rsidR="00902664" w:rsidRPr="001824F0">
        <w:rPr>
          <w:rFonts w:ascii="Cambria" w:eastAsia="Cambria" w:hAnsi="Cambria" w:cs="Cambria"/>
          <w:sz w:val="16"/>
          <w:szCs w:val="16"/>
          <w:lang w:val="es-x-int-SDL"/>
        </w:rPr>
        <w:t>tient compte d’</w:t>
      </w:r>
      <w:r w:rsidR="00EA606E" w:rsidRPr="001824F0">
        <w:rPr>
          <w:rFonts w:ascii="Cambria" w:eastAsia="Cambria" w:hAnsi="Cambria" w:cs="Cambria"/>
          <w:sz w:val="16"/>
          <w:szCs w:val="16"/>
          <w:lang w:val="es-x-int-SDL"/>
        </w:rPr>
        <w:t>un</w:t>
      </w:r>
      <w:r w:rsidRPr="001824F0">
        <w:rPr>
          <w:rFonts w:ascii="Cambria" w:eastAsia="Cambria" w:hAnsi="Cambria" w:cs="Cambria"/>
          <w:sz w:val="16"/>
          <w:szCs w:val="16"/>
          <w:lang w:val="es-x-int-SDL"/>
        </w:rPr>
        <w:t xml:space="preserve"> transfert</w:t>
      </w:r>
      <w:r w:rsidR="00C12495" w:rsidRPr="001824F0">
        <w:rPr>
          <w:rFonts w:ascii="Cambria" w:eastAsia="Cambria" w:hAnsi="Cambria" w:cs="Cambria"/>
          <w:sz w:val="16"/>
          <w:szCs w:val="16"/>
          <w:lang w:val="es-x-int-SDL"/>
        </w:rPr>
        <w:t xml:space="preserve"> annuel</w:t>
      </w:r>
      <w:r w:rsidRPr="001824F0">
        <w:rPr>
          <w:rFonts w:ascii="Cambria" w:eastAsia="Cambria" w:hAnsi="Cambria" w:cs="Cambria"/>
          <w:sz w:val="16"/>
          <w:szCs w:val="16"/>
          <w:lang w:val="es-x-int-SDL"/>
        </w:rPr>
        <w:t xml:space="preserve"> de 348 t </w:t>
      </w:r>
      <w:r w:rsidR="00EA606E" w:rsidRPr="001824F0">
        <w:rPr>
          <w:rFonts w:ascii="Cambria" w:eastAsia="Cambria" w:hAnsi="Cambria" w:cs="Cambria"/>
          <w:sz w:val="16"/>
          <w:szCs w:val="16"/>
          <w:lang w:val="es-x-int-SDL"/>
        </w:rPr>
        <w:t xml:space="preserve">au Maroc </w:t>
      </w:r>
      <w:r w:rsidRPr="001824F0">
        <w:rPr>
          <w:rFonts w:ascii="Cambria" w:eastAsia="Cambria" w:hAnsi="Cambria" w:cs="Cambria"/>
          <w:sz w:val="16"/>
          <w:szCs w:val="16"/>
          <w:lang w:val="es-x-int-SDL"/>
        </w:rPr>
        <w:t>jusqu'à la prochaine évaluation du stock de requin peau bleue de l'Atlantique Nord par le SCRS, et ne préjuge pas des futures discussions sur l'allocation.</w:t>
      </w:r>
    </w:p>
    <w:p w14:paraId="638C3D36" w14:textId="77777777" w:rsidR="00EA606E" w:rsidRPr="001824F0" w:rsidRDefault="00EA606E" w:rsidP="00252C2C">
      <w:pPr>
        <w:pStyle w:val="ListParagraph"/>
        <w:ind w:left="1276" w:hanging="425"/>
        <w:jc w:val="both"/>
        <w:rPr>
          <w:rFonts w:ascii="Cambria" w:eastAsia="Cambria" w:hAnsi="Cambria" w:cs="Cambria"/>
          <w:sz w:val="16"/>
          <w:szCs w:val="16"/>
          <w:lang w:val="es-x-int-SDL"/>
        </w:rPr>
      </w:pPr>
    </w:p>
    <w:p w14:paraId="7947FABA" w14:textId="7B0E9DBA" w:rsidR="00EA606E" w:rsidRPr="001824F0" w:rsidRDefault="00EA606E" w:rsidP="00252C2C">
      <w:pPr>
        <w:pStyle w:val="ListParagraph"/>
        <w:ind w:left="1276" w:hanging="425"/>
        <w:jc w:val="both"/>
        <w:rPr>
          <w:rFonts w:ascii="Cambria" w:eastAsia="Cambria" w:hAnsi="Cambria" w:cs="Cambria"/>
          <w:sz w:val="16"/>
          <w:szCs w:val="16"/>
          <w:lang w:val="es-x-int-SDL"/>
        </w:rPr>
      </w:pPr>
      <w:r w:rsidRPr="001824F0">
        <w:rPr>
          <w:rFonts w:ascii="Cambria" w:eastAsia="Cambria" w:hAnsi="Cambria" w:cs="Cambria"/>
          <w:sz w:val="16"/>
          <w:szCs w:val="16"/>
          <w:lang w:val="es-x-int-SDL"/>
        </w:rPr>
        <w:t xml:space="preserve">** </w:t>
      </w:r>
      <w:r w:rsidR="00252C2C" w:rsidRPr="001824F0">
        <w:rPr>
          <w:rFonts w:ascii="Cambria" w:eastAsia="Cambria" w:hAnsi="Cambria" w:cs="Cambria"/>
          <w:sz w:val="16"/>
          <w:szCs w:val="16"/>
          <w:lang w:val="es-x-int-SDL"/>
        </w:rPr>
        <w:tab/>
      </w:r>
      <w:r w:rsidRPr="001824F0">
        <w:rPr>
          <w:rFonts w:ascii="Cambria" w:eastAsia="Cambria" w:hAnsi="Cambria" w:cs="Cambria"/>
          <w:sz w:val="16"/>
          <w:szCs w:val="16"/>
          <w:lang w:val="es-x-int-SDL"/>
        </w:rPr>
        <w:t xml:space="preserve">Cela </w:t>
      </w:r>
      <w:r w:rsidR="00902664" w:rsidRPr="001824F0">
        <w:rPr>
          <w:rFonts w:ascii="Cambria" w:eastAsia="Cambria" w:hAnsi="Cambria" w:cs="Cambria"/>
          <w:sz w:val="16"/>
          <w:szCs w:val="16"/>
          <w:lang w:val="es-x-int-SDL"/>
        </w:rPr>
        <w:t>tient compte d’</w:t>
      </w:r>
      <w:r w:rsidRPr="001824F0">
        <w:rPr>
          <w:rFonts w:ascii="Cambria" w:eastAsia="Cambria" w:hAnsi="Cambria" w:cs="Cambria"/>
          <w:sz w:val="16"/>
          <w:szCs w:val="16"/>
          <w:lang w:val="es-x-int-SDL"/>
        </w:rPr>
        <w:t>un transfert annuel de 43 t au Maroc jusqu'à la prochaine évaluation du stock de requin peau bleue de l'Atlantique Nord par le SCRS, et ne préjuge pas des futures discussions sur l'allocation.</w:t>
      </w:r>
    </w:p>
    <w:p w14:paraId="596AB717" w14:textId="77777777" w:rsidR="00EA606E" w:rsidRPr="001824F0" w:rsidRDefault="00EA606E" w:rsidP="00252C2C">
      <w:pPr>
        <w:pStyle w:val="ListParagraph"/>
        <w:ind w:left="1276" w:hanging="425"/>
        <w:jc w:val="both"/>
        <w:rPr>
          <w:rFonts w:ascii="Cambria" w:eastAsia="Cambria" w:hAnsi="Cambria" w:cs="Cambria"/>
          <w:sz w:val="16"/>
          <w:szCs w:val="16"/>
          <w:lang w:val="es-x-int-SDL"/>
        </w:rPr>
      </w:pPr>
    </w:p>
    <w:p w14:paraId="4D677393" w14:textId="7AC5E89F" w:rsidR="00EA606E" w:rsidRPr="001824F0" w:rsidRDefault="00EA606E" w:rsidP="00252C2C">
      <w:pPr>
        <w:pStyle w:val="ListParagraph"/>
        <w:ind w:left="1276" w:hanging="425"/>
        <w:jc w:val="both"/>
        <w:rPr>
          <w:rFonts w:ascii="Cambria" w:eastAsia="Cambria" w:hAnsi="Cambria" w:cs="Cambria"/>
          <w:sz w:val="16"/>
          <w:szCs w:val="16"/>
          <w:lang w:val="es-x-int-SDL"/>
        </w:rPr>
      </w:pPr>
      <w:r w:rsidRPr="001824F0">
        <w:rPr>
          <w:rFonts w:ascii="Cambria" w:eastAsia="Cambria" w:hAnsi="Cambria" w:cs="Cambria"/>
          <w:sz w:val="16"/>
          <w:szCs w:val="16"/>
          <w:lang w:val="es-x-int-SDL"/>
        </w:rPr>
        <w:t xml:space="preserve">*** </w:t>
      </w:r>
      <w:r w:rsidR="00252C2C" w:rsidRPr="001824F0">
        <w:rPr>
          <w:rFonts w:ascii="Cambria" w:eastAsia="Cambria" w:hAnsi="Cambria" w:cs="Cambria"/>
          <w:sz w:val="16"/>
          <w:szCs w:val="16"/>
          <w:lang w:val="es-x-int-SDL"/>
        </w:rPr>
        <w:tab/>
      </w:r>
      <w:r w:rsidRPr="001824F0">
        <w:rPr>
          <w:rFonts w:ascii="Cambria" w:eastAsia="Cambria" w:hAnsi="Cambria" w:cs="Cambria"/>
          <w:sz w:val="16"/>
          <w:szCs w:val="16"/>
          <w:lang w:val="es-x-int-SDL"/>
        </w:rPr>
        <w:t>Cela comprend des transferts annuels de 348 t de l’UE et de 43 t du Japon jusqu'à la prochaine évaluation du stock de requin peau bleue de l'Atlantique Nord par le SCRS, et ne préjuge pas des futures discussions sur l'allocation.</w:t>
      </w:r>
    </w:p>
    <w:p w14:paraId="13925CFC" w14:textId="3EA95381" w:rsidR="00244768" w:rsidRPr="001824F0" w:rsidRDefault="00D71BC9" w:rsidP="00D71BC9">
      <w:pPr>
        <w:widowControl w:val="0"/>
        <w:spacing w:after="0" w:line="240" w:lineRule="auto"/>
        <w:ind w:left="426" w:hanging="426"/>
        <w:jc w:val="both"/>
        <w:rPr>
          <w:rFonts w:ascii="Cambria" w:eastAsia="Cambria" w:hAnsi="Cambria" w:cs="Cambria"/>
          <w:sz w:val="20"/>
          <w:szCs w:val="20"/>
        </w:rPr>
      </w:pPr>
      <w:r w:rsidRPr="001824F0">
        <w:rPr>
          <w:rFonts w:ascii="Cambria" w:hAnsi="Cambria"/>
          <w:sz w:val="20"/>
          <w:szCs w:val="20"/>
        </w:rPr>
        <w:t xml:space="preserve">4. </w:t>
      </w:r>
      <w:r w:rsidRPr="001824F0">
        <w:rPr>
          <w:rFonts w:ascii="Cambria" w:hAnsi="Cambria"/>
          <w:sz w:val="20"/>
          <w:szCs w:val="20"/>
        </w:rPr>
        <w:tab/>
      </w:r>
      <w:r w:rsidR="32501FCB" w:rsidRPr="001824F0">
        <w:rPr>
          <w:rFonts w:ascii="Cambria" w:hAnsi="Cambria"/>
          <w:sz w:val="20"/>
          <w:szCs w:val="20"/>
        </w:rPr>
        <w:t xml:space="preserve">Toutes les autres CPC devront </w:t>
      </w:r>
      <w:r w:rsidRPr="001824F0">
        <w:rPr>
          <w:rFonts w:ascii="Cambria" w:hAnsi="Cambria"/>
          <w:sz w:val="20"/>
          <w:szCs w:val="20"/>
        </w:rPr>
        <w:t xml:space="preserve">s’efforcer de maintenir </w:t>
      </w:r>
      <w:r w:rsidR="32501FCB" w:rsidRPr="001824F0">
        <w:rPr>
          <w:rFonts w:ascii="Cambria" w:hAnsi="Cambria"/>
          <w:sz w:val="20"/>
          <w:szCs w:val="20"/>
        </w:rPr>
        <w:t xml:space="preserve">leurs captures </w:t>
      </w:r>
      <w:r w:rsidRPr="001824F0">
        <w:rPr>
          <w:rFonts w:ascii="Cambria" w:hAnsi="Cambria"/>
          <w:sz w:val="20"/>
          <w:szCs w:val="20"/>
        </w:rPr>
        <w:t xml:space="preserve">en-dessous du niveau </w:t>
      </w:r>
      <w:r w:rsidR="00AF08E7" w:rsidRPr="001824F0">
        <w:rPr>
          <w:rFonts w:ascii="Cambria" w:hAnsi="Cambria"/>
          <w:sz w:val="20"/>
          <w:szCs w:val="20"/>
        </w:rPr>
        <w:t xml:space="preserve">de leurs captures annuelles les plus élevées </w:t>
      </w:r>
      <w:r w:rsidRPr="001824F0">
        <w:rPr>
          <w:rFonts w:ascii="Cambria" w:hAnsi="Cambria"/>
          <w:sz w:val="20"/>
          <w:szCs w:val="20"/>
        </w:rPr>
        <w:t>des dix dernières années.</w:t>
      </w:r>
    </w:p>
    <w:p w14:paraId="2C3E2B2C" w14:textId="77777777" w:rsidR="00D71BC9" w:rsidRPr="001824F0" w:rsidRDefault="00D71BC9" w:rsidP="00D71BC9">
      <w:pPr>
        <w:widowControl w:val="0"/>
        <w:spacing w:after="0" w:line="240" w:lineRule="auto"/>
        <w:ind w:left="426" w:hanging="426"/>
        <w:jc w:val="both"/>
        <w:rPr>
          <w:rFonts w:ascii="Cambria" w:hAnsi="Cambria"/>
          <w:sz w:val="20"/>
          <w:szCs w:val="20"/>
        </w:rPr>
      </w:pPr>
    </w:p>
    <w:p w14:paraId="161B706E" w14:textId="35DB1729" w:rsidR="16757BA1" w:rsidRPr="001824F0" w:rsidRDefault="00D71BC9" w:rsidP="00864458">
      <w:pPr>
        <w:pStyle w:val="ListParagraph"/>
        <w:spacing w:after="0" w:line="240" w:lineRule="auto"/>
        <w:ind w:left="426" w:hanging="426"/>
        <w:jc w:val="both"/>
        <w:rPr>
          <w:rFonts w:ascii="Cambria" w:eastAsia="Cambria" w:hAnsi="Cambria" w:cs="Cambria"/>
          <w:sz w:val="20"/>
          <w:szCs w:val="20"/>
        </w:rPr>
      </w:pPr>
      <w:r w:rsidRPr="001824F0">
        <w:rPr>
          <w:rFonts w:ascii="Cambria" w:hAnsi="Cambria"/>
          <w:sz w:val="20"/>
          <w:szCs w:val="20"/>
        </w:rPr>
        <w:t xml:space="preserve">5. </w:t>
      </w:r>
      <w:r w:rsidRPr="001824F0">
        <w:rPr>
          <w:rFonts w:ascii="Cambria" w:hAnsi="Cambria"/>
          <w:sz w:val="20"/>
          <w:szCs w:val="20"/>
        </w:rPr>
        <w:tab/>
      </w:r>
      <w:r w:rsidR="6E00B893" w:rsidRPr="001824F0">
        <w:rPr>
          <w:rFonts w:ascii="Cambria" w:hAnsi="Cambria"/>
          <w:sz w:val="20"/>
          <w:szCs w:val="20"/>
        </w:rPr>
        <w:t xml:space="preserve">a) </w:t>
      </w:r>
      <w:r w:rsidR="00790EEE" w:rsidRPr="001824F0">
        <w:rPr>
          <w:rFonts w:ascii="Cambria" w:hAnsi="Cambria"/>
          <w:sz w:val="20"/>
          <w:szCs w:val="20"/>
        </w:rPr>
        <w:tab/>
      </w:r>
      <w:r w:rsidR="6E00B893" w:rsidRPr="001824F0">
        <w:rPr>
          <w:rFonts w:ascii="Cambria" w:hAnsi="Cambria"/>
          <w:sz w:val="20"/>
          <w:szCs w:val="20"/>
        </w:rPr>
        <w:t xml:space="preserve">Toute quantité </w:t>
      </w:r>
      <w:r w:rsidR="00AF08E7" w:rsidRPr="001824F0">
        <w:rPr>
          <w:rFonts w:ascii="Cambria" w:hAnsi="Cambria"/>
          <w:sz w:val="20"/>
          <w:szCs w:val="20"/>
        </w:rPr>
        <w:t>capturée</w:t>
      </w:r>
      <w:r w:rsidR="6E00B893" w:rsidRPr="001824F0">
        <w:rPr>
          <w:rFonts w:ascii="Cambria" w:hAnsi="Cambria"/>
          <w:sz w:val="20"/>
          <w:szCs w:val="20"/>
        </w:rPr>
        <w:t xml:space="preserve"> au-delà des limites annuelles de </w:t>
      </w:r>
      <w:r w:rsidR="00AF08E7" w:rsidRPr="001824F0">
        <w:rPr>
          <w:rFonts w:ascii="Cambria" w:hAnsi="Cambria"/>
          <w:sz w:val="20"/>
          <w:szCs w:val="20"/>
        </w:rPr>
        <w:t>capture</w:t>
      </w:r>
      <w:r w:rsidR="6E00B893" w:rsidRPr="001824F0">
        <w:rPr>
          <w:rFonts w:ascii="Cambria" w:hAnsi="Cambria"/>
          <w:sz w:val="20"/>
          <w:szCs w:val="20"/>
        </w:rPr>
        <w:t xml:space="preserve"> établies au paragraphe</w:t>
      </w:r>
      <w:r w:rsidR="00790EEE" w:rsidRPr="001824F0">
        <w:rPr>
          <w:rFonts w:ascii="Cambria" w:hAnsi="Cambria"/>
          <w:sz w:val="20"/>
          <w:szCs w:val="20"/>
        </w:rPr>
        <w:t> </w:t>
      </w:r>
      <w:r w:rsidR="6E00B893" w:rsidRPr="001824F0">
        <w:rPr>
          <w:rFonts w:ascii="Cambria" w:hAnsi="Cambria"/>
          <w:sz w:val="20"/>
          <w:szCs w:val="20"/>
        </w:rPr>
        <w:t xml:space="preserve">3 devra être déduite des limites de </w:t>
      </w:r>
      <w:r w:rsidR="00AF08E7" w:rsidRPr="001824F0">
        <w:rPr>
          <w:rFonts w:ascii="Cambria" w:hAnsi="Cambria"/>
          <w:sz w:val="20"/>
          <w:szCs w:val="20"/>
        </w:rPr>
        <w:t>capture</w:t>
      </w:r>
      <w:r w:rsidR="6E00B893" w:rsidRPr="001824F0">
        <w:rPr>
          <w:rFonts w:ascii="Cambria" w:hAnsi="Cambria"/>
          <w:sz w:val="20"/>
          <w:szCs w:val="20"/>
        </w:rPr>
        <w:t xml:space="preserve"> respectives pendant ou avant l'année d'ajustement, de la manière suivante</w:t>
      </w:r>
      <w:r w:rsidR="00790EEE" w:rsidRPr="001824F0">
        <w:rPr>
          <w:rFonts w:ascii="Cambria" w:hAnsi="Cambria"/>
          <w:sz w:val="20"/>
          <w:szCs w:val="20"/>
        </w:rPr>
        <w:t> :</w:t>
      </w:r>
    </w:p>
    <w:p w14:paraId="2341587C" w14:textId="77777777" w:rsidR="009C53ED" w:rsidRPr="001824F0" w:rsidRDefault="009C53ED" w:rsidP="009C53ED">
      <w:pPr>
        <w:pStyle w:val="ListParagraph"/>
        <w:rPr>
          <w:rFonts w:ascii="Cambria" w:eastAsia="Cambria" w:hAnsi="Cambria" w:cs="Cambria"/>
          <w:sz w:val="20"/>
          <w:szCs w:val="20"/>
        </w:rPr>
      </w:pPr>
    </w:p>
    <w:tbl>
      <w:tblPr>
        <w:tblStyle w:val="TableGrid"/>
        <w:tblW w:w="0" w:type="auto"/>
        <w:tblInd w:w="2767" w:type="dxa"/>
        <w:tblLook w:val="04A0" w:firstRow="1" w:lastRow="0" w:firstColumn="1" w:lastColumn="0" w:noHBand="0" w:noVBand="1"/>
      </w:tblPr>
      <w:tblGrid>
        <w:gridCol w:w="2378"/>
        <w:gridCol w:w="2329"/>
      </w:tblGrid>
      <w:tr w:rsidR="709F3E0B" w:rsidRPr="001824F0" w14:paraId="5C58B9B7" w14:textId="77777777" w:rsidTr="00D14CA7">
        <w:trPr>
          <w:trHeight w:val="300"/>
        </w:trPr>
        <w:tc>
          <w:tcPr>
            <w:tcW w:w="2378" w:type="dxa"/>
          </w:tcPr>
          <w:p w14:paraId="65436202" w14:textId="7ECD01E1" w:rsidR="709F3E0B" w:rsidRPr="001824F0" w:rsidRDefault="709F3E0B" w:rsidP="00790EEE">
            <w:pPr>
              <w:pStyle w:val="ListParagraph"/>
              <w:spacing w:line="259" w:lineRule="auto"/>
              <w:ind w:left="0"/>
              <w:jc w:val="center"/>
              <w:rPr>
                <w:rFonts w:ascii="Cambria" w:eastAsia="Cambria" w:hAnsi="Cambria" w:cs="Cambria"/>
                <w:i/>
                <w:iCs/>
                <w:sz w:val="20"/>
                <w:szCs w:val="20"/>
              </w:rPr>
            </w:pPr>
            <w:r w:rsidRPr="001824F0">
              <w:rPr>
                <w:rFonts w:ascii="Cambria" w:hAnsi="Cambria"/>
                <w:i/>
                <w:iCs/>
                <w:sz w:val="20"/>
                <w:szCs w:val="20"/>
              </w:rPr>
              <w:t>Année de capture</w:t>
            </w:r>
          </w:p>
        </w:tc>
        <w:tc>
          <w:tcPr>
            <w:tcW w:w="2329" w:type="dxa"/>
          </w:tcPr>
          <w:p w14:paraId="01C37BDE" w14:textId="63DADD9C" w:rsidR="709F3E0B" w:rsidRPr="001824F0" w:rsidRDefault="709F3E0B" w:rsidP="00790EEE">
            <w:pPr>
              <w:pStyle w:val="ListParagraph"/>
              <w:ind w:left="0"/>
              <w:jc w:val="center"/>
              <w:rPr>
                <w:rFonts w:ascii="Cambria" w:eastAsia="Cambria" w:hAnsi="Cambria" w:cs="Cambria"/>
                <w:i/>
                <w:iCs/>
                <w:sz w:val="20"/>
                <w:szCs w:val="20"/>
              </w:rPr>
            </w:pPr>
            <w:r w:rsidRPr="001824F0">
              <w:rPr>
                <w:rFonts w:ascii="Cambria" w:hAnsi="Cambria"/>
                <w:i/>
                <w:iCs/>
                <w:sz w:val="20"/>
                <w:szCs w:val="20"/>
              </w:rPr>
              <w:t>Année d’ajustement</w:t>
            </w:r>
          </w:p>
        </w:tc>
      </w:tr>
      <w:tr w:rsidR="709F3E0B" w:rsidRPr="001824F0" w14:paraId="73737ED9" w14:textId="77777777" w:rsidTr="00D14CA7">
        <w:trPr>
          <w:trHeight w:val="300"/>
        </w:trPr>
        <w:tc>
          <w:tcPr>
            <w:tcW w:w="2378" w:type="dxa"/>
          </w:tcPr>
          <w:p w14:paraId="2CBD4E97" w14:textId="79E262DE"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2024</w:t>
            </w:r>
          </w:p>
        </w:tc>
        <w:tc>
          <w:tcPr>
            <w:tcW w:w="2329" w:type="dxa"/>
          </w:tcPr>
          <w:p w14:paraId="7626E29C" w14:textId="1C9CE07D"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2026</w:t>
            </w:r>
          </w:p>
        </w:tc>
      </w:tr>
      <w:tr w:rsidR="709F3E0B" w:rsidRPr="001824F0" w14:paraId="37B35A53" w14:textId="77777777" w:rsidTr="00D14CA7">
        <w:trPr>
          <w:trHeight w:val="300"/>
        </w:trPr>
        <w:tc>
          <w:tcPr>
            <w:tcW w:w="2378" w:type="dxa"/>
          </w:tcPr>
          <w:p w14:paraId="0495E3F8" w14:textId="51F49EF0"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2025</w:t>
            </w:r>
          </w:p>
        </w:tc>
        <w:tc>
          <w:tcPr>
            <w:tcW w:w="2329" w:type="dxa"/>
          </w:tcPr>
          <w:p w14:paraId="30663E56" w14:textId="3734357A" w:rsidR="709F3E0B" w:rsidRPr="001824F0" w:rsidRDefault="709F3E0B" w:rsidP="00790EEE">
            <w:pPr>
              <w:pStyle w:val="ListParagraph"/>
              <w:spacing w:line="259" w:lineRule="auto"/>
              <w:ind w:left="0"/>
              <w:jc w:val="center"/>
              <w:rPr>
                <w:rFonts w:ascii="Cambria" w:eastAsia="Cambria" w:hAnsi="Cambria" w:cs="Cambria"/>
                <w:sz w:val="20"/>
                <w:szCs w:val="20"/>
              </w:rPr>
            </w:pPr>
            <w:r w:rsidRPr="001824F0">
              <w:rPr>
                <w:rFonts w:ascii="Cambria" w:hAnsi="Cambria"/>
                <w:sz w:val="20"/>
                <w:szCs w:val="20"/>
              </w:rPr>
              <w:t>2027</w:t>
            </w:r>
          </w:p>
        </w:tc>
      </w:tr>
      <w:tr w:rsidR="709F3E0B" w:rsidRPr="001824F0" w14:paraId="22810B0D" w14:textId="77777777" w:rsidTr="00D14CA7">
        <w:trPr>
          <w:trHeight w:val="300"/>
        </w:trPr>
        <w:tc>
          <w:tcPr>
            <w:tcW w:w="2378" w:type="dxa"/>
          </w:tcPr>
          <w:p w14:paraId="5F1A3DA3" w14:textId="3728D409"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2026</w:t>
            </w:r>
          </w:p>
        </w:tc>
        <w:tc>
          <w:tcPr>
            <w:tcW w:w="2329" w:type="dxa"/>
          </w:tcPr>
          <w:p w14:paraId="7D902188" w14:textId="7B4FABB6"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2028</w:t>
            </w:r>
          </w:p>
        </w:tc>
      </w:tr>
      <w:tr w:rsidR="709F3E0B" w:rsidRPr="001824F0" w14:paraId="1BB97670" w14:textId="77777777" w:rsidTr="00D14CA7">
        <w:trPr>
          <w:trHeight w:val="300"/>
        </w:trPr>
        <w:tc>
          <w:tcPr>
            <w:tcW w:w="2378" w:type="dxa"/>
          </w:tcPr>
          <w:p w14:paraId="63156AD5" w14:textId="29FF0DE3"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2027</w:t>
            </w:r>
          </w:p>
        </w:tc>
        <w:tc>
          <w:tcPr>
            <w:tcW w:w="2329" w:type="dxa"/>
          </w:tcPr>
          <w:p w14:paraId="100A4677" w14:textId="56D5E0D6"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2029</w:t>
            </w:r>
          </w:p>
        </w:tc>
      </w:tr>
      <w:tr w:rsidR="709F3E0B" w:rsidRPr="001824F0" w14:paraId="6F6BE032" w14:textId="77777777" w:rsidTr="00D14CA7">
        <w:trPr>
          <w:trHeight w:val="300"/>
        </w:trPr>
        <w:tc>
          <w:tcPr>
            <w:tcW w:w="2378" w:type="dxa"/>
          </w:tcPr>
          <w:p w14:paraId="376290CB" w14:textId="1E8F5826"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2028</w:t>
            </w:r>
          </w:p>
        </w:tc>
        <w:tc>
          <w:tcPr>
            <w:tcW w:w="2329" w:type="dxa"/>
          </w:tcPr>
          <w:p w14:paraId="619E66C9" w14:textId="278B6DFF"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2030</w:t>
            </w:r>
          </w:p>
        </w:tc>
      </w:tr>
      <w:tr w:rsidR="709F3E0B" w:rsidRPr="001824F0" w14:paraId="28D1D076" w14:textId="77777777" w:rsidTr="00D14CA7">
        <w:trPr>
          <w:trHeight w:val="300"/>
        </w:trPr>
        <w:tc>
          <w:tcPr>
            <w:tcW w:w="2378" w:type="dxa"/>
          </w:tcPr>
          <w:p w14:paraId="6503DA73" w14:textId="457E504F"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2029</w:t>
            </w:r>
          </w:p>
        </w:tc>
        <w:tc>
          <w:tcPr>
            <w:tcW w:w="2329" w:type="dxa"/>
          </w:tcPr>
          <w:p w14:paraId="4FBDAE43" w14:textId="44F97350" w:rsidR="709F3E0B" w:rsidRPr="001824F0" w:rsidRDefault="709F3E0B" w:rsidP="00790EEE">
            <w:pPr>
              <w:pStyle w:val="ListParagraph"/>
              <w:ind w:left="0"/>
              <w:jc w:val="center"/>
              <w:rPr>
                <w:rFonts w:ascii="Cambria" w:eastAsia="Cambria" w:hAnsi="Cambria" w:cs="Cambria"/>
                <w:sz w:val="20"/>
                <w:szCs w:val="20"/>
              </w:rPr>
            </w:pPr>
            <w:r w:rsidRPr="001824F0">
              <w:rPr>
                <w:rFonts w:ascii="Cambria" w:hAnsi="Cambria"/>
                <w:sz w:val="20"/>
                <w:szCs w:val="20"/>
              </w:rPr>
              <w:t>2031</w:t>
            </w:r>
          </w:p>
        </w:tc>
      </w:tr>
    </w:tbl>
    <w:p w14:paraId="6B094005" w14:textId="77777777" w:rsidR="00B35E08" w:rsidRPr="001824F0" w:rsidRDefault="00B35E08" w:rsidP="00B35E08">
      <w:pPr>
        <w:pStyle w:val="ListParagraph"/>
        <w:spacing w:after="0" w:line="240" w:lineRule="auto"/>
        <w:ind w:left="426"/>
        <w:jc w:val="both"/>
        <w:rPr>
          <w:rFonts w:ascii="Cambria" w:eastAsia="Cambria" w:hAnsi="Cambria" w:cs="Cambria"/>
          <w:sz w:val="20"/>
          <w:szCs w:val="20"/>
        </w:rPr>
      </w:pPr>
    </w:p>
    <w:p w14:paraId="0A77938B" w14:textId="639476FC" w:rsidR="16757BA1" w:rsidRPr="001824F0" w:rsidRDefault="34BC201A" w:rsidP="00BF334A">
      <w:pPr>
        <w:pStyle w:val="ListParagraph"/>
        <w:spacing w:after="0" w:line="240" w:lineRule="auto"/>
        <w:ind w:left="851" w:hanging="425"/>
        <w:jc w:val="both"/>
        <w:rPr>
          <w:rFonts w:ascii="Cambria" w:eastAsia="Cambria" w:hAnsi="Cambria" w:cs="Cambria"/>
          <w:sz w:val="20"/>
          <w:szCs w:val="20"/>
        </w:rPr>
      </w:pPr>
      <w:r w:rsidRPr="001824F0">
        <w:rPr>
          <w:rFonts w:ascii="Cambria" w:hAnsi="Cambria"/>
          <w:sz w:val="20"/>
          <w:szCs w:val="20"/>
        </w:rPr>
        <w:t xml:space="preserve">b) </w:t>
      </w:r>
      <w:r w:rsidR="00BF334A" w:rsidRPr="001824F0">
        <w:rPr>
          <w:rFonts w:ascii="Cambria" w:hAnsi="Cambria"/>
          <w:sz w:val="20"/>
          <w:szCs w:val="20"/>
        </w:rPr>
        <w:tab/>
      </w:r>
      <w:r w:rsidRPr="001824F0">
        <w:rPr>
          <w:rFonts w:ascii="Cambria" w:hAnsi="Cambria"/>
          <w:sz w:val="20"/>
          <w:szCs w:val="20"/>
        </w:rPr>
        <w:t xml:space="preserve">Nonobstant les dispositions du sous-paragraphe a) ci-dessus, si une CPC dépasse sa limite de </w:t>
      </w:r>
      <w:r w:rsidR="009F522E" w:rsidRPr="001824F0">
        <w:rPr>
          <w:rFonts w:ascii="Cambria" w:hAnsi="Cambria"/>
          <w:sz w:val="20"/>
          <w:szCs w:val="20"/>
        </w:rPr>
        <w:t xml:space="preserve">capture </w:t>
      </w:r>
      <w:r w:rsidRPr="001824F0">
        <w:rPr>
          <w:rFonts w:ascii="Cambria" w:hAnsi="Cambria"/>
          <w:sz w:val="20"/>
          <w:szCs w:val="20"/>
        </w:rPr>
        <w:t xml:space="preserve">au cours de deux années consécutives, sa limite de </w:t>
      </w:r>
      <w:r w:rsidR="009F522E" w:rsidRPr="001824F0">
        <w:rPr>
          <w:rFonts w:ascii="Cambria" w:hAnsi="Cambria"/>
          <w:sz w:val="20"/>
          <w:szCs w:val="20"/>
        </w:rPr>
        <w:t xml:space="preserve">capture </w:t>
      </w:r>
      <w:r w:rsidRPr="001824F0">
        <w:rPr>
          <w:rFonts w:ascii="Cambria" w:hAnsi="Cambria"/>
          <w:sz w:val="20"/>
          <w:szCs w:val="20"/>
        </w:rPr>
        <w:t>devra être réduite de 125</w:t>
      </w:r>
      <w:r w:rsidR="00790EEE" w:rsidRPr="001824F0">
        <w:rPr>
          <w:rFonts w:ascii="Cambria" w:hAnsi="Cambria"/>
          <w:sz w:val="20"/>
          <w:szCs w:val="20"/>
        </w:rPr>
        <w:t> </w:t>
      </w:r>
      <w:r w:rsidRPr="001824F0">
        <w:rPr>
          <w:rFonts w:ascii="Cambria" w:hAnsi="Cambria"/>
          <w:sz w:val="20"/>
          <w:szCs w:val="20"/>
        </w:rPr>
        <w:t>% de la capture excédentaire de la deuxième année, et la Commission pourra recommander des mesures supplémentaires, le cas échéant.</w:t>
      </w:r>
    </w:p>
    <w:p w14:paraId="7B20061A" w14:textId="77777777" w:rsidR="00864458" w:rsidRPr="001824F0" w:rsidRDefault="00864458" w:rsidP="00647350">
      <w:pPr>
        <w:pStyle w:val="ListParagraph"/>
        <w:spacing w:after="0" w:line="240" w:lineRule="auto"/>
        <w:ind w:left="851" w:hanging="425"/>
        <w:jc w:val="both"/>
        <w:rPr>
          <w:rFonts w:ascii="Cambria" w:eastAsia="Cambria" w:hAnsi="Cambria" w:cs="Cambria"/>
          <w:sz w:val="20"/>
          <w:szCs w:val="20"/>
        </w:rPr>
      </w:pPr>
    </w:p>
    <w:p w14:paraId="355431E5" w14:textId="0A04F462" w:rsidR="00647350" w:rsidRPr="001824F0" w:rsidRDefault="00F579A5" w:rsidP="00647350">
      <w:pPr>
        <w:pStyle w:val="ListParagraph"/>
        <w:spacing w:after="0" w:line="240" w:lineRule="auto"/>
        <w:ind w:left="851" w:hanging="425"/>
        <w:jc w:val="both"/>
        <w:rPr>
          <w:rFonts w:ascii="Cambria" w:hAnsi="Cambria"/>
          <w:sz w:val="20"/>
          <w:szCs w:val="20"/>
        </w:rPr>
      </w:pPr>
      <w:r w:rsidRPr="001824F0">
        <w:rPr>
          <w:rFonts w:ascii="Cambria" w:eastAsia="Cambria" w:hAnsi="Cambria" w:cs="Cambria"/>
          <w:sz w:val="20"/>
          <w:szCs w:val="20"/>
        </w:rPr>
        <w:t>c)</w:t>
      </w:r>
      <w:r w:rsidRPr="001824F0">
        <w:rPr>
          <w:rFonts w:ascii="Cambria" w:eastAsia="Cambria" w:hAnsi="Cambria" w:cs="Cambria"/>
          <w:sz w:val="20"/>
          <w:szCs w:val="20"/>
        </w:rPr>
        <w:tab/>
      </w:r>
      <w:r w:rsidR="00647350" w:rsidRPr="001824F0">
        <w:rPr>
          <w:rFonts w:ascii="Cambria" w:hAnsi="Cambria"/>
          <w:sz w:val="20"/>
          <w:szCs w:val="20"/>
        </w:rPr>
        <w:t>Si, au cours d'une année quelconque, le total des captures de requin peau bleue de l'Atlantique Nord dépasse le TAC, la Commission devra examiner la mise en œuvre de ces mesures</w:t>
      </w:r>
    </w:p>
    <w:p w14:paraId="66BCC21C" w14:textId="77777777" w:rsidR="00F579A5" w:rsidRPr="001824F0" w:rsidRDefault="00F579A5" w:rsidP="00790EEE">
      <w:pPr>
        <w:spacing w:after="0" w:line="240" w:lineRule="auto"/>
        <w:rPr>
          <w:rFonts w:ascii="Cambria" w:hAnsi="Cambria"/>
          <w:b/>
          <w:bCs/>
          <w:i/>
          <w:iCs/>
          <w:sz w:val="20"/>
          <w:szCs w:val="20"/>
        </w:rPr>
      </w:pPr>
    </w:p>
    <w:p w14:paraId="398C7F13" w14:textId="77777777" w:rsidR="00864458" w:rsidRPr="001824F0" w:rsidRDefault="00864458">
      <w:pPr>
        <w:rPr>
          <w:rFonts w:ascii="Cambria" w:hAnsi="Cambria"/>
          <w:b/>
          <w:bCs/>
          <w:i/>
          <w:iCs/>
          <w:sz w:val="20"/>
          <w:szCs w:val="20"/>
        </w:rPr>
      </w:pPr>
      <w:r w:rsidRPr="001824F0">
        <w:rPr>
          <w:rFonts w:ascii="Cambria" w:hAnsi="Cambria"/>
          <w:b/>
          <w:bCs/>
          <w:i/>
          <w:iCs/>
          <w:sz w:val="20"/>
          <w:szCs w:val="20"/>
        </w:rPr>
        <w:br w:type="page"/>
      </w:r>
    </w:p>
    <w:p w14:paraId="1BC03486" w14:textId="1696FD9F" w:rsidR="00BC4836" w:rsidRPr="001824F0" w:rsidRDefault="00BC4836" w:rsidP="00790EEE">
      <w:pPr>
        <w:spacing w:after="0" w:line="240" w:lineRule="auto"/>
        <w:rPr>
          <w:rFonts w:ascii="Cambria" w:eastAsia="Cambria" w:hAnsi="Cambria" w:cs="Cambria"/>
          <w:b/>
          <w:bCs/>
          <w:sz w:val="20"/>
          <w:szCs w:val="20"/>
        </w:rPr>
      </w:pPr>
      <w:r w:rsidRPr="001824F0">
        <w:rPr>
          <w:rFonts w:ascii="Cambria" w:hAnsi="Cambria"/>
          <w:b/>
          <w:bCs/>
          <w:sz w:val="20"/>
          <w:szCs w:val="20"/>
        </w:rPr>
        <w:lastRenderedPageBreak/>
        <w:t>Enregistrement, déclaration et utilisation des informations de capture</w:t>
      </w:r>
    </w:p>
    <w:p w14:paraId="27FC2D76" w14:textId="77777777" w:rsidR="00D14CA7" w:rsidRPr="001824F0" w:rsidRDefault="00D14CA7" w:rsidP="00D71BC9">
      <w:pPr>
        <w:widowControl w:val="0"/>
        <w:spacing w:after="0" w:line="240" w:lineRule="auto"/>
        <w:ind w:left="426" w:hanging="426"/>
        <w:jc w:val="both"/>
        <w:rPr>
          <w:rFonts w:ascii="Cambria" w:hAnsi="Cambria"/>
          <w:sz w:val="20"/>
          <w:szCs w:val="20"/>
        </w:rPr>
      </w:pPr>
    </w:p>
    <w:p w14:paraId="530D0E6B" w14:textId="38054193" w:rsidR="00BC4836" w:rsidRPr="001824F0" w:rsidRDefault="00D71BC9" w:rsidP="00D71BC9">
      <w:pPr>
        <w:widowControl w:val="0"/>
        <w:spacing w:after="0" w:line="240" w:lineRule="auto"/>
        <w:ind w:left="426" w:hanging="426"/>
        <w:jc w:val="both"/>
        <w:rPr>
          <w:rFonts w:ascii="Cambria" w:hAnsi="Cambria"/>
          <w:sz w:val="20"/>
          <w:szCs w:val="20"/>
        </w:rPr>
      </w:pPr>
      <w:r w:rsidRPr="001824F0">
        <w:rPr>
          <w:rFonts w:ascii="Cambria" w:hAnsi="Cambria"/>
          <w:sz w:val="20"/>
          <w:szCs w:val="20"/>
        </w:rPr>
        <w:t xml:space="preserve">6. </w:t>
      </w:r>
      <w:r w:rsidRPr="001824F0">
        <w:rPr>
          <w:rFonts w:ascii="Cambria" w:hAnsi="Cambria"/>
          <w:sz w:val="20"/>
          <w:szCs w:val="20"/>
        </w:rPr>
        <w:tab/>
      </w:r>
      <w:r w:rsidR="438DB588" w:rsidRPr="001824F0">
        <w:rPr>
          <w:rFonts w:ascii="Cambria" w:hAnsi="Cambria"/>
          <w:sz w:val="20"/>
          <w:szCs w:val="20"/>
        </w:rPr>
        <w:t xml:space="preserve">Chaque CPC devra s'assurer que toutes les captures de requin peau bleue de l'Atlantique Nord </w:t>
      </w:r>
      <w:r w:rsidR="00864458" w:rsidRPr="001824F0">
        <w:rPr>
          <w:rFonts w:ascii="Cambria" w:hAnsi="Cambria"/>
          <w:sz w:val="20"/>
          <w:szCs w:val="20"/>
        </w:rPr>
        <w:t xml:space="preserve">réalisées </w:t>
      </w:r>
      <w:r w:rsidR="438DB588" w:rsidRPr="001824F0">
        <w:rPr>
          <w:rFonts w:ascii="Cambria" w:hAnsi="Cambria"/>
          <w:sz w:val="20"/>
          <w:szCs w:val="20"/>
        </w:rPr>
        <w:t xml:space="preserve">en association avec les pêcheries de l'ICCAT dans la zone de la Convention sont enregistrées conformément aux exigences établies dans la </w:t>
      </w:r>
      <w:r w:rsidR="438DB588" w:rsidRPr="001824F0">
        <w:rPr>
          <w:rFonts w:ascii="Cambria" w:hAnsi="Cambria"/>
          <w:i/>
          <w:iCs/>
          <w:sz w:val="20"/>
          <w:szCs w:val="20"/>
        </w:rPr>
        <w:t xml:space="preserve">Recommandation de l’ICCAT relative à l’enregistrement des captures par les navires de pêche dans la zone de la Convention ICCAT </w:t>
      </w:r>
      <w:r w:rsidR="438DB588" w:rsidRPr="001824F0">
        <w:rPr>
          <w:rFonts w:ascii="Cambria" w:hAnsi="Cambria"/>
          <w:sz w:val="20"/>
          <w:szCs w:val="20"/>
        </w:rPr>
        <w:t>(Rec. 03-13).</w:t>
      </w:r>
    </w:p>
    <w:p w14:paraId="260D0A50" w14:textId="77777777" w:rsidR="00B35E08" w:rsidRPr="001824F0" w:rsidRDefault="00B35E08" w:rsidP="00D71BC9">
      <w:pPr>
        <w:widowControl w:val="0"/>
        <w:spacing w:after="0" w:line="240" w:lineRule="auto"/>
        <w:ind w:left="426" w:hanging="426"/>
        <w:jc w:val="both"/>
        <w:rPr>
          <w:rFonts w:ascii="Cambria" w:hAnsi="Cambria"/>
          <w:sz w:val="20"/>
          <w:szCs w:val="20"/>
        </w:rPr>
      </w:pPr>
    </w:p>
    <w:p w14:paraId="77BF2F4A" w14:textId="240FE07C" w:rsidR="030F1738" w:rsidRPr="001824F0" w:rsidRDefault="00D71BC9" w:rsidP="00D71BC9">
      <w:pPr>
        <w:widowControl w:val="0"/>
        <w:spacing w:after="0" w:line="240" w:lineRule="auto"/>
        <w:ind w:left="426" w:hanging="426"/>
        <w:jc w:val="both"/>
        <w:rPr>
          <w:rFonts w:ascii="Cambria" w:hAnsi="Cambria"/>
          <w:sz w:val="20"/>
          <w:szCs w:val="20"/>
        </w:rPr>
      </w:pPr>
      <w:r w:rsidRPr="001824F0">
        <w:rPr>
          <w:rFonts w:ascii="Cambria" w:hAnsi="Cambria"/>
          <w:sz w:val="20"/>
          <w:szCs w:val="20"/>
        </w:rPr>
        <w:t xml:space="preserve">7. </w:t>
      </w:r>
      <w:r w:rsidRPr="001824F0">
        <w:rPr>
          <w:rFonts w:ascii="Cambria" w:hAnsi="Cambria"/>
          <w:sz w:val="20"/>
          <w:szCs w:val="20"/>
        </w:rPr>
        <w:tab/>
      </w:r>
      <w:r w:rsidR="030F1738" w:rsidRPr="001824F0">
        <w:rPr>
          <w:rFonts w:ascii="Cambria" w:hAnsi="Cambria"/>
          <w:sz w:val="20"/>
          <w:szCs w:val="20"/>
        </w:rPr>
        <w:t>Les CPC devront mettre en œuvre des programmes de collecte de données qui garantissent la déclaration à l’ICCAT de données précises de prise, d’effort, de taille et de rejets sur le requin peau bleue de l’Atlantique Nord, en pleine conformité avec les exigences de l’ICCAT en matière de soumission des données de la tâche 1 et de la tâche 2.</w:t>
      </w:r>
    </w:p>
    <w:p w14:paraId="3F5D45C2" w14:textId="77777777" w:rsidR="00F579A5" w:rsidRPr="001824F0" w:rsidRDefault="00F579A5" w:rsidP="00D71BC9">
      <w:pPr>
        <w:widowControl w:val="0"/>
        <w:spacing w:after="0" w:line="240" w:lineRule="auto"/>
        <w:ind w:left="426" w:hanging="426"/>
        <w:jc w:val="both"/>
        <w:rPr>
          <w:rFonts w:ascii="Cambria" w:hAnsi="Cambria"/>
          <w:sz w:val="20"/>
          <w:szCs w:val="20"/>
        </w:rPr>
      </w:pPr>
    </w:p>
    <w:p w14:paraId="754C9790" w14:textId="1023CCDE" w:rsidR="00D641B4" w:rsidRPr="001824F0" w:rsidRDefault="00D71BC9" w:rsidP="00D71BC9">
      <w:pPr>
        <w:widowControl w:val="0"/>
        <w:spacing w:after="0" w:line="240" w:lineRule="auto"/>
        <w:ind w:left="426" w:hanging="426"/>
        <w:jc w:val="both"/>
        <w:rPr>
          <w:rFonts w:ascii="Cambria" w:hAnsi="Cambria"/>
          <w:sz w:val="20"/>
          <w:szCs w:val="20"/>
        </w:rPr>
      </w:pPr>
      <w:r w:rsidRPr="001824F0">
        <w:rPr>
          <w:rFonts w:ascii="Cambria" w:hAnsi="Cambria"/>
          <w:sz w:val="20"/>
          <w:szCs w:val="20"/>
        </w:rPr>
        <w:t xml:space="preserve">8. </w:t>
      </w:r>
      <w:r w:rsidRPr="001824F0">
        <w:rPr>
          <w:rFonts w:ascii="Cambria" w:hAnsi="Cambria"/>
          <w:sz w:val="20"/>
          <w:szCs w:val="20"/>
        </w:rPr>
        <w:tab/>
      </w:r>
      <w:r w:rsidR="7C74ADF8" w:rsidRPr="001824F0">
        <w:rPr>
          <w:rFonts w:ascii="Cambria" w:hAnsi="Cambria"/>
          <w:sz w:val="20"/>
          <w:szCs w:val="20"/>
        </w:rPr>
        <w:t>Dans les cas où le requin peau bleue de l'Atlantique Nord n'est pas conservé, les CPC devront déployer tous les efforts raisonnables afin que les spécimens capturés accidentellement dans les pêcheries de l'ICCAT soient remis à l'eau sains et saufs et dès que possible. Les CPC devront déclarer au Secrétariat de l'ICCAT, conformément aux exigences de déclaration des données de l'ICCAT, le nombre de spécimens remis à l'eau, y compris leur état au moment de la remise à l'eau (c'est-à-dire les rejets morts et les remises à l'eau de spécimens vivants).</w:t>
      </w:r>
    </w:p>
    <w:p w14:paraId="422F1F27" w14:textId="77777777" w:rsidR="00F579A5" w:rsidRPr="001824F0" w:rsidRDefault="00F579A5" w:rsidP="00D71BC9">
      <w:pPr>
        <w:widowControl w:val="0"/>
        <w:spacing w:after="0" w:line="240" w:lineRule="auto"/>
        <w:ind w:left="426" w:hanging="426"/>
        <w:jc w:val="both"/>
        <w:rPr>
          <w:rFonts w:ascii="Cambria" w:hAnsi="Cambria"/>
          <w:sz w:val="20"/>
          <w:szCs w:val="20"/>
        </w:rPr>
      </w:pPr>
    </w:p>
    <w:p w14:paraId="2E0A6EF2" w14:textId="48770FA1" w:rsidR="00BC4836" w:rsidRPr="001824F0" w:rsidRDefault="00D71BC9" w:rsidP="00D71BC9">
      <w:pPr>
        <w:widowControl w:val="0"/>
        <w:spacing w:after="0" w:line="240" w:lineRule="auto"/>
        <w:ind w:left="426" w:hanging="426"/>
        <w:jc w:val="both"/>
        <w:rPr>
          <w:rFonts w:ascii="Cambria" w:hAnsi="Cambria"/>
          <w:sz w:val="20"/>
          <w:szCs w:val="20"/>
        </w:rPr>
      </w:pPr>
      <w:r w:rsidRPr="001824F0">
        <w:rPr>
          <w:rFonts w:ascii="Cambria" w:hAnsi="Cambria"/>
          <w:sz w:val="20"/>
          <w:szCs w:val="20"/>
        </w:rPr>
        <w:t xml:space="preserve">9. </w:t>
      </w:r>
      <w:r w:rsidRPr="001824F0">
        <w:rPr>
          <w:rFonts w:ascii="Cambria" w:hAnsi="Cambria"/>
          <w:sz w:val="20"/>
          <w:szCs w:val="20"/>
        </w:rPr>
        <w:tab/>
      </w:r>
      <w:r w:rsidR="54E92F44" w:rsidRPr="001824F0">
        <w:rPr>
          <w:rFonts w:ascii="Cambria" w:hAnsi="Cambria"/>
          <w:sz w:val="20"/>
          <w:szCs w:val="20"/>
        </w:rPr>
        <w:t xml:space="preserve">Les CPC devront inclure, dans leur feuille de contrôle de la mise en œuvre des mesures s'appliquant </w:t>
      </w:r>
      <w:proofErr w:type="gramStart"/>
      <w:r w:rsidR="54E92F44" w:rsidRPr="001824F0">
        <w:rPr>
          <w:rFonts w:ascii="Cambria" w:hAnsi="Cambria"/>
          <w:sz w:val="20"/>
          <w:szCs w:val="20"/>
        </w:rPr>
        <w:t>aux requins soumise</w:t>
      </w:r>
      <w:proofErr w:type="gramEnd"/>
      <w:r w:rsidR="54E92F44" w:rsidRPr="001824F0">
        <w:rPr>
          <w:rFonts w:ascii="Cambria" w:hAnsi="Cambria"/>
          <w:sz w:val="20"/>
          <w:szCs w:val="20"/>
        </w:rPr>
        <w:t xml:space="preserve"> à l’ICCAT en vertu de la Recommandation 18-06, des informations sur les mesures qu’elles ont prises au niveau national en vue de contrôler les captures et de conserver et gérer durablement le requin peau bleue de l’Atlantique Nord.</w:t>
      </w:r>
    </w:p>
    <w:p w14:paraId="1360D150" w14:textId="77777777" w:rsidR="00C75519" w:rsidRPr="001824F0" w:rsidRDefault="00C75519" w:rsidP="00B35E08">
      <w:pPr>
        <w:spacing w:after="0" w:line="240" w:lineRule="auto"/>
        <w:rPr>
          <w:rFonts w:ascii="Cambria" w:hAnsi="Cambria"/>
          <w:b/>
          <w:bCs/>
          <w:sz w:val="20"/>
          <w:szCs w:val="20"/>
        </w:rPr>
      </w:pPr>
    </w:p>
    <w:p w14:paraId="47262CC2" w14:textId="3E2E616F" w:rsidR="00BC4836" w:rsidRPr="001824F0" w:rsidRDefault="00BC4836" w:rsidP="00B35E08">
      <w:pPr>
        <w:spacing w:after="0" w:line="240" w:lineRule="auto"/>
        <w:rPr>
          <w:rFonts w:ascii="Cambria" w:eastAsia="Cambria" w:hAnsi="Cambria" w:cs="Cambria"/>
          <w:b/>
          <w:bCs/>
          <w:sz w:val="20"/>
          <w:szCs w:val="20"/>
        </w:rPr>
      </w:pPr>
      <w:r w:rsidRPr="001824F0">
        <w:rPr>
          <w:rFonts w:ascii="Cambria" w:hAnsi="Cambria"/>
          <w:b/>
          <w:bCs/>
          <w:sz w:val="20"/>
          <w:szCs w:val="20"/>
        </w:rPr>
        <w:t>Recherche scientifique</w:t>
      </w:r>
    </w:p>
    <w:p w14:paraId="0294EBA1" w14:textId="77777777" w:rsidR="00B35E08" w:rsidRPr="001824F0" w:rsidRDefault="00B35E08" w:rsidP="00B35E08">
      <w:pPr>
        <w:spacing w:after="0" w:line="240" w:lineRule="auto"/>
        <w:ind w:firstLine="360"/>
        <w:rPr>
          <w:rFonts w:ascii="Cambria" w:eastAsia="Cambria" w:hAnsi="Cambria" w:cs="Cambria"/>
          <w:b/>
          <w:bCs/>
          <w:sz w:val="20"/>
          <w:szCs w:val="20"/>
        </w:rPr>
      </w:pPr>
    </w:p>
    <w:p w14:paraId="0F009035" w14:textId="38C537EA" w:rsidR="00BC4836" w:rsidRPr="001824F0" w:rsidRDefault="00D71BC9" w:rsidP="00D71BC9">
      <w:pPr>
        <w:widowControl w:val="0"/>
        <w:spacing w:after="0" w:line="240" w:lineRule="auto"/>
        <w:ind w:left="426" w:hanging="426"/>
        <w:jc w:val="both"/>
        <w:rPr>
          <w:rFonts w:ascii="Cambria" w:hAnsi="Cambria"/>
          <w:sz w:val="20"/>
          <w:szCs w:val="20"/>
        </w:rPr>
      </w:pPr>
      <w:r w:rsidRPr="001824F0">
        <w:rPr>
          <w:rFonts w:ascii="Cambria" w:hAnsi="Cambria"/>
          <w:sz w:val="20"/>
          <w:szCs w:val="20"/>
        </w:rPr>
        <w:t xml:space="preserve">10. </w:t>
      </w:r>
      <w:r w:rsidRPr="001824F0">
        <w:rPr>
          <w:rFonts w:ascii="Cambria" w:hAnsi="Cambria"/>
          <w:sz w:val="20"/>
          <w:szCs w:val="20"/>
        </w:rPr>
        <w:tab/>
      </w:r>
      <w:r w:rsidR="438DB588" w:rsidRPr="001824F0">
        <w:rPr>
          <w:rFonts w:ascii="Cambria" w:hAnsi="Cambria"/>
          <w:sz w:val="20"/>
          <w:szCs w:val="20"/>
        </w:rPr>
        <w:t>Les CPC sont encouragées à entreprendre des travaux de recherche scientifique qui fournissent des informations sur les paramètres biologiques et écologiques clés, le cycle vital, les migrations, la survie suivant la remise à l'eau et les caractéristiques comportementales du requin peau bleue. Ces informations devront être mises à la disposition du SCRS.</w:t>
      </w:r>
    </w:p>
    <w:p w14:paraId="23A90CC9" w14:textId="77777777" w:rsidR="00BC4836" w:rsidRPr="001824F0" w:rsidRDefault="00BC4836" w:rsidP="00D71BC9">
      <w:pPr>
        <w:widowControl w:val="0"/>
        <w:spacing w:after="0" w:line="240" w:lineRule="auto"/>
        <w:ind w:left="426" w:hanging="426"/>
        <w:jc w:val="both"/>
        <w:rPr>
          <w:rFonts w:ascii="Cambria" w:hAnsi="Cambria"/>
          <w:sz w:val="20"/>
          <w:szCs w:val="20"/>
        </w:rPr>
      </w:pPr>
    </w:p>
    <w:bookmarkEnd w:id="2"/>
    <w:p w14:paraId="0F172A5E" w14:textId="06B16666" w:rsidR="00885E93" w:rsidRPr="001824F0" w:rsidRDefault="00D71BC9" w:rsidP="00D71BC9">
      <w:pPr>
        <w:widowControl w:val="0"/>
        <w:spacing w:after="0" w:line="240" w:lineRule="auto"/>
        <w:ind w:left="426" w:hanging="426"/>
        <w:jc w:val="both"/>
        <w:rPr>
          <w:rFonts w:ascii="Cambria" w:hAnsi="Cambria"/>
          <w:sz w:val="20"/>
          <w:szCs w:val="20"/>
        </w:rPr>
      </w:pPr>
      <w:r w:rsidRPr="001824F0">
        <w:rPr>
          <w:rFonts w:ascii="Cambria" w:hAnsi="Cambria"/>
          <w:sz w:val="20"/>
          <w:szCs w:val="20"/>
        </w:rPr>
        <w:t xml:space="preserve">11. </w:t>
      </w:r>
      <w:r w:rsidRPr="001824F0">
        <w:rPr>
          <w:rFonts w:ascii="Cambria" w:hAnsi="Cambria"/>
          <w:sz w:val="20"/>
          <w:szCs w:val="20"/>
        </w:rPr>
        <w:tab/>
      </w:r>
      <w:r w:rsidR="00C11DD2" w:rsidRPr="001824F0">
        <w:rPr>
          <w:rFonts w:ascii="Cambria" w:hAnsi="Cambria"/>
          <w:sz w:val="20"/>
          <w:szCs w:val="20"/>
        </w:rPr>
        <w:t>Pour donner suite</w:t>
      </w:r>
      <w:r w:rsidR="77F1B88C" w:rsidRPr="001824F0">
        <w:rPr>
          <w:rFonts w:ascii="Cambria" w:hAnsi="Cambria"/>
          <w:sz w:val="20"/>
          <w:szCs w:val="20"/>
        </w:rPr>
        <w:t xml:space="preserve"> à la tâche confiée dans la Recommandation 19-07, le SCRS devra informer la Commission, d'ici 202</w:t>
      </w:r>
      <w:r w:rsidR="00F579A5" w:rsidRPr="001824F0">
        <w:rPr>
          <w:rFonts w:ascii="Cambria" w:hAnsi="Cambria"/>
          <w:sz w:val="20"/>
          <w:szCs w:val="20"/>
        </w:rPr>
        <w:t>5</w:t>
      </w:r>
      <w:r w:rsidR="77F1B88C" w:rsidRPr="001824F0">
        <w:rPr>
          <w:rFonts w:ascii="Cambria" w:hAnsi="Cambria"/>
          <w:sz w:val="20"/>
          <w:szCs w:val="20"/>
        </w:rPr>
        <w:t xml:space="preserve">, de la faisabilité, </w:t>
      </w:r>
      <w:r w:rsidR="00392236" w:rsidRPr="001824F0">
        <w:rPr>
          <w:rFonts w:ascii="Cambria" w:hAnsi="Cambria"/>
          <w:sz w:val="20"/>
          <w:szCs w:val="20"/>
        </w:rPr>
        <w:t xml:space="preserve">des coûts, </w:t>
      </w:r>
      <w:r w:rsidR="77F1B88C" w:rsidRPr="001824F0">
        <w:rPr>
          <w:rFonts w:ascii="Cambria" w:hAnsi="Cambria"/>
          <w:sz w:val="20"/>
          <w:szCs w:val="20"/>
        </w:rPr>
        <w:t xml:space="preserve">des options et de la feuille de route provisoire pour l'élaboration d'un cadre de MSE (y compris, entre autres, la HCR avec </w:t>
      </w:r>
      <w:r w:rsidR="003F5DC4" w:rsidRPr="001824F0">
        <w:rPr>
          <w:rFonts w:ascii="Cambria" w:hAnsi="Cambria"/>
          <w:sz w:val="20"/>
          <w:szCs w:val="20"/>
        </w:rPr>
        <w:t xml:space="preserve">ses </w:t>
      </w:r>
      <w:r w:rsidR="77F1B88C" w:rsidRPr="001824F0">
        <w:rPr>
          <w:rFonts w:ascii="Cambria" w:hAnsi="Cambria"/>
          <w:sz w:val="20"/>
          <w:szCs w:val="20"/>
        </w:rPr>
        <w:t xml:space="preserve">points de référence </w:t>
      </w:r>
      <w:r w:rsidR="003F5DC4" w:rsidRPr="001824F0">
        <w:rPr>
          <w:rFonts w:ascii="Cambria" w:hAnsi="Cambria"/>
          <w:sz w:val="20"/>
          <w:szCs w:val="20"/>
        </w:rPr>
        <w:t xml:space="preserve">limites, </w:t>
      </w:r>
      <w:r w:rsidR="77F1B88C" w:rsidRPr="001824F0">
        <w:rPr>
          <w:rFonts w:ascii="Cambria" w:hAnsi="Cambria"/>
          <w:sz w:val="20"/>
          <w:szCs w:val="20"/>
        </w:rPr>
        <w:t>cibles et seuils</w:t>
      </w:r>
      <w:r w:rsidR="003F5DC4" w:rsidRPr="001824F0">
        <w:rPr>
          <w:rFonts w:ascii="Cambria" w:hAnsi="Cambria"/>
          <w:sz w:val="20"/>
          <w:szCs w:val="20"/>
        </w:rPr>
        <w:t xml:space="preserve"> associés</w:t>
      </w:r>
      <w:r w:rsidR="77F1B88C" w:rsidRPr="001824F0">
        <w:rPr>
          <w:rFonts w:ascii="Cambria" w:hAnsi="Cambria"/>
          <w:sz w:val="20"/>
          <w:szCs w:val="20"/>
        </w:rPr>
        <w:t>) pour la gestion de ce stock dans la zone de la Convention de l’ICCAT.</w:t>
      </w:r>
    </w:p>
    <w:p w14:paraId="74A812B0" w14:textId="77777777" w:rsidR="007D1CB6" w:rsidRPr="001824F0" w:rsidRDefault="007D1CB6" w:rsidP="00B35E08">
      <w:pPr>
        <w:pStyle w:val="ListParagraph"/>
        <w:spacing w:after="0" w:line="240" w:lineRule="auto"/>
      </w:pPr>
    </w:p>
    <w:p w14:paraId="2ED3210F" w14:textId="66982DC6" w:rsidR="007D1CB6" w:rsidRPr="001824F0" w:rsidRDefault="007D1CB6" w:rsidP="00B35E08">
      <w:pPr>
        <w:spacing w:after="0" w:line="240" w:lineRule="auto"/>
        <w:jc w:val="both"/>
        <w:rPr>
          <w:rFonts w:ascii="Cambria" w:eastAsia="Cambria" w:hAnsi="Cambria" w:cs="Cambria"/>
          <w:b/>
          <w:bCs/>
          <w:sz w:val="20"/>
          <w:szCs w:val="20"/>
        </w:rPr>
      </w:pPr>
      <w:r w:rsidRPr="001824F0">
        <w:rPr>
          <w:rFonts w:ascii="Cambria" w:hAnsi="Cambria"/>
          <w:b/>
          <w:bCs/>
          <w:sz w:val="20"/>
          <w:szCs w:val="20"/>
        </w:rPr>
        <w:t>Mise en œuvre et examen</w:t>
      </w:r>
    </w:p>
    <w:p w14:paraId="3B2ACC99" w14:textId="77777777" w:rsidR="00B35E08" w:rsidRPr="001824F0" w:rsidRDefault="00B35E08" w:rsidP="00D71BC9">
      <w:pPr>
        <w:spacing w:after="0" w:line="240" w:lineRule="auto"/>
        <w:ind w:left="426" w:hanging="426"/>
        <w:jc w:val="both"/>
        <w:rPr>
          <w:rFonts w:ascii="Cambria" w:eastAsia="Cambria" w:hAnsi="Cambria" w:cs="Cambria"/>
          <w:b/>
          <w:bCs/>
          <w:sz w:val="20"/>
          <w:szCs w:val="20"/>
        </w:rPr>
      </w:pPr>
    </w:p>
    <w:p w14:paraId="023BFF97" w14:textId="7625AA57" w:rsidR="00BF334A" w:rsidRPr="001824F0" w:rsidRDefault="00D71BC9" w:rsidP="00D71BC9">
      <w:pPr>
        <w:widowControl w:val="0"/>
        <w:spacing w:after="0" w:line="240" w:lineRule="auto"/>
        <w:ind w:left="426" w:hanging="426"/>
        <w:jc w:val="both"/>
        <w:rPr>
          <w:rFonts w:ascii="Cambria" w:eastAsia="Cambria" w:hAnsi="Cambria" w:cs="Cambria"/>
          <w:sz w:val="20"/>
          <w:szCs w:val="20"/>
        </w:rPr>
      </w:pPr>
      <w:r w:rsidRPr="001824F0">
        <w:rPr>
          <w:rFonts w:ascii="Cambria" w:hAnsi="Cambria"/>
          <w:sz w:val="20"/>
          <w:szCs w:val="20"/>
        </w:rPr>
        <w:t xml:space="preserve">12. </w:t>
      </w:r>
      <w:r w:rsidRPr="001824F0">
        <w:rPr>
          <w:rFonts w:ascii="Cambria" w:hAnsi="Cambria"/>
          <w:sz w:val="20"/>
          <w:szCs w:val="20"/>
        </w:rPr>
        <w:tab/>
      </w:r>
      <w:r w:rsidR="54E92F44" w:rsidRPr="001824F0">
        <w:rPr>
          <w:rFonts w:ascii="Cambria" w:hAnsi="Cambria"/>
          <w:sz w:val="20"/>
          <w:szCs w:val="20"/>
        </w:rPr>
        <w:t xml:space="preserve">La présente Recommandation devra être revue à la lumière </w:t>
      </w:r>
      <w:r w:rsidR="00B61D31" w:rsidRPr="001824F0">
        <w:rPr>
          <w:rFonts w:ascii="Cambria" w:hAnsi="Cambria"/>
          <w:sz w:val="20"/>
          <w:szCs w:val="20"/>
        </w:rPr>
        <w:t>du</w:t>
      </w:r>
      <w:r w:rsidR="54E92F44" w:rsidRPr="001824F0">
        <w:rPr>
          <w:rFonts w:ascii="Cambria" w:hAnsi="Cambria"/>
          <w:sz w:val="20"/>
          <w:szCs w:val="20"/>
        </w:rPr>
        <w:t xml:space="preserve"> résultat de la prochaine évaluation du stock de requin peau bleue de l'Atlantique Nord du SCRS.</w:t>
      </w:r>
    </w:p>
    <w:p w14:paraId="04DBF181" w14:textId="77777777" w:rsidR="00BF334A" w:rsidRPr="001824F0" w:rsidRDefault="00BF334A" w:rsidP="00D71BC9">
      <w:pPr>
        <w:pStyle w:val="ListParagraph"/>
        <w:widowControl w:val="0"/>
        <w:spacing w:after="0" w:line="240" w:lineRule="auto"/>
        <w:ind w:left="426" w:hanging="426"/>
        <w:jc w:val="both"/>
        <w:rPr>
          <w:rFonts w:ascii="Cambria" w:eastAsia="Cambria" w:hAnsi="Cambria" w:cs="Cambria"/>
          <w:sz w:val="20"/>
          <w:szCs w:val="20"/>
        </w:rPr>
      </w:pPr>
    </w:p>
    <w:p w14:paraId="0E4960B1" w14:textId="79E4AA0A" w:rsidR="007D1CB6" w:rsidRPr="00820207" w:rsidRDefault="00D71BC9" w:rsidP="00D71BC9">
      <w:pPr>
        <w:widowControl w:val="0"/>
        <w:spacing w:after="0" w:line="240" w:lineRule="auto"/>
        <w:ind w:left="426" w:hanging="426"/>
        <w:jc w:val="both"/>
        <w:rPr>
          <w:rFonts w:ascii="Cambria" w:eastAsia="Cambria" w:hAnsi="Cambria" w:cs="Cambria"/>
          <w:i/>
          <w:iCs/>
          <w:sz w:val="20"/>
          <w:szCs w:val="20"/>
        </w:rPr>
      </w:pPr>
      <w:r w:rsidRPr="001824F0">
        <w:rPr>
          <w:rFonts w:ascii="Cambria" w:hAnsi="Cambria"/>
          <w:sz w:val="20"/>
          <w:szCs w:val="20"/>
        </w:rPr>
        <w:t xml:space="preserve">13. </w:t>
      </w:r>
      <w:r w:rsidRPr="001824F0">
        <w:rPr>
          <w:rFonts w:ascii="Cambria" w:hAnsi="Cambria"/>
          <w:sz w:val="20"/>
          <w:szCs w:val="20"/>
        </w:rPr>
        <w:tab/>
      </w:r>
      <w:r w:rsidR="007D1CB6" w:rsidRPr="001824F0">
        <w:rPr>
          <w:rFonts w:ascii="Cambria" w:hAnsi="Cambria"/>
          <w:sz w:val="20"/>
          <w:szCs w:val="20"/>
        </w:rPr>
        <w:t xml:space="preserve">La présente Recommandation abroge et remplace la </w:t>
      </w:r>
      <w:r w:rsidR="007D1CB6" w:rsidRPr="001824F0">
        <w:rPr>
          <w:rFonts w:ascii="Cambria" w:hAnsi="Cambria"/>
          <w:i/>
          <w:iCs/>
          <w:sz w:val="20"/>
          <w:szCs w:val="20"/>
        </w:rPr>
        <w:t>Recommandation de l’ICCAT amendant la Recommandation 16-12 concernant des mesures de gestion aux fins de la conservation du requin peau bleue de l’Atlantique Nord capturé en association avec les pêcheries de l’ICCAT</w:t>
      </w:r>
      <w:r w:rsidR="007D1CB6" w:rsidRPr="001824F0">
        <w:rPr>
          <w:rFonts w:ascii="Cambria" w:hAnsi="Cambria"/>
          <w:sz w:val="20"/>
          <w:szCs w:val="20"/>
        </w:rPr>
        <w:t xml:space="preserve"> (Rec. 19-07)</w:t>
      </w:r>
      <w:r w:rsidR="00B6063D">
        <w:rPr>
          <w:rFonts w:ascii="Cambria" w:hAnsi="Cambria"/>
          <w:sz w:val="20"/>
          <w:szCs w:val="20"/>
        </w:rPr>
        <w:t xml:space="preserve"> et la </w:t>
      </w:r>
      <w:r w:rsidR="00B6063D" w:rsidRPr="00820207">
        <w:rPr>
          <w:rFonts w:ascii="Cambria" w:hAnsi="Cambria"/>
          <w:i/>
          <w:iCs/>
          <w:sz w:val="20"/>
          <w:szCs w:val="20"/>
        </w:rPr>
        <w:t>Recommandation de l’ICCAT amendant la Recommandation 19-07 amendant la Recommandation 16-12 concernant des mesures de gestion aux fins de la conservation du requin peau bleue de l’Atlantique Nord capturé en association avec les pêcheries de l’ICCAT</w:t>
      </w:r>
      <w:r w:rsidR="00B6063D" w:rsidRPr="00820207">
        <w:rPr>
          <w:rStyle w:val="Hyperlink"/>
          <w:rFonts w:ascii="Cambria" w:hAnsi="Cambria"/>
          <w:i/>
          <w:iCs/>
          <w:color w:val="auto"/>
          <w:sz w:val="20"/>
          <w:szCs w:val="20"/>
          <w:u w:val="none"/>
        </w:rPr>
        <w:t xml:space="preserve"> </w:t>
      </w:r>
      <w:r w:rsidR="00B6063D" w:rsidRPr="00820207">
        <w:rPr>
          <w:rStyle w:val="Hyperlink"/>
          <w:rFonts w:ascii="Cambria" w:hAnsi="Cambria"/>
          <w:color w:val="auto"/>
          <w:sz w:val="20"/>
          <w:szCs w:val="20"/>
          <w:u w:val="none"/>
        </w:rPr>
        <w:t>(Rec. 21-10)</w:t>
      </w:r>
      <w:r w:rsidR="007D1CB6" w:rsidRPr="00820207">
        <w:rPr>
          <w:rFonts w:ascii="Cambria" w:hAnsi="Cambria"/>
          <w:i/>
          <w:iCs/>
          <w:sz w:val="20"/>
          <w:szCs w:val="20"/>
        </w:rPr>
        <w:t>.</w:t>
      </w:r>
    </w:p>
    <w:sectPr w:rsidR="007D1CB6" w:rsidRPr="00820207">
      <w:footerReference w:type="default" r:id="rId8"/>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1E3C" w14:textId="77777777" w:rsidR="00C26B72" w:rsidRDefault="00C26B72">
      <w:pPr>
        <w:spacing w:after="0" w:line="240" w:lineRule="auto"/>
      </w:pPr>
      <w:r>
        <w:separator/>
      </w:r>
    </w:p>
  </w:endnote>
  <w:endnote w:type="continuationSeparator" w:id="0">
    <w:p w14:paraId="22D4FDCE" w14:textId="77777777" w:rsidR="00C26B72" w:rsidRDefault="00C26B72">
      <w:pPr>
        <w:spacing w:after="0" w:line="240" w:lineRule="auto"/>
      </w:pPr>
      <w:r>
        <w:continuationSeparator/>
      </w:r>
    </w:p>
  </w:endnote>
  <w:endnote w:type="continuationNotice" w:id="1">
    <w:p w14:paraId="4D79D3C7" w14:textId="77777777" w:rsidR="00C26B72" w:rsidRDefault="00C26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FFD1" w14:textId="3DB35D83" w:rsidR="0086608E" w:rsidRPr="0086608E" w:rsidRDefault="0086608E" w:rsidP="00862935">
    <w:pPr>
      <w:tabs>
        <w:tab w:val="center" w:pos="4535"/>
        <w:tab w:val="center" w:pos="4680"/>
        <w:tab w:val="left" w:pos="6150"/>
        <w:tab w:val="right" w:pos="9360"/>
      </w:tabs>
      <w:spacing w:after="0" w:line="240" w:lineRule="auto"/>
      <w:jc w:val="center"/>
      <w:rPr>
        <w:rFonts w:ascii="Cambria" w:hAnsi="Cambria"/>
        <w:sz w:val="20"/>
      </w:rPr>
    </w:pPr>
    <w:r w:rsidRPr="0086608E">
      <w:rPr>
        <w:rFonts w:ascii="Cambria" w:hAnsi="Cambria"/>
        <w:sz w:val="20"/>
        <w:szCs w:val="20"/>
      </w:rPr>
      <w:fldChar w:fldCharType="begin"/>
    </w:r>
    <w:r w:rsidRPr="0086608E">
      <w:rPr>
        <w:rFonts w:ascii="Cambria" w:hAnsi="Cambria"/>
        <w:sz w:val="20"/>
        <w:szCs w:val="20"/>
      </w:rPr>
      <w:instrText xml:space="preserve"> PAGE </w:instrText>
    </w:r>
    <w:r w:rsidRPr="0086608E">
      <w:rPr>
        <w:rFonts w:ascii="Cambria" w:hAnsi="Cambria"/>
        <w:sz w:val="20"/>
        <w:szCs w:val="20"/>
      </w:rPr>
      <w:fldChar w:fldCharType="separate"/>
    </w:r>
    <w:r w:rsidR="00C65380">
      <w:rPr>
        <w:rFonts w:ascii="Cambria" w:hAnsi="Cambria"/>
        <w:sz w:val="20"/>
        <w:szCs w:val="20"/>
      </w:rPr>
      <w:t>1</w:t>
    </w:r>
    <w:r w:rsidRPr="0086608E">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5832" w14:textId="77777777" w:rsidR="00C26B72" w:rsidRDefault="00C26B72">
      <w:pPr>
        <w:spacing w:after="0" w:line="240" w:lineRule="auto"/>
      </w:pPr>
      <w:r>
        <w:separator/>
      </w:r>
    </w:p>
  </w:footnote>
  <w:footnote w:type="continuationSeparator" w:id="0">
    <w:p w14:paraId="051AE1C2" w14:textId="77777777" w:rsidR="00C26B72" w:rsidRDefault="00C26B72">
      <w:pPr>
        <w:spacing w:after="0" w:line="240" w:lineRule="auto"/>
      </w:pPr>
      <w:r>
        <w:continuationSeparator/>
      </w:r>
    </w:p>
  </w:footnote>
  <w:footnote w:type="continuationNotice" w:id="1">
    <w:p w14:paraId="66ED4FA3" w14:textId="77777777" w:rsidR="00C26B72" w:rsidRDefault="00C26B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33862CF"/>
    <w:multiLevelType w:val="hybridMultilevel"/>
    <w:tmpl w:val="47D2CA5C"/>
    <w:lvl w:ilvl="0" w:tplc="BECA01EE">
      <w:start w:val="1"/>
      <w:numFmt w:val="decimal"/>
      <w:lvlText w:val="%1."/>
      <w:lvlJc w:val="left"/>
      <w:pPr>
        <w:ind w:left="720" w:hanging="360"/>
      </w:pPr>
    </w:lvl>
    <w:lvl w:ilvl="1" w:tplc="53E87950">
      <w:start w:val="1"/>
      <w:numFmt w:val="lowerLetter"/>
      <w:lvlText w:val="%2."/>
      <w:lvlJc w:val="left"/>
      <w:pPr>
        <w:ind w:left="1440" w:hanging="360"/>
      </w:pPr>
    </w:lvl>
    <w:lvl w:ilvl="2" w:tplc="51742DA4">
      <w:start w:val="1"/>
      <w:numFmt w:val="lowerRoman"/>
      <w:lvlText w:val="%3."/>
      <w:lvlJc w:val="right"/>
      <w:pPr>
        <w:ind w:left="2160" w:hanging="180"/>
      </w:pPr>
    </w:lvl>
    <w:lvl w:ilvl="3" w:tplc="797AA652">
      <w:start w:val="1"/>
      <w:numFmt w:val="decimal"/>
      <w:lvlText w:val="%4."/>
      <w:lvlJc w:val="left"/>
      <w:pPr>
        <w:ind w:left="2880" w:hanging="360"/>
      </w:pPr>
    </w:lvl>
    <w:lvl w:ilvl="4" w:tplc="13B0CE36">
      <w:start w:val="1"/>
      <w:numFmt w:val="lowerLetter"/>
      <w:lvlText w:val="%5."/>
      <w:lvlJc w:val="left"/>
      <w:pPr>
        <w:ind w:left="3600" w:hanging="360"/>
      </w:pPr>
    </w:lvl>
    <w:lvl w:ilvl="5" w:tplc="A98E39D2">
      <w:start w:val="1"/>
      <w:numFmt w:val="lowerRoman"/>
      <w:lvlText w:val="%6."/>
      <w:lvlJc w:val="right"/>
      <w:pPr>
        <w:ind w:left="4320" w:hanging="180"/>
      </w:pPr>
    </w:lvl>
    <w:lvl w:ilvl="6" w:tplc="804ECB0E">
      <w:start w:val="1"/>
      <w:numFmt w:val="decimal"/>
      <w:lvlText w:val="%7."/>
      <w:lvlJc w:val="left"/>
      <w:pPr>
        <w:ind w:left="5040" w:hanging="360"/>
      </w:pPr>
    </w:lvl>
    <w:lvl w:ilvl="7" w:tplc="565A3F1A">
      <w:start w:val="1"/>
      <w:numFmt w:val="lowerLetter"/>
      <w:lvlText w:val="%8."/>
      <w:lvlJc w:val="left"/>
      <w:pPr>
        <w:ind w:left="5760" w:hanging="360"/>
      </w:pPr>
    </w:lvl>
    <w:lvl w:ilvl="8" w:tplc="5198B49E">
      <w:start w:val="1"/>
      <w:numFmt w:val="lowerRoman"/>
      <w:lvlText w:val="%9."/>
      <w:lvlJc w:val="right"/>
      <w:pPr>
        <w:ind w:left="6480" w:hanging="180"/>
      </w:pPr>
    </w:lvl>
  </w:abstractNum>
  <w:abstractNum w:abstractNumId="2" w15:restartNumberingAfterBreak="0">
    <w:nsid w:val="69D4316F"/>
    <w:multiLevelType w:val="multilevel"/>
    <w:tmpl w:val="8A4E33F8"/>
    <w:lvl w:ilvl="0">
      <w:start w:val="1"/>
      <w:numFmt w:val="lowerRoman"/>
      <w:lvlText w:val="(%1)"/>
      <w:lvlJc w:val="left"/>
      <w:pPr>
        <w:ind w:left="720" w:hanging="720"/>
      </w:pPr>
      <w:rPr>
        <w:i w:val="0"/>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3" w15:restartNumberingAfterBreak="0">
    <w:nsid w:val="7D53362E"/>
    <w:multiLevelType w:val="hybridMultilevel"/>
    <w:tmpl w:val="B0ECD11E"/>
    <w:lvl w:ilvl="0" w:tplc="FFFFFFFF">
      <w:start w:val="1"/>
      <w:numFmt w:val="decimal"/>
      <w:lvlText w:val="%1."/>
      <w:lvlJc w:val="left"/>
      <w:pPr>
        <w:ind w:left="420" w:hanging="42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7578413">
    <w:abstractNumId w:val="1"/>
  </w:num>
  <w:num w:numId="2" w16cid:durableId="735474555">
    <w:abstractNumId w:val="2"/>
  </w:num>
  <w:num w:numId="3" w16cid:durableId="647126436">
    <w:abstractNumId w:val="3"/>
  </w:num>
  <w:num w:numId="4" w16cid:durableId="102413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x-int-SD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5E93"/>
    <w:rsid w:val="00007D4D"/>
    <w:rsid w:val="00013D77"/>
    <w:rsid w:val="000325D2"/>
    <w:rsid w:val="0003520E"/>
    <w:rsid w:val="00040635"/>
    <w:rsid w:val="0007563E"/>
    <w:rsid w:val="00097C1F"/>
    <w:rsid w:val="000A05D5"/>
    <w:rsid w:val="000D111E"/>
    <w:rsid w:val="000D66F5"/>
    <w:rsid w:val="000E57E2"/>
    <w:rsid w:val="00126EF3"/>
    <w:rsid w:val="001342AE"/>
    <w:rsid w:val="00150E37"/>
    <w:rsid w:val="00152E95"/>
    <w:rsid w:val="00154F3A"/>
    <w:rsid w:val="00156B65"/>
    <w:rsid w:val="00173245"/>
    <w:rsid w:val="001816B9"/>
    <w:rsid w:val="001824F0"/>
    <w:rsid w:val="0018742B"/>
    <w:rsid w:val="00191065"/>
    <w:rsid w:val="001A2C06"/>
    <w:rsid w:val="001A3548"/>
    <w:rsid w:val="001D3008"/>
    <w:rsid w:val="001E0C2A"/>
    <w:rsid w:val="001E2106"/>
    <w:rsid w:val="002126CF"/>
    <w:rsid w:val="00222C73"/>
    <w:rsid w:val="00232DEA"/>
    <w:rsid w:val="00244768"/>
    <w:rsid w:val="00252C2C"/>
    <w:rsid w:val="00253C37"/>
    <w:rsid w:val="00253DD1"/>
    <w:rsid w:val="0029062F"/>
    <w:rsid w:val="0029660D"/>
    <w:rsid w:val="00296F36"/>
    <w:rsid w:val="002B7CEA"/>
    <w:rsid w:val="002C3CB8"/>
    <w:rsid w:val="002D2B96"/>
    <w:rsid w:val="002E034E"/>
    <w:rsid w:val="002F0152"/>
    <w:rsid w:val="00307E8F"/>
    <w:rsid w:val="003115BE"/>
    <w:rsid w:val="003708AB"/>
    <w:rsid w:val="003711E6"/>
    <w:rsid w:val="00392236"/>
    <w:rsid w:val="003D0398"/>
    <w:rsid w:val="003D3B08"/>
    <w:rsid w:val="003E12C4"/>
    <w:rsid w:val="003F0DBC"/>
    <w:rsid w:val="003F462E"/>
    <w:rsid w:val="003F5DC4"/>
    <w:rsid w:val="003F7797"/>
    <w:rsid w:val="003F77A9"/>
    <w:rsid w:val="00411AE5"/>
    <w:rsid w:val="00427752"/>
    <w:rsid w:val="0044333D"/>
    <w:rsid w:val="004526D2"/>
    <w:rsid w:val="00454F3F"/>
    <w:rsid w:val="00461834"/>
    <w:rsid w:val="0048117C"/>
    <w:rsid w:val="00487ABC"/>
    <w:rsid w:val="00492DBF"/>
    <w:rsid w:val="004950A0"/>
    <w:rsid w:val="004A42A0"/>
    <w:rsid w:val="004B6B54"/>
    <w:rsid w:val="004B7E05"/>
    <w:rsid w:val="004F4894"/>
    <w:rsid w:val="00551EBB"/>
    <w:rsid w:val="0055384E"/>
    <w:rsid w:val="005550DA"/>
    <w:rsid w:val="005712DD"/>
    <w:rsid w:val="005A079E"/>
    <w:rsid w:val="005B2FDA"/>
    <w:rsid w:val="005D36F7"/>
    <w:rsid w:val="005F72D2"/>
    <w:rsid w:val="00606A33"/>
    <w:rsid w:val="0061272E"/>
    <w:rsid w:val="006177EF"/>
    <w:rsid w:val="00625B10"/>
    <w:rsid w:val="006356A4"/>
    <w:rsid w:val="00647350"/>
    <w:rsid w:val="00650499"/>
    <w:rsid w:val="00651C27"/>
    <w:rsid w:val="00660EB7"/>
    <w:rsid w:val="006633C1"/>
    <w:rsid w:val="00671A00"/>
    <w:rsid w:val="00677133"/>
    <w:rsid w:val="0069694C"/>
    <w:rsid w:val="0069B543"/>
    <w:rsid w:val="006A7C90"/>
    <w:rsid w:val="006B3F88"/>
    <w:rsid w:val="006C6D76"/>
    <w:rsid w:val="006D542A"/>
    <w:rsid w:val="006F0C2D"/>
    <w:rsid w:val="006F36DD"/>
    <w:rsid w:val="00701CC1"/>
    <w:rsid w:val="00756D92"/>
    <w:rsid w:val="007637AF"/>
    <w:rsid w:val="0078313E"/>
    <w:rsid w:val="00784AE2"/>
    <w:rsid w:val="00790EEE"/>
    <w:rsid w:val="0079283E"/>
    <w:rsid w:val="007A2E40"/>
    <w:rsid w:val="007D1CB6"/>
    <w:rsid w:val="007D4525"/>
    <w:rsid w:val="007F3BCA"/>
    <w:rsid w:val="007F5EDE"/>
    <w:rsid w:val="00820207"/>
    <w:rsid w:val="00832BE7"/>
    <w:rsid w:val="00853F1C"/>
    <w:rsid w:val="00862935"/>
    <w:rsid w:val="00864458"/>
    <w:rsid w:val="0086608E"/>
    <w:rsid w:val="00867C8C"/>
    <w:rsid w:val="00877A0A"/>
    <w:rsid w:val="00881932"/>
    <w:rsid w:val="008827C2"/>
    <w:rsid w:val="00885E93"/>
    <w:rsid w:val="00887CB6"/>
    <w:rsid w:val="00892B31"/>
    <w:rsid w:val="00895C98"/>
    <w:rsid w:val="008A5AB9"/>
    <w:rsid w:val="008A6A1B"/>
    <w:rsid w:val="008C7139"/>
    <w:rsid w:val="008D005B"/>
    <w:rsid w:val="008E4EF0"/>
    <w:rsid w:val="00902664"/>
    <w:rsid w:val="009164DB"/>
    <w:rsid w:val="00922063"/>
    <w:rsid w:val="009262FD"/>
    <w:rsid w:val="00936389"/>
    <w:rsid w:val="00936FC1"/>
    <w:rsid w:val="0093772D"/>
    <w:rsid w:val="009641CD"/>
    <w:rsid w:val="0099284D"/>
    <w:rsid w:val="009A01BD"/>
    <w:rsid w:val="009A2E94"/>
    <w:rsid w:val="009A4AA7"/>
    <w:rsid w:val="009C2C86"/>
    <w:rsid w:val="009C53ED"/>
    <w:rsid w:val="009E224D"/>
    <w:rsid w:val="009E7E2F"/>
    <w:rsid w:val="009F522E"/>
    <w:rsid w:val="00A03783"/>
    <w:rsid w:val="00A2058D"/>
    <w:rsid w:val="00A3166F"/>
    <w:rsid w:val="00A46DBC"/>
    <w:rsid w:val="00A5096A"/>
    <w:rsid w:val="00A6076C"/>
    <w:rsid w:val="00A643B8"/>
    <w:rsid w:val="00A70741"/>
    <w:rsid w:val="00A71E44"/>
    <w:rsid w:val="00A74688"/>
    <w:rsid w:val="00A81FEE"/>
    <w:rsid w:val="00A9346B"/>
    <w:rsid w:val="00A94C0A"/>
    <w:rsid w:val="00AA281C"/>
    <w:rsid w:val="00AB5195"/>
    <w:rsid w:val="00AC3827"/>
    <w:rsid w:val="00AC537F"/>
    <w:rsid w:val="00AC7EE5"/>
    <w:rsid w:val="00AE0225"/>
    <w:rsid w:val="00AF08E7"/>
    <w:rsid w:val="00B252EF"/>
    <w:rsid w:val="00B35E08"/>
    <w:rsid w:val="00B6063D"/>
    <w:rsid w:val="00B61D31"/>
    <w:rsid w:val="00B63737"/>
    <w:rsid w:val="00B63EC3"/>
    <w:rsid w:val="00B71480"/>
    <w:rsid w:val="00B74F1A"/>
    <w:rsid w:val="00B92680"/>
    <w:rsid w:val="00B94D0B"/>
    <w:rsid w:val="00BA55B7"/>
    <w:rsid w:val="00BB2417"/>
    <w:rsid w:val="00BB4049"/>
    <w:rsid w:val="00BC4836"/>
    <w:rsid w:val="00BE4CD7"/>
    <w:rsid w:val="00BF334A"/>
    <w:rsid w:val="00C04D4C"/>
    <w:rsid w:val="00C0512E"/>
    <w:rsid w:val="00C1087E"/>
    <w:rsid w:val="00C11DD2"/>
    <w:rsid w:val="00C12495"/>
    <w:rsid w:val="00C22CCE"/>
    <w:rsid w:val="00C26B72"/>
    <w:rsid w:val="00C30A08"/>
    <w:rsid w:val="00C62A12"/>
    <w:rsid w:val="00C65380"/>
    <w:rsid w:val="00C75519"/>
    <w:rsid w:val="00C8177F"/>
    <w:rsid w:val="00C91BAD"/>
    <w:rsid w:val="00C925FA"/>
    <w:rsid w:val="00CF676B"/>
    <w:rsid w:val="00D14CA7"/>
    <w:rsid w:val="00D161B0"/>
    <w:rsid w:val="00D23ABF"/>
    <w:rsid w:val="00D27D11"/>
    <w:rsid w:val="00D40BDC"/>
    <w:rsid w:val="00D62A55"/>
    <w:rsid w:val="00D641B4"/>
    <w:rsid w:val="00D71BC9"/>
    <w:rsid w:val="00D86C36"/>
    <w:rsid w:val="00DD65C0"/>
    <w:rsid w:val="00DE28E2"/>
    <w:rsid w:val="00DF2E0E"/>
    <w:rsid w:val="00E362C9"/>
    <w:rsid w:val="00E4568E"/>
    <w:rsid w:val="00E52FFD"/>
    <w:rsid w:val="00E60CA7"/>
    <w:rsid w:val="00E6FB8D"/>
    <w:rsid w:val="00E71A2B"/>
    <w:rsid w:val="00E7230F"/>
    <w:rsid w:val="00EA606E"/>
    <w:rsid w:val="00EC6EF3"/>
    <w:rsid w:val="00EF174C"/>
    <w:rsid w:val="00EF3F69"/>
    <w:rsid w:val="00F02B20"/>
    <w:rsid w:val="00F16133"/>
    <w:rsid w:val="00F36F43"/>
    <w:rsid w:val="00F579A5"/>
    <w:rsid w:val="00F62116"/>
    <w:rsid w:val="00F643DE"/>
    <w:rsid w:val="00F74F32"/>
    <w:rsid w:val="00F9221E"/>
    <w:rsid w:val="00FD1902"/>
    <w:rsid w:val="00FD3E9E"/>
    <w:rsid w:val="00FD6F9B"/>
    <w:rsid w:val="01D7CE0F"/>
    <w:rsid w:val="020751F3"/>
    <w:rsid w:val="02239B3B"/>
    <w:rsid w:val="02783293"/>
    <w:rsid w:val="0282F370"/>
    <w:rsid w:val="028C15BB"/>
    <w:rsid w:val="030F1738"/>
    <w:rsid w:val="03905016"/>
    <w:rsid w:val="03A15605"/>
    <w:rsid w:val="03FEA014"/>
    <w:rsid w:val="04C7F922"/>
    <w:rsid w:val="05014DD2"/>
    <w:rsid w:val="05699721"/>
    <w:rsid w:val="056A8CEB"/>
    <w:rsid w:val="064AA721"/>
    <w:rsid w:val="066581C1"/>
    <w:rsid w:val="068C17F0"/>
    <w:rsid w:val="06BE08A5"/>
    <w:rsid w:val="07118D69"/>
    <w:rsid w:val="0718CC58"/>
    <w:rsid w:val="073AD45D"/>
    <w:rsid w:val="07566493"/>
    <w:rsid w:val="08563702"/>
    <w:rsid w:val="09112965"/>
    <w:rsid w:val="0A018F29"/>
    <w:rsid w:val="0A6AA2C3"/>
    <w:rsid w:val="0A6DF87D"/>
    <w:rsid w:val="0A9B5062"/>
    <w:rsid w:val="0ADF548B"/>
    <w:rsid w:val="0BCB0BE1"/>
    <w:rsid w:val="0C133CD1"/>
    <w:rsid w:val="0CB048F5"/>
    <w:rsid w:val="0D015B01"/>
    <w:rsid w:val="0E0DBC06"/>
    <w:rsid w:val="0E3BB79D"/>
    <w:rsid w:val="0E540564"/>
    <w:rsid w:val="0EA00CE1"/>
    <w:rsid w:val="0F9A3FF1"/>
    <w:rsid w:val="10350925"/>
    <w:rsid w:val="1050243B"/>
    <w:rsid w:val="11320F3A"/>
    <w:rsid w:val="1145FA67"/>
    <w:rsid w:val="11B9D8B3"/>
    <w:rsid w:val="12659D2E"/>
    <w:rsid w:val="135A8973"/>
    <w:rsid w:val="1378DB5B"/>
    <w:rsid w:val="13954A94"/>
    <w:rsid w:val="1402FAE6"/>
    <w:rsid w:val="1490AA3D"/>
    <w:rsid w:val="14A857A0"/>
    <w:rsid w:val="14DA21B2"/>
    <w:rsid w:val="15087AA2"/>
    <w:rsid w:val="150F8231"/>
    <w:rsid w:val="15720099"/>
    <w:rsid w:val="15E68D09"/>
    <w:rsid w:val="15EF025D"/>
    <w:rsid w:val="15FFC568"/>
    <w:rsid w:val="16248E83"/>
    <w:rsid w:val="163CEA95"/>
    <w:rsid w:val="165DC43E"/>
    <w:rsid w:val="166D4989"/>
    <w:rsid w:val="16757BA1"/>
    <w:rsid w:val="1689418B"/>
    <w:rsid w:val="16EC9F43"/>
    <w:rsid w:val="179E0D7F"/>
    <w:rsid w:val="18037BFA"/>
    <w:rsid w:val="1811C274"/>
    <w:rsid w:val="182511EC"/>
    <w:rsid w:val="1832B8E2"/>
    <w:rsid w:val="18E16ED1"/>
    <w:rsid w:val="19091792"/>
    <w:rsid w:val="196300AD"/>
    <w:rsid w:val="1A107281"/>
    <w:rsid w:val="1A898E31"/>
    <w:rsid w:val="1ACA3C24"/>
    <w:rsid w:val="1B3FB61F"/>
    <w:rsid w:val="1B66AB22"/>
    <w:rsid w:val="1B748CD4"/>
    <w:rsid w:val="1BD15FD6"/>
    <w:rsid w:val="1C33EA95"/>
    <w:rsid w:val="1C504773"/>
    <w:rsid w:val="1CAC2542"/>
    <w:rsid w:val="1CD61475"/>
    <w:rsid w:val="1D157EE6"/>
    <w:rsid w:val="1D2412BD"/>
    <w:rsid w:val="1D8CDA51"/>
    <w:rsid w:val="1DE6E2BB"/>
    <w:rsid w:val="1E7A9CEB"/>
    <w:rsid w:val="1E93BBF8"/>
    <w:rsid w:val="1EF5CE25"/>
    <w:rsid w:val="1F023890"/>
    <w:rsid w:val="1F0D0F88"/>
    <w:rsid w:val="1F5BAFA2"/>
    <w:rsid w:val="1F93E971"/>
    <w:rsid w:val="1FCDDB43"/>
    <w:rsid w:val="1FE3C604"/>
    <w:rsid w:val="205572C1"/>
    <w:rsid w:val="215C9A52"/>
    <w:rsid w:val="2175E8F0"/>
    <w:rsid w:val="21778458"/>
    <w:rsid w:val="217F9665"/>
    <w:rsid w:val="21CB5CBA"/>
    <w:rsid w:val="21E8F009"/>
    <w:rsid w:val="220F66C5"/>
    <w:rsid w:val="22351CC2"/>
    <w:rsid w:val="223E2788"/>
    <w:rsid w:val="229BDC0A"/>
    <w:rsid w:val="22E5AC9D"/>
    <w:rsid w:val="22F86AB3"/>
    <w:rsid w:val="2322D247"/>
    <w:rsid w:val="2346D675"/>
    <w:rsid w:val="23672D1B"/>
    <w:rsid w:val="24B73727"/>
    <w:rsid w:val="24D4A8EA"/>
    <w:rsid w:val="24EAC9A4"/>
    <w:rsid w:val="25A8726C"/>
    <w:rsid w:val="25BF4A54"/>
    <w:rsid w:val="25DB178C"/>
    <w:rsid w:val="25E1943A"/>
    <w:rsid w:val="267E7A4C"/>
    <w:rsid w:val="2685784D"/>
    <w:rsid w:val="269ECDDD"/>
    <w:rsid w:val="26A1529F"/>
    <w:rsid w:val="26AEC943"/>
    <w:rsid w:val="27DC7F54"/>
    <w:rsid w:val="281A15AE"/>
    <w:rsid w:val="28A33B8D"/>
    <w:rsid w:val="2914A19F"/>
    <w:rsid w:val="29C263AB"/>
    <w:rsid w:val="2A6B0ACE"/>
    <w:rsid w:val="2AD410D2"/>
    <w:rsid w:val="2B79116B"/>
    <w:rsid w:val="2BC7A5B4"/>
    <w:rsid w:val="2C263C4E"/>
    <w:rsid w:val="2CFD12B8"/>
    <w:rsid w:val="2D4F2601"/>
    <w:rsid w:val="2DBE0971"/>
    <w:rsid w:val="2E045716"/>
    <w:rsid w:val="2E42D0D4"/>
    <w:rsid w:val="2F07D1FD"/>
    <w:rsid w:val="2FFE3F33"/>
    <w:rsid w:val="31117B78"/>
    <w:rsid w:val="312CD6A1"/>
    <w:rsid w:val="313AA736"/>
    <w:rsid w:val="313BF7D8"/>
    <w:rsid w:val="32017001"/>
    <w:rsid w:val="32501FCB"/>
    <w:rsid w:val="3267661A"/>
    <w:rsid w:val="327054C5"/>
    <w:rsid w:val="32F2D6C6"/>
    <w:rsid w:val="334892C3"/>
    <w:rsid w:val="3385EA14"/>
    <w:rsid w:val="3387C32D"/>
    <w:rsid w:val="338A9E0B"/>
    <w:rsid w:val="33FD262E"/>
    <w:rsid w:val="341FD54A"/>
    <w:rsid w:val="342C0B1E"/>
    <w:rsid w:val="34B0D20C"/>
    <w:rsid w:val="34BC201A"/>
    <w:rsid w:val="34C36068"/>
    <w:rsid w:val="34F2BA3A"/>
    <w:rsid w:val="353E37A4"/>
    <w:rsid w:val="3550701A"/>
    <w:rsid w:val="3666F6CC"/>
    <w:rsid w:val="3690F9E4"/>
    <w:rsid w:val="36DAD572"/>
    <w:rsid w:val="37419FB9"/>
    <w:rsid w:val="3847DE01"/>
    <w:rsid w:val="384B9AE6"/>
    <w:rsid w:val="38576ED3"/>
    <w:rsid w:val="38C25462"/>
    <w:rsid w:val="39185907"/>
    <w:rsid w:val="391B0B34"/>
    <w:rsid w:val="3923F72D"/>
    <w:rsid w:val="397B9D04"/>
    <w:rsid w:val="398A1805"/>
    <w:rsid w:val="39E3AE62"/>
    <w:rsid w:val="39F33F34"/>
    <w:rsid w:val="3ABCE333"/>
    <w:rsid w:val="3AF5C8C9"/>
    <w:rsid w:val="3B1B6A87"/>
    <w:rsid w:val="3B84321B"/>
    <w:rsid w:val="3C2AEE81"/>
    <w:rsid w:val="3CF4ED0E"/>
    <w:rsid w:val="3D1B4F24"/>
    <w:rsid w:val="3D94C56C"/>
    <w:rsid w:val="3DCFC8C7"/>
    <w:rsid w:val="3DFECDC1"/>
    <w:rsid w:val="3E103B69"/>
    <w:rsid w:val="3F55F73F"/>
    <w:rsid w:val="3F5E0996"/>
    <w:rsid w:val="3FAC0BCA"/>
    <w:rsid w:val="4019516B"/>
    <w:rsid w:val="412DA9BA"/>
    <w:rsid w:val="4166965D"/>
    <w:rsid w:val="419ABEA3"/>
    <w:rsid w:val="41AEAB34"/>
    <w:rsid w:val="41EEC047"/>
    <w:rsid w:val="42040704"/>
    <w:rsid w:val="425DE6A5"/>
    <w:rsid w:val="42AA3D80"/>
    <w:rsid w:val="42E3AC8C"/>
    <w:rsid w:val="433F1EDB"/>
    <w:rsid w:val="4368E448"/>
    <w:rsid w:val="438DB588"/>
    <w:rsid w:val="43C3D6C8"/>
    <w:rsid w:val="443E86B0"/>
    <w:rsid w:val="44FDB6A8"/>
    <w:rsid w:val="45208EFB"/>
    <w:rsid w:val="455FA729"/>
    <w:rsid w:val="45A4FC9D"/>
    <w:rsid w:val="461B4D4E"/>
    <w:rsid w:val="4641C5A3"/>
    <w:rsid w:val="46E1C4FA"/>
    <w:rsid w:val="473002A5"/>
    <w:rsid w:val="4781BD30"/>
    <w:rsid w:val="47AB727E"/>
    <w:rsid w:val="47B71DAF"/>
    <w:rsid w:val="48006F1B"/>
    <w:rsid w:val="48050074"/>
    <w:rsid w:val="48D6D3F4"/>
    <w:rsid w:val="48EC23C6"/>
    <w:rsid w:val="48F5A943"/>
    <w:rsid w:val="4923F877"/>
    <w:rsid w:val="494C1A05"/>
    <w:rsid w:val="4952EE10"/>
    <w:rsid w:val="49721887"/>
    <w:rsid w:val="49F2B341"/>
    <w:rsid w:val="4B012285"/>
    <w:rsid w:val="4B05F55B"/>
    <w:rsid w:val="4B73694D"/>
    <w:rsid w:val="4B7F8100"/>
    <w:rsid w:val="4BCEE8AD"/>
    <w:rsid w:val="4BF5DE27"/>
    <w:rsid w:val="4C88D27F"/>
    <w:rsid w:val="4C9EA1FF"/>
    <w:rsid w:val="4D25FF0D"/>
    <w:rsid w:val="4E7072D3"/>
    <w:rsid w:val="4E8F9A8B"/>
    <w:rsid w:val="4F3329EC"/>
    <w:rsid w:val="4FC22F94"/>
    <w:rsid w:val="4FC26F12"/>
    <w:rsid w:val="4FDC5C4C"/>
    <w:rsid w:val="502F8472"/>
    <w:rsid w:val="505EBDE4"/>
    <w:rsid w:val="507AAE71"/>
    <w:rsid w:val="50F6D564"/>
    <w:rsid w:val="510A371A"/>
    <w:rsid w:val="511CB630"/>
    <w:rsid w:val="5126AD14"/>
    <w:rsid w:val="515DFFF5"/>
    <w:rsid w:val="51721322"/>
    <w:rsid w:val="518F0CE3"/>
    <w:rsid w:val="51D635FC"/>
    <w:rsid w:val="52272CE3"/>
    <w:rsid w:val="52D6FAA4"/>
    <w:rsid w:val="5351A699"/>
    <w:rsid w:val="540A7573"/>
    <w:rsid w:val="547B4F08"/>
    <w:rsid w:val="549C36F7"/>
    <w:rsid w:val="549E6A3A"/>
    <w:rsid w:val="54C65A30"/>
    <w:rsid w:val="54E92F44"/>
    <w:rsid w:val="54F070B5"/>
    <w:rsid w:val="55512686"/>
    <w:rsid w:val="5627F0F6"/>
    <w:rsid w:val="56E43DCE"/>
    <w:rsid w:val="56F7A3D5"/>
    <w:rsid w:val="570A1FFD"/>
    <w:rsid w:val="5739003C"/>
    <w:rsid w:val="574AE4FD"/>
    <w:rsid w:val="578ED33B"/>
    <w:rsid w:val="57A1B9F9"/>
    <w:rsid w:val="57B0A9FF"/>
    <w:rsid w:val="58F9284D"/>
    <w:rsid w:val="59C8989B"/>
    <w:rsid w:val="5A02B633"/>
    <w:rsid w:val="5A714D40"/>
    <w:rsid w:val="5A80CE7C"/>
    <w:rsid w:val="5A835AB8"/>
    <w:rsid w:val="5AB3E52A"/>
    <w:rsid w:val="5AF37FCF"/>
    <w:rsid w:val="5B30D0B2"/>
    <w:rsid w:val="5B512789"/>
    <w:rsid w:val="5B69FCCE"/>
    <w:rsid w:val="5B7354C5"/>
    <w:rsid w:val="5B7AF9A6"/>
    <w:rsid w:val="5BCE294D"/>
    <w:rsid w:val="5C05C2DA"/>
    <w:rsid w:val="5C5DB68C"/>
    <w:rsid w:val="5C67A9E5"/>
    <w:rsid w:val="5C7BE353"/>
    <w:rsid w:val="5D2C35D6"/>
    <w:rsid w:val="5D2D4AFE"/>
    <w:rsid w:val="5D548320"/>
    <w:rsid w:val="5D7E1980"/>
    <w:rsid w:val="5DB2BFC7"/>
    <w:rsid w:val="5DD57FAA"/>
    <w:rsid w:val="5F01DE77"/>
    <w:rsid w:val="5F12703C"/>
    <w:rsid w:val="5F24497D"/>
    <w:rsid w:val="5F32AB0C"/>
    <w:rsid w:val="5F71500B"/>
    <w:rsid w:val="60735A15"/>
    <w:rsid w:val="607E8B98"/>
    <w:rsid w:val="60C76667"/>
    <w:rsid w:val="6100FED9"/>
    <w:rsid w:val="613127AF"/>
    <w:rsid w:val="61931830"/>
    <w:rsid w:val="61C9CB07"/>
    <w:rsid w:val="61E793C4"/>
    <w:rsid w:val="6218E764"/>
    <w:rsid w:val="62385400"/>
    <w:rsid w:val="62BEF70F"/>
    <w:rsid w:val="62C2A6FB"/>
    <w:rsid w:val="62D103BE"/>
    <w:rsid w:val="62DA01F5"/>
    <w:rsid w:val="62F8499F"/>
    <w:rsid w:val="631EF682"/>
    <w:rsid w:val="632566BD"/>
    <w:rsid w:val="63B4B7C5"/>
    <w:rsid w:val="63B52E37"/>
    <w:rsid w:val="64475687"/>
    <w:rsid w:val="64BC8776"/>
    <w:rsid w:val="64FFE6AE"/>
    <w:rsid w:val="651F3486"/>
    <w:rsid w:val="65508826"/>
    <w:rsid w:val="6550FE98"/>
    <w:rsid w:val="65CF8FC1"/>
    <w:rsid w:val="65D2149C"/>
    <w:rsid w:val="66668953"/>
    <w:rsid w:val="668A957B"/>
    <w:rsid w:val="66BABEA8"/>
    <w:rsid w:val="66C676D4"/>
    <w:rsid w:val="66EC5887"/>
    <w:rsid w:val="66F85BC5"/>
    <w:rsid w:val="67001E71"/>
    <w:rsid w:val="67108506"/>
    <w:rsid w:val="673642A5"/>
    <w:rsid w:val="677074B3"/>
    <w:rsid w:val="677C7AB6"/>
    <w:rsid w:val="67E63D99"/>
    <w:rsid w:val="680259B4"/>
    <w:rsid w:val="684F9105"/>
    <w:rsid w:val="685D5FAB"/>
    <w:rsid w:val="687A58E0"/>
    <w:rsid w:val="6888A40F"/>
    <w:rsid w:val="690AD5FC"/>
    <w:rsid w:val="69359562"/>
    <w:rsid w:val="699E2A15"/>
    <w:rsid w:val="69EB6166"/>
    <w:rsid w:val="6A0489C3"/>
    <w:rsid w:val="6AD21809"/>
    <w:rsid w:val="6AE91201"/>
    <w:rsid w:val="6C3A6A57"/>
    <w:rsid w:val="6C835C5A"/>
    <w:rsid w:val="6CEF20D9"/>
    <w:rsid w:val="6D230228"/>
    <w:rsid w:val="6D25D611"/>
    <w:rsid w:val="6D2A466B"/>
    <w:rsid w:val="6D586845"/>
    <w:rsid w:val="6DE83AF9"/>
    <w:rsid w:val="6E00B893"/>
    <w:rsid w:val="6E1F2CBB"/>
    <w:rsid w:val="6E337AC2"/>
    <w:rsid w:val="6E748858"/>
    <w:rsid w:val="6EE7F078"/>
    <w:rsid w:val="6EF56CA9"/>
    <w:rsid w:val="6F2D415D"/>
    <w:rsid w:val="6FB3689E"/>
    <w:rsid w:val="6FB81E21"/>
    <w:rsid w:val="7029C6D4"/>
    <w:rsid w:val="70900907"/>
    <w:rsid w:val="709F3E0B"/>
    <w:rsid w:val="70A605F8"/>
    <w:rsid w:val="70AEC00F"/>
    <w:rsid w:val="70C911BE"/>
    <w:rsid w:val="7103091C"/>
    <w:rsid w:val="71D14D24"/>
    <w:rsid w:val="726CCFA5"/>
    <w:rsid w:val="72791107"/>
    <w:rsid w:val="7292F442"/>
    <w:rsid w:val="72A777E0"/>
    <w:rsid w:val="72D1E9E3"/>
    <w:rsid w:val="735F6DE4"/>
    <w:rsid w:val="73C280E8"/>
    <w:rsid w:val="7402A955"/>
    <w:rsid w:val="743A4A7A"/>
    <w:rsid w:val="74E8CA42"/>
    <w:rsid w:val="7538E520"/>
    <w:rsid w:val="757FBAA3"/>
    <w:rsid w:val="758094C8"/>
    <w:rsid w:val="75CB73BA"/>
    <w:rsid w:val="7641BCF8"/>
    <w:rsid w:val="76469259"/>
    <w:rsid w:val="765AE555"/>
    <w:rsid w:val="76927969"/>
    <w:rsid w:val="776119FE"/>
    <w:rsid w:val="77732CD9"/>
    <w:rsid w:val="77A55226"/>
    <w:rsid w:val="77A940A0"/>
    <w:rsid w:val="77DD8D59"/>
    <w:rsid w:val="77F1B88C"/>
    <w:rsid w:val="77FBFC36"/>
    <w:rsid w:val="78206B04"/>
    <w:rsid w:val="7891792E"/>
    <w:rsid w:val="78ACC36D"/>
    <w:rsid w:val="78DC1129"/>
    <w:rsid w:val="78E828C4"/>
    <w:rsid w:val="78F98AA6"/>
    <w:rsid w:val="79928617"/>
    <w:rsid w:val="79C04FB8"/>
    <w:rsid w:val="7A77E18A"/>
    <w:rsid w:val="7AA0F846"/>
    <w:rsid w:val="7AD135A9"/>
    <w:rsid w:val="7B44AC97"/>
    <w:rsid w:val="7B5F070D"/>
    <w:rsid w:val="7C5CEB51"/>
    <w:rsid w:val="7C74ADF8"/>
    <w:rsid w:val="7C7BB6B4"/>
    <w:rsid w:val="7C877BCC"/>
    <w:rsid w:val="7CDF4CE9"/>
    <w:rsid w:val="7CE5C468"/>
    <w:rsid w:val="7D0F1A5B"/>
    <w:rsid w:val="7D837741"/>
    <w:rsid w:val="7DCD0F83"/>
    <w:rsid w:val="7E0411BF"/>
    <w:rsid w:val="7E3D3E0B"/>
    <w:rsid w:val="7ED2A695"/>
    <w:rsid w:val="7EDEBCAA"/>
    <w:rsid w:val="7F18BE52"/>
    <w:rsid w:val="7FA0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iPriority w:val="99"/>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C62A12"/>
    <w:pPr>
      <w:spacing w:after="0" w:line="240" w:lineRule="auto"/>
    </w:pPr>
  </w:style>
  <w:style w:type="table" w:styleId="TableGrid">
    <w:name w:val="Table Grid"/>
    <w:basedOn w:val="TableNormal"/>
    <w:uiPriority w:val="39"/>
    <w:rsid w:val="00FD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0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3043">
      <w:bodyDiv w:val="1"/>
      <w:marLeft w:val="0"/>
      <w:marRight w:val="0"/>
      <w:marTop w:val="0"/>
      <w:marBottom w:val="0"/>
      <w:divBdr>
        <w:top w:val="none" w:sz="0" w:space="0" w:color="auto"/>
        <w:left w:val="none" w:sz="0" w:space="0" w:color="auto"/>
        <w:bottom w:val="none" w:sz="0" w:space="0" w:color="auto"/>
        <w:right w:val="none" w:sz="0" w:space="0" w:color="auto"/>
      </w:divBdr>
    </w:div>
    <w:div w:id="306008553">
      <w:bodyDiv w:val="1"/>
      <w:marLeft w:val="0"/>
      <w:marRight w:val="0"/>
      <w:marTop w:val="0"/>
      <w:marBottom w:val="0"/>
      <w:divBdr>
        <w:top w:val="none" w:sz="0" w:space="0" w:color="auto"/>
        <w:left w:val="none" w:sz="0" w:space="0" w:color="auto"/>
        <w:bottom w:val="none" w:sz="0" w:space="0" w:color="auto"/>
        <w:right w:val="none" w:sz="0" w:space="0" w:color="auto"/>
      </w:divBdr>
    </w:div>
    <w:div w:id="308561343">
      <w:bodyDiv w:val="1"/>
      <w:marLeft w:val="0"/>
      <w:marRight w:val="0"/>
      <w:marTop w:val="0"/>
      <w:marBottom w:val="0"/>
      <w:divBdr>
        <w:top w:val="none" w:sz="0" w:space="0" w:color="auto"/>
        <w:left w:val="none" w:sz="0" w:space="0" w:color="auto"/>
        <w:bottom w:val="none" w:sz="0" w:space="0" w:color="auto"/>
        <w:right w:val="none" w:sz="0" w:space="0" w:color="auto"/>
      </w:divBdr>
    </w:div>
    <w:div w:id="344207929">
      <w:bodyDiv w:val="1"/>
      <w:marLeft w:val="0"/>
      <w:marRight w:val="0"/>
      <w:marTop w:val="0"/>
      <w:marBottom w:val="0"/>
      <w:divBdr>
        <w:top w:val="none" w:sz="0" w:space="0" w:color="auto"/>
        <w:left w:val="none" w:sz="0" w:space="0" w:color="auto"/>
        <w:bottom w:val="none" w:sz="0" w:space="0" w:color="auto"/>
        <w:right w:val="none" w:sz="0" w:space="0" w:color="auto"/>
      </w:divBdr>
    </w:div>
    <w:div w:id="418646140">
      <w:bodyDiv w:val="1"/>
      <w:marLeft w:val="0"/>
      <w:marRight w:val="0"/>
      <w:marTop w:val="0"/>
      <w:marBottom w:val="0"/>
      <w:divBdr>
        <w:top w:val="none" w:sz="0" w:space="0" w:color="auto"/>
        <w:left w:val="none" w:sz="0" w:space="0" w:color="auto"/>
        <w:bottom w:val="none" w:sz="0" w:space="0" w:color="auto"/>
        <w:right w:val="none" w:sz="0" w:space="0" w:color="auto"/>
      </w:divBdr>
    </w:div>
    <w:div w:id="1015617140">
      <w:bodyDiv w:val="1"/>
      <w:marLeft w:val="0"/>
      <w:marRight w:val="0"/>
      <w:marTop w:val="0"/>
      <w:marBottom w:val="0"/>
      <w:divBdr>
        <w:top w:val="none" w:sz="0" w:space="0" w:color="auto"/>
        <w:left w:val="none" w:sz="0" w:space="0" w:color="auto"/>
        <w:bottom w:val="none" w:sz="0" w:space="0" w:color="auto"/>
        <w:right w:val="none" w:sz="0" w:space="0" w:color="auto"/>
      </w:divBdr>
    </w:div>
    <w:div w:id="1658531800">
      <w:bodyDiv w:val="1"/>
      <w:marLeft w:val="0"/>
      <w:marRight w:val="0"/>
      <w:marTop w:val="0"/>
      <w:marBottom w:val="0"/>
      <w:divBdr>
        <w:top w:val="none" w:sz="0" w:space="0" w:color="auto"/>
        <w:left w:val="none" w:sz="0" w:space="0" w:color="auto"/>
        <w:bottom w:val="none" w:sz="0" w:space="0" w:color="auto"/>
        <w:right w:val="none" w:sz="0" w:space="0" w:color="auto"/>
      </w:divBdr>
    </w:div>
    <w:div w:id="1939945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9E40-CE0E-42E0-80D3-9CD9D53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2023-11-20T12:50:00Z</dcterms:created>
  <dcterms:modified xsi:type="dcterms:W3CDTF">2023-12-15T08:39:00Z</dcterms:modified>
</cp:coreProperties>
</file>