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BDEAD" w14:textId="77777777" w:rsidR="00E75E3C" w:rsidRDefault="001E796E" w:rsidP="001C3EF0">
      <w:pPr>
        <w:widowControl w:val="0"/>
        <w:pBdr>
          <w:top w:val="double" w:sz="4" w:space="1" w:color="000000"/>
          <w:left w:val="double" w:sz="4" w:space="4" w:color="000000"/>
          <w:bottom w:val="double" w:sz="4" w:space="1" w:color="000000"/>
          <w:right w:val="double" w:sz="4" w:space="4" w:color="000000"/>
        </w:pBdr>
        <w:spacing w:after="0" w:line="240" w:lineRule="auto"/>
        <w:ind w:left="8222" w:hanging="8222"/>
        <w:jc w:val="center"/>
        <w:rPr>
          <w:rFonts w:ascii="Cambria" w:eastAsia="Cambria" w:hAnsi="Cambria" w:cs="Cambria"/>
          <w:b/>
          <w:sz w:val="20"/>
          <w:szCs w:val="20"/>
        </w:rPr>
      </w:pPr>
      <w:bookmarkStart w:id="0" w:name="_heading=h.gjdgxs" w:colFirst="0" w:colLast="0"/>
      <w:bookmarkEnd w:id="0"/>
      <w:r>
        <w:rPr>
          <w:rFonts w:ascii="Cambria" w:eastAsia="Cambria" w:hAnsi="Cambria" w:cs="Cambria"/>
          <w:b/>
          <w:sz w:val="20"/>
          <w:szCs w:val="20"/>
        </w:rPr>
        <w:t>23-08</w:t>
      </w:r>
      <w:r>
        <w:rPr>
          <w:rFonts w:ascii="Cambria" w:eastAsia="Cambria" w:hAnsi="Cambria" w:cs="Cambria"/>
          <w:b/>
          <w:sz w:val="20"/>
          <w:szCs w:val="20"/>
        </w:rPr>
        <w:tab/>
        <w:t xml:space="preserve">        BFT</w:t>
      </w:r>
    </w:p>
    <w:p w14:paraId="23ABDEAE" w14:textId="77777777" w:rsidR="00E75E3C" w:rsidRDefault="001E796E" w:rsidP="001C3EF0">
      <w:pPr>
        <w:widowControl w:val="0"/>
        <w:pBdr>
          <w:top w:val="double" w:sz="4" w:space="1" w:color="000000"/>
          <w:left w:val="double" w:sz="4" w:space="4" w:color="000000"/>
          <w:bottom w:val="double" w:sz="4" w:space="1" w:color="000000"/>
          <w:right w:val="double" w:sz="4" w:space="4" w:color="000000"/>
        </w:pBdr>
        <w:spacing w:after="0" w:line="240" w:lineRule="auto"/>
        <w:ind w:left="8222" w:hanging="8222"/>
        <w:jc w:val="center"/>
        <w:rPr>
          <w:rFonts w:ascii="Cambria" w:eastAsia="Cambria" w:hAnsi="Cambria" w:cs="Cambria"/>
          <w:b/>
          <w:sz w:val="20"/>
          <w:szCs w:val="20"/>
        </w:rPr>
      </w:pPr>
      <w:r>
        <w:rPr>
          <w:rFonts w:ascii="Cambria" w:eastAsia="Cambria" w:hAnsi="Cambria" w:cs="Cambria"/>
          <w:b/>
          <w:sz w:val="20"/>
          <w:szCs w:val="20"/>
        </w:rPr>
        <w:t xml:space="preserve">RECOMMENDATION BY ICCAT FOR A PILOT PROJECT FOR </w:t>
      </w:r>
    </w:p>
    <w:p w14:paraId="23ABDEAF" w14:textId="77777777" w:rsidR="00E75E3C" w:rsidRDefault="001E796E" w:rsidP="001C3EF0">
      <w:pPr>
        <w:widowControl w:val="0"/>
        <w:pBdr>
          <w:top w:val="double" w:sz="4" w:space="1" w:color="000000"/>
          <w:left w:val="double" w:sz="4" w:space="4" w:color="000000"/>
          <w:bottom w:val="double" w:sz="4" w:space="1" w:color="000000"/>
          <w:right w:val="double" w:sz="4" w:space="4" w:color="000000"/>
        </w:pBdr>
        <w:spacing w:after="0" w:line="240" w:lineRule="auto"/>
        <w:ind w:left="8222" w:hanging="8222"/>
        <w:jc w:val="center"/>
        <w:rPr>
          <w:rFonts w:ascii="Cambria" w:eastAsia="Cambria" w:hAnsi="Cambria" w:cs="Cambria"/>
          <w:b/>
          <w:sz w:val="20"/>
          <w:szCs w:val="20"/>
        </w:rPr>
      </w:pPr>
      <w:r>
        <w:rPr>
          <w:rFonts w:ascii="Cambria" w:eastAsia="Cambria" w:hAnsi="Cambria" w:cs="Cambria"/>
          <w:b/>
          <w:sz w:val="20"/>
          <w:szCs w:val="20"/>
        </w:rPr>
        <w:t>FARMING BLUEFIN TUNA (</w:t>
      </w:r>
      <w:r>
        <w:rPr>
          <w:rFonts w:ascii="Cambria" w:eastAsia="Cambria" w:hAnsi="Cambria" w:cs="Cambria"/>
          <w:b/>
          <w:i/>
          <w:sz w:val="20"/>
          <w:szCs w:val="20"/>
        </w:rPr>
        <w:t>THUNNUS THYNNUS</w:t>
      </w:r>
      <w:r>
        <w:rPr>
          <w:rFonts w:ascii="Cambria" w:eastAsia="Cambria" w:hAnsi="Cambria" w:cs="Cambria"/>
          <w:b/>
          <w:sz w:val="20"/>
          <w:szCs w:val="20"/>
        </w:rPr>
        <w:t>) IN THE CANTABRIAN SEA</w:t>
      </w:r>
    </w:p>
    <w:p w14:paraId="23ABDEB0" w14:textId="77777777" w:rsidR="00E75E3C" w:rsidRDefault="00E75E3C">
      <w:pPr>
        <w:spacing w:after="0" w:line="240" w:lineRule="auto"/>
        <w:jc w:val="center"/>
        <w:rPr>
          <w:rFonts w:ascii="Cambria" w:eastAsia="Cambria" w:hAnsi="Cambria" w:cs="Cambria"/>
          <w:b/>
          <w:sz w:val="20"/>
          <w:szCs w:val="20"/>
        </w:rPr>
      </w:pPr>
    </w:p>
    <w:p w14:paraId="23ABDEB1" w14:textId="77777777" w:rsidR="00E75E3C" w:rsidRDefault="00E75E3C">
      <w:pPr>
        <w:spacing w:after="0" w:line="240" w:lineRule="auto"/>
        <w:ind w:left="284" w:hanging="284"/>
        <w:jc w:val="center"/>
        <w:rPr>
          <w:rFonts w:ascii="Cambria" w:eastAsia="Cambria" w:hAnsi="Cambria" w:cs="Cambria"/>
          <w:b/>
          <w:sz w:val="20"/>
          <w:szCs w:val="20"/>
        </w:rPr>
      </w:pPr>
    </w:p>
    <w:p w14:paraId="23ABDEB2" w14:textId="77777777" w:rsidR="00E75E3C" w:rsidRDefault="001E796E">
      <w:pPr>
        <w:tabs>
          <w:tab w:val="left" w:pos="426"/>
        </w:tabs>
        <w:spacing w:after="0" w:line="240" w:lineRule="auto"/>
        <w:jc w:val="both"/>
        <w:rPr>
          <w:rFonts w:ascii="Cambria" w:eastAsia="Cambria" w:hAnsi="Cambria" w:cs="Cambria"/>
          <w:sz w:val="20"/>
          <w:szCs w:val="20"/>
        </w:rPr>
      </w:pPr>
      <w:r>
        <w:rPr>
          <w:rFonts w:ascii="Cambria" w:eastAsia="Cambria" w:hAnsi="Cambria" w:cs="Cambria"/>
          <w:i/>
          <w:sz w:val="20"/>
          <w:szCs w:val="20"/>
        </w:rPr>
        <w:tab/>
      </w:r>
      <w:r>
        <w:rPr>
          <w:rFonts w:ascii="Cambria" w:eastAsia="Cambria" w:hAnsi="Cambria" w:cs="Cambria"/>
          <w:sz w:val="20"/>
          <w:szCs w:val="20"/>
        </w:rPr>
        <w:tab/>
      </w:r>
      <w:r>
        <w:rPr>
          <w:rFonts w:ascii="Cambria" w:eastAsia="Cambria" w:hAnsi="Cambria" w:cs="Cambria"/>
          <w:i/>
          <w:sz w:val="20"/>
          <w:szCs w:val="20"/>
        </w:rPr>
        <w:t>TAKING INTO ACCOUNT</w:t>
      </w:r>
      <w:r>
        <w:rPr>
          <w:rFonts w:ascii="Cambria" w:eastAsia="Cambria" w:hAnsi="Cambria" w:cs="Cambria"/>
          <w:sz w:val="20"/>
          <w:szCs w:val="20"/>
        </w:rPr>
        <w:t xml:space="preserve"> that ICCAT has adopted the </w:t>
      </w:r>
      <w:r>
        <w:rPr>
          <w:rFonts w:ascii="Cambria" w:eastAsia="Cambria" w:hAnsi="Cambria" w:cs="Cambria"/>
          <w:i/>
          <w:sz w:val="20"/>
          <w:szCs w:val="20"/>
        </w:rPr>
        <w:t>Recommendation by ICCAT amending the Recommendation 21-08 establishing a Multi-Annual Management Plan for bluefin tuna in the Eastern Atlantic and the Mediterranean</w:t>
      </w:r>
      <w:r>
        <w:rPr>
          <w:rFonts w:ascii="Cambria" w:eastAsia="Cambria" w:hAnsi="Cambria" w:cs="Cambria"/>
          <w:sz w:val="20"/>
          <w:szCs w:val="20"/>
        </w:rPr>
        <w:t xml:space="preserve"> (Rec. 22-08), the </w:t>
      </w:r>
      <w:r>
        <w:rPr>
          <w:rFonts w:ascii="Cambria" w:eastAsia="Cambria" w:hAnsi="Cambria" w:cs="Cambria"/>
          <w:i/>
          <w:sz w:val="20"/>
          <w:szCs w:val="20"/>
        </w:rPr>
        <w:t>Recommendation by ICCAT amending Recommendation 21-18 on the application of the eBCD system</w:t>
      </w:r>
      <w:r>
        <w:rPr>
          <w:rFonts w:ascii="Cambria" w:eastAsia="Cambria" w:hAnsi="Cambria" w:cs="Cambria"/>
          <w:sz w:val="20"/>
          <w:szCs w:val="20"/>
        </w:rPr>
        <w:t xml:space="preserve"> (Rec. 22-1</w:t>
      </w:r>
      <w:r w:rsidRPr="00520D2B">
        <w:rPr>
          <w:rFonts w:ascii="Cambria" w:eastAsia="Cambria" w:hAnsi="Cambria" w:cs="Cambria"/>
          <w:sz w:val="20"/>
          <w:szCs w:val="20"/>
        </w:rPr>
        <w:t>6),</w:t>
      </w:r>
      <w:r>
        <w:rPr>
          <w:rFonts w:ascii="Cambria" w:eastAsia="Cambria" w:hAnsi="Cambria" w:cs="Cambria"/>
          <w:sz w:val="20"/>
          <w:szCs w:val="20"/>
        </w:rPr>
        <w:t xml:space="preserve"> and the </w:t>
      </w:r>
      <w:r>
        <w:rPr>
          <w:rFonts w:ascii="Cambria" w:eastAsia="Cambria" w:hAnsi="Cambria" w:cs="Cambria"/>
          <w:i/>
          <w:sz w:val="20"/>
          <w:szCs w:val="20"/>
        </w:rPr>
        <w:t xml:space="preserve">Recommendation by ICCAT amending Recommendation 18-13 replacing Recommendation 11-20 on an ICCAT bluefin tuna catch documentation programme </w:t>
      </w:r>
      <w:r>
        <w:rPr>
          <w:rFonts w:ascii="Cambria" w:eastAsia="Cambria" w:hAnsi="Cambria" w:cs="Cambria"/>
          <w:sz w:val="20"/>
          <w:szCs w:val="20"/>
        </w:rPr>
        <w:t>(Rec. 21-19</w:t>
      </w:r>
      <w:proofErr w:type="gramStart"/>
      <w:r>
        <w:rPr>
          <w:rFonts w:ascii="Cambria" w:eastAsia="Cambria" w:hAnsi="Cambria" w:cs="Cambria"/>
          <w:sz w:val="20"/>
          <w:szCs w:val="20"/>
        </w:rPr>
        <w:t>);</w:t>
      </w:r>
      <w:proofErr w:type="gramEnd"/>
    </w:p>
    <w:p w14:paraId="23ABDEB3" w14:textId="77777777" w:rsidR="00E75E3C" w:rsidRDefault="00E75E3C">
      <w:pPr>
        <w:tabs>
          <w:tab w:val="left" w:pos="480"/>
        </w:tabs>
        <w:spacing w:after="0" w:line="240" w:lineRule="auto"/>
        <w:jc w:val="both"/>
        <w:rPr>
          <w:rFonts w:ascii="Cambria" w:eastAsia="Cambria" w:hAnsi="Cambria" w:cs="Cambria"/>
          <w:sz w:val="20"/>
          <w:szCs w:val="20"/>
        </w:rPr>
      </w:pPr>
    </w:p>
    <w:p w14:paraId="23ABDEB4" w14:textId="77777777" w:rsidR="00E75E3C" w:rsidRDefault="001E796E">
      <w:pPr>
        <w:tabs>
          <w:tab w:val="left" w:pos="480"/>
        </w:tabs>
        <w:spacing w:after="0" w:line="240" w:lineRule="auto"/>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i/>
          <w:sz w:val="20"/>
          <w:szCs w:val="20"/>
        </w:rPr>
        <w:t xml:space="preserve">RECALLING </w:t>
      </w:r>
      <w:r>
        <w:rPr>
          <w:rFonts w:ascii="Cambria" w:eastAsia="Cambria" w:hAnsi="Cambria" w:cs="Cambria"/>
          <w:sz w:val="20"/>
          <w:szCs w:val="20"/>
        </w:rPr>
        <w:t xml:space="preserve">that in its 23rd Special Meeting the ICCAT Commission adopted a BFT management procedure (Rec. 22-09) intended to secure sustainable management of the bluefin tuna fishery, and provide stability and predictability for the BFT fishing activity, including for the farming </w:t>
      </w:r>
      <w:proofErr w:type="gramStart"/>
      <w:r>
        <w:rPr>
          <w:rFonts w:ascii="Cambria" w:eastAsia="Cambria" w:hAnsi="Cambria" w:cs="Cambria"/>
          <w:sz w:val="20"/>
          <w:szCs w:val="20"/>
        </w:rPr>
        <w:t>sector;</w:t>
      </w:r>
      <w:proofErr w:type="gramEnd"/>
    </w:p>
    <w:p w14:paraId="23ABDEB5" w14:textId="77777777" w:rsidR="00E75E3C" w:rsidRDefault="00E75E3C">
      <w:pPr>
        <w:tabs>
          <w:tab w:val="left" w:pos="480"/>
        </w:tabs>
        <w:spacing w:after="0" w:line="240" w:lineRule="auto"/>
        <w:jc w:val="both"/>
        <w:rPr>
          <w:rFonts w:ascii="Cambria" w:eastAsia="Cambria" w:hAnsi="Cambria" w:cs="Cambria"/>
          <w:sz w:val="20"/>
          <w:szCs w:val="20"/>
        </w:rPr>
      </w:pPr>
    </w:p>
    <w:p w14:paraId="23ABDEB6" w14:textId="77777777" w:rsidR="00E75E3C" w:rsidRDefault="001E796E">
      <w:pPr>
        <w:tabs>
          <w:tab w:val="left" w:pos="480"/>
        </w:tabs>
        <w:spacing w:after="0" w:line="240" w:lineRule="auto"/>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i/>
          <w:sz w:val="20"/>
          <w:szCs w:val="20"/>
        </w:rPr>
        <w:t>NOTING</w:t>
      </w:r>
      <w:r>
        <w:rPr>
          <w:rFonts w:ascii="Cambria" w:eastAsia="Cambria" w:hAnsi="Cambria" w:cs="Cambria"/>
          <w:sz w:val="20"/>
          <w:szCs w:val="20"/>
        </w:rPr>
        <w:t xml:space="preserve"> an interest in exploring ways to (a) farm bluefin tuna in areas other than in the Mediterranean, (b) explore technological innovation for caging and farming bluefin tuna, and (c) assess the feasibility of implementing the current provision on monitoring farming operation when the farm is operating in open ocean </w:t>
      </w:r>
      <w:proofErr w:type="gramStart"/>
      <w:r>
        <w:rPr>
          <w:rFonts w:ascii="Cambria" w:eastAsia="Cambria" w:hAnsi="Cambria" w:cs="Cambria"/>
          <w:sz w:val="20"/>
          <w:szCs w:val="20"/>
        </w:rPr>
        <w:t>conditions;</w:t>
      </w:r>
      <w:proofErr w:type="gramEnd"/>
    </w:p>
    <w:p w14:paraId="23ABDEB7" w14:textId="77777777" w:rsidR="00E75E3C" w:rsidRDefault="001E796E">
      <w:pPr>
        <w:tabs>
          <w:tab w:val="left" w:pos="480"/>
        </w:tabs>
        <w:spacing w:after="0" w:line="240" w:lineRule="auto"/>
        <w:jc w:val="both"/>
        <w:rPr>
          <w:rFonts w:ascii="Cambria" w:eastAsia="Cambria" w:hAnsi="Cambria" w:cs="Cambria"/>
          <w:sz w:val="20"/>
          <w:szCs w:val="20"/>
        </w:rPr>
      </w:pPr>
      <w:r>
        <w:rPr>
          <w:rFonts w:ascii="Cambria" w:eastAsia="Cambria" w:hAnsi="Cambria" w:cs="Cambria"/>
          <w:sz w:val="20"/>
          <w:szCs w:val="20"/>
        </w:rPr>
        <w:tab/>
      </w:r>
    </w:p>
    <w:p w14:paraId="23ABDEB8" w14:textId="77777777" w:rsidR="00E75E3C" w:rsidRDefault="001E796E">
      <w:pPr>
        <w:tabs>
          <w:tab w:val="left" w:pos="480"/>
        </w:tabs>
        <w:spacing w:after="0" w:line="240" w:lineRule="auto"/>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i/>
          <w:sz w:val="20"/>
          <w:szCs w:val="20"/>
        </w:rPr>
        <w:t>ACKNOWLEDGING</w:t>
      </w:r>
      <w:r>
        <w:rPr>
          <w:rFonts w:ascii="Cambria" w:eastAsia="Cambria" w:hAnsi="Cambria" w:cs="Cambria"/>
          <w:sz w:val="20"/>
          <w:szCs w:val="20"/>
        </w:rPr>
        <w:t xml:space="preserve"> that the results of research to be undertaken on Cantabrian purse seine fishing and farming of bluefin tuna in the Cantabrian Sea could indicate the need for adjustments to relevant ICCAT measures, or the development of new ones, including the need to include additional rules to the fishing season accordingly, and/or adding or revisiting current provisions related to the monitoring and control measures of the farming activities outside the Mediterranean </w:t>
      </w:r>
      <w:proofErr w:type="gramStart"/>
      <w:r>
        <w:rPr>
          <w:rFonts w:ascii="Cambria" w:eastAsia="Cambria" w:hAnsi="Cambria" w:cs="Cambria"/>
          <w:sz w:val="20"/>
          <w:szCs w:val="20"/>
        </w:rPr>
        <w:t>Sea;</w:t>
      </w:r>
      <w:proofErr w:type="gramEnd"/>
    </w:p>
    <w:p w14:paraId="23ABDEB9" w14:textId="77777777" w:rsidR="00E75E3C" w:rsidRDefault="00E75E3C">
      <w:pPr>
        <w:spacing w:after="0" w:line="240" w:lineRule="auto"/>
        <w:jc w:val="center"/>
        <w:rPr>
          <w:rFonts w:ascii="Cambria" w:eastAsia="Cambria" w:hAnsi="Cambria" w:cs="Cambria"/>
          <w:sz w:val="20"/>
          <w:szCs w:val="20"/>
        </w:rPr>
      </w:pPr>
    </w:p>
    <w:p w14:paraId="23ABDEBA" w14:textId="77777777" w:rsidR="00E75E3C" w:rsidRDefault="00E75E3C">
      <w:pPr>
        <w:spacing w:after="0" w:line="240" w:lineRule="auto"/>
        <w:jc w:val="center"/>
        <w:rPr>
          <w:rFonts w:ascii="Cambria" w:eastAsia="Cambria" w:hAnsi="Cambria" w:cs="Cambria"/>
          <w:sz w:val="20"/>
          <w:szCs w:val="20"/>
        </w:rPr>
      </w:pPr>
    </w:p>
    <w:p w14:paraId="23ABDEBB" w14:textId="77777777" w:rsidR="00E75E3C" w:rsidRDefault="001E796E">
      <w:pPr>
        <w:spacing w:after="0" w:line="240" w:lineRule="auto"/>
        <w:jc w:val="center"/>
        <w:rPr>
          <w:rFonts w:ascii="Cambria" w:eastAsia="Cambria" w:hAnsi="Cambria" w:cs="Cambria"/>
          <w:sz w:val="20"/>
          <w:szCs w:val="20"/>
        </w:rPr>
      </w:pPr>
      <w:r>
        <w:rPr>
          <w:rFonts w:ascii="Cambria" w:eastAsia="Cambria" w:hAnsi="Cambria" w:cs="Cambria"/>
          <w:sz w:val="20"/>
          <w:szCs w:val="20"/>
        </w:rPr>
        <w:t>THE INTERNATIONAL COMMISSION FOR THE CONSERVATION</w:t>
      </w:r>
    </w:p>
    <w:p w14:paraId="23ABDEBC" w14:textId="77777777" w:rsidR="00E75E3C" w:rsidRDefault="001E796E">
      <w:pPr>
        <w:spacing w:after="0" w:line="240" w:lineRule="auto"/>
        <w:jc w:val="center"/>
        <w:rPr>
          <w:rFonts w:ascii="Cambria" w:eastAsia="Cambria" w:hAnsi="Cambria" w:cs="Cambria"/>
          <w:sz w:val="20"/>
          <w:szCs w:val="20"/>
        </w:rPr>
      </w:pPr>
      <w:r>
        <w:rPr>
          <w:rFonts w:ascii="Cambria" w:eastAsia="Cambria" w:hAnsi="Cambria" w:cs="Cambria"/>
          <w:sz w:val="20"/>
          <w:szCs w:val="20"/>
        </w:rPr>
        <w:t>OF ATLANTIC TUNAS (ICCAT) RECOMMENDS THAT:</w:t>
      </w:r>
    </w:p>
    <w:p w14:paraId="23ABDEBD" w14:textId="77777777" w:rsidR="00E75E3C" w:rsidRDefault="00E75E3C">
      <w:pPr>
        <w:spacing w:after="0" w:line="240" w:lineRule="auto"/>
        <w:jc w:val="center"/>
        <w:rPr>
          <w:rFonts w:ascii="Cambria" w:eastAsia="Cambria" w:hAnsi="Cambria" w:cs="Cambria"/>
          <w:sz w:val="20"/>
          <w:szCs w:val="20"/>
        </w:rPr>
      </w:pPr>
    </w:p>
    <w:p w14:paraId="23ABDEBE" w14:textId="77777777" w:rsidR="00E75E3C" w:rsidRDefault="001E796E">
      <w:pPr>
        <w:widowControl w:val="0"/>
        <w:numPr>
          <w:ilvl w:val="0"/>
          <w:numId w:val="2"/>
        </w:numPr>
        <w:spacing w:after="0" w:line="240" w:lineRule="auto"/>
        <w:ind w:left="426" w:hanging="426"/>
        <w:jc w:val="both"/>
        <w:rPr>
          <w:rFonts w:ascii="Cambria" w:eastAsia="Cambria" w:hAnsi="Cambria" w:cs="Cambria"/>
          <w:color w:val="000000"/>
          <w:sz w:val="20"/>
          <w:szCs w:val="20"/>
        </w:rPr>
      </w:pPr>
      <w:r>
        <w:rPr>
          <w:rFonts w:ascii="Cambria" w:eastAsia="Cambria" w:hAnsi="Cambria" w:cs="Cambria"/>
          <w:sz w:val="20"/>
          <w:szCs w:val="20"/>
        </w:rPr>
        <w:t>The objective of the pilot project for farming bluefin tuna (</w:t>
      </w:r>
      <w:r>
        <w:rPr>
          <w:rFonts w:ascii="Cambria" w:eastAsia="Cambria" w:hAnsi="Cambria" w:cs="Cambria"/>
          <w:i/>
          <w:sz w:val="20"/>
          <w:szCs w:val="20"/>
        </w:rPr>
        <w:t>Thunnus thynnus</w:t>
      </w:r>
      <w:r>
        <w:rPr>
          <w:rFonts w:ascii="Cambria" w:eastAsia="Cambria" w:hAnsi="Cambria" w:cs="Cambria"/>
          <w:sz w:val="20"/>
          <w:szCs w:val="20"/>
        </w:rPr>
        <w:t xml:space="preserve">) (BFT) in the Cantabrian Sea is to assess the conditions for fishing and farming bluefin tuna in the Cantabrian Sea </w:t>
      </w:r>
      <w:r>
        <w:rPr>
          <w:rFonts w:ascii="Cambria" w:eastAsia="Cambria" w:hAnsi="Cambria" w:cs="Cambria"/>
          <w:color w:val="000000"/>
          <w:sz w:val="20"/>
          <w:szCs w:val="20"/>
        </w:rPr>
        <w:t xml:space="preserve">to inform the potential future development of such activities. </w:t>
      </w:r>
    </w:p>
    <w:p w14:paraId="23ABDEBF" w14:textId="77777777" w:rsidR="00E75E3C" w:rsidRDefault="00E75E3C">
      <w:pPr>
        <w:widowControl w:val="0"/>
        <w:spacing w:after="0" w:line="240" w:lineRule="auto"/>
        <w:jc w:val="both"/>
        <w:rPr>
          <w:rFonts w:ascii="Cambria" w:eastAsia="Cambria" w:hAnsi="Cambria" w:cs="Cambria"/>
          <w:sz w:val="20"/>
          <w:szCs w:val="20"/>
        </w:rPr>
      </w:pPr>
    </w:p>
    <w:p w14:paraId="23ABDEC0" w14:textId="77777777" w:rsidR="00E75E3C" w:rsidRDefault="001E796E">
      <w:pPr>
        <w:widowControl w:val="0"/>
        <w:numPr>
          <w:ilvl w:val="0"/>
          <w:numId w:val="2"/>
        </w:numPr>
        <w:spacing w:after="0" w:line="240" w:lineRule="auto"/>
        <w:ind w:left="426" w:hanging="426"/>
        <w:jc w:val="both"/>
        <w:rPr>
          <w:rFonts w:ascii="Cambria" w:eastAsia="Cambria" w:hAnsi="Cambria" w:cs="Cambria"/>
          <w:sz w:val="20"/>
          <w:szCs w:val="20"/>
        </w:rPr>
      </w:pPr>
      <w:r>
        <w:rPr>
          <w:rFonts w:ascii="Cambria" w:eastAsia="Cambria" w:hAnsi="Cambria" w:cs="Cambria"/>
          <w:sz w:val="20"/>
          <w:szCs w:val="20"/>
        </w:rPr>
        <w:t xml:space="preserve">Research conducted as part of the pilot project should aim to provide answers to key questions related to fishing and farming of BFT in the Cantabrian Sea including, but not limited to, the following: </w:t>
      </w:r>
    </w:p>
    <w:p w14:paraId="23ABDEC1" w14:textId="77777777" w:rsidR="00E75E3C" w:rsidRDefault="00E75E3C">
      <w:pPr>
        <w:widowControl w:val="0"/>
        <w:spacing w:after="0" w:line="240" w:lineRule="auto"/>
        <w:jc w:val="both"/>
        <w:rPr>
          <w:rFonts w:ascii="Cambria" w:eastAsia="Cambria" w:hAnsi="Cambria" w:cs="Cambria"/>
          <w:sz w:val="20"/>
          <w:szCs w:val="20"/>
        </w:rPr>
      </w:pPr>
    </w:p>
    <w:p w14:paraId="23ABDEC2" w14:textId="77777777" w:rsidR="00E75E3C" w:rsidRDefault="001E796E">
      <w:pPr>
        <w:widowControl w:val="0"/>
        <w:numPr>
          <w:ilvl w:val="0"/>
          <w:numId w:val="1"/>
        </w:numPr>
        <w:spacing w:after="0" w:line="240" w:lineRule="auto"/>
        <w:ind w:left="851" w:hanging="425"/>
        <w:jc w:val="both"/>
        <w:rPr>
          <w:rFonts w:ascii="Cambria" w:eastAsia="Cambria" w:hAnsi="Cambria" w:cs="Cambria"/>
          <w:sz w:val="20"/>
          <w:szCs w:val="20"/>
        </w:rPr>
      </w:pPr>
      <w:r>
        <w:rPr>
          <w:rFonts w:ascii="Cambria" w:eastAsia="Cambria" w:hAnsi="Cambria" w:cs="Cambria"/>
          <w:sz w:val="20"/>
          <w:szCs w:val="20"/>
        </w:rPr>
        <w:t>Assessing the functioning of technological developments of the submersible cages under extreme weather conditions.</w:t>
      </w:r>
    </w:p>
    <w:p w14:paraId="23ABDEC3" w14:textId="77777777" w:rsidR="00E75E3C" w:rsidRDefault="001E796E">
      <w:pPr>
        <w:widowControl w:val="0"/>
        <w:numPr>
          <w:ilvl w:val="0"/>
          <w:numId w:val="1"/>
        </w:numPr>
        <w:spacing w:after="0" w:line="240" w:lineRule="auto"/>
        <w:ind w:left="851" w:hanging="425"/>
        <w:jc w:val="both"/>
        <w:rPr>
          <w:rFonts w:ascii="Cambria" w:eastAsia="Cambria" w:hAnsi="Cambria" w:cs="Cambria"/>
          <w:sz w:val="20"/>
          <w:szCs w:val="20"/>
        </w:rPr>
      </w:pPr>
      <w:r>
        <w:rPr>
          <w:rFonts w:ascii="Cambria" w:eastAsia="Cambria" w:hAnsi="Cambria" w:cs="Cambria"/>
          <w:sz w:val="20"/>
          <w:szCs w:val="20"/>
        </w:rPr>
        <w:t>Assessing that suitable schools (medium large fish) are available to purse seine vessels, in that area during the months July to November.</w:t>
      </w:r>
    </w:p>
    <w:p w14:paraId="23ABDEC4" w14:textId="77777777" w:rsidR="00E75E3C" w:rsidRDefault="001E796E">
      <w:pPr>
        <w:widowControl w:val="0"/>
        <w:numPr>
          <w:ilvl w:val="0"/>
          <w:numId w:val="1"/>
        </w:numPr>
        <w:spacing w:after="0" w:line="240" w:lineRule="auto"/>
        <w:ind w:left="851" w:hanging="425"/>
        <w:jc w:val="both"/>
        <w:rPr>
          <w:rFonts w:ascii="Cambria" w:eastAsia="Cambria" w:hAnsi="Cambria" w:cs="Cambria"/>
          <w:sz w:val="20"/>
          <w:szCs w:val="20"/>
        </w:rPr>
      </w:pPr>
      <w:r>
        <w:rPr>
          <w:rFonts w:ascii="Cambria" w:eastAsia="Cambria" w:hAnsi="Cambria" w:cs="Cambria"/>
          <w:sz w:val="20"/>
          <w:szCs w:val="20"/>
        </w:rPr>
        <w:t>Assessing the growth and fattening of BFT in this area and exploring the potential added value of the activity, including in terms of direct fisher profits.</w:t>
      </w:r>
    </w:p>
    <w:p w14:paraId="23ABDEC5" w14:textId="77777777" w:rsidR="00E75E3C" w:rsidRDefault="001E796E">
      <w:pPr>
        <w:widowControl w:val="0"/>
        <w:numPr>
          <w:ilvl w:val="0"/>
          <w:numId w:val="1"/>
        </w:numPr>
        <w:spacing w:after="0" w:line="240" w:lineRule="auto"/>
        <w:ind w:left="851" w:hanging="425"/>
        <w:jc w:val="both"/>
        <w:rPr>
          <w:rFonts w:ascii="Cambria" w:eastAsia="Cambria" w:hAnsi="Cambria" w:cs="Cambria"/>
          <w:sz w:val="20"/>
          <w:szCs w:val="20"/>
        </w:rPr>
      </w:pPr>
      <w:r>
        <w:rPr>
          <w:rFonts w:ascii="Cambria" w:eastAsia="Cambria" w:hAnsi="Cambria" w:cs="Cambria"/>
          <w:sz w:val="20"/>
          <w:szCs w:val="20"/>
        </w:rPr>
        <w:t>Assessing whether the monitoring and control of fishing, transfer and farming activities laid down by ICCAT Recommendation 22-08 are adequate and feasible to implement.</w:t>
      </w:r>
    </w:p>
    <w:p w14:paraId="23ABDEC6" w14:textId="77777777" w:rsidR="00E75E3C" w:rsidRDefault="00E75E3C">
      <w:pPr>
        <w:widowControl w:val="0"/>
        <w:spacing w:after="0" w:line="240" w:lineRule="auto"/>
        <w:ind w:left="851"/>
        <w:jc w:val="both"/>
        <w:rPr>
          <w:rFonts w:ascii="Cambria" w:eastAsia="Cambria" w:hAnsi="Cambria" w:cs="Cambria"/>
          <w:sz w:val="20"/>
          <w:szCs w:val="20"/>
        </w:rPr>
      </w:pPr>
    </w:p>
    <w:p w14:paraId="23ABDEC7" w14:textId="77777777" w:rsidR="00E75E3C" w:rsidRDefault="001E796E">
      <w:pPr>
        <w:widowControl w:val="0"/>
        <w:numPr>
          <w:ilvl w:val="0"/>
          <w:numId w:val="2"/>
        </w:numPr>
        <w:spacing w:after="0" w:line="240" w:lineRule="auto"/>
        <w:ind w:left="426" w:hanging="426"/>
        <w:jc w:val="both"/>
        <w:rPr>
          <w:rFonts w:ascii="Cambria" w:eastAsia="Cambria" w:hAnsi="Cambria" w:cs="Cambria"/>
          <w:sz w:val="20"/>
          <w:szCs w:val="20"/>
        </w:rPr>
      </w:pPr>
      <w:bookmarkStart w:id="1" w:name="_heading=h.30j0zll" w:colFirst="0" w:colLast="0"/>
      <w:bookmarkEnd w:id="1"/>
      <w:r>
        <w:rPr>
          <w:rFonts w:ascii="Cambria" w:eastAsia="Cambria" w:hAnsi="Cambria" w:cs="Cambria"/>
          <w:sz w:val="20"/>
          <w:szCs w:val="20"/>
        </w:rPr>
        <w:t>The pilot project shall be carried out on a limited scale, over one year, with a limited number of individuals (i.</w:t>
      </w:r>
      <w:r w:rsidRPr="00A33140">
        <w:rPr>
          <w:rFonts w:ascii="Cambria" w:eastAsia="Cambria" w:hAnsi="Cambria" w:cs="Cambria"/>
          <w:sz w:val="20"/>
          <w:szCs w:val="20"/>
        </w:rPr>
        <w:t>e., 50</w:t>
      </w:r>
      <w:r>
        <w:rPr>
          <w:rFonts w:ascii="Cambria" w:eastAsia="Cambria" w:hAnsi="Cambria" w:cs="Cambria"/>
          <w:sz w:val="20"/>
          <w:szCs w:val="20"/>
        </w:rPr>
        <w:t xml:space="preserve"> BFT fish). </w:t>
      </w:r>
    </w:p>
    <w:p w14:paraId="23ABDEC8" w14:textId="77777777" w:rsidR="00E75E3C" w:rsidRDefault="00E75E3C">
      <w:pPr>
        <w:widowControl w:val="0"/>
        <w:spacing w:after="0" w:line="240" w:lineRule="auto"/>
        <w:ind w:left="426"/>
        <w:jc w:val="both"/>
        <w:rPr>
          <w:rFonts w:ascii="Cambria" w:eastAsia="Cambria" w:hAnsi="Cambria" w:cs="Cambria"/>
          <w:sz w:val="20"/>
          <w:szCs w:val="20"/>
        </w:rPr>
      </w:pPr>
    </w:p>
    <w:p w14:paraId="23ABDEC9" w14:textId="77777777" w:rsidR="00E75E3C" w:rsidRDefault="001E796E">
      <w:pPr>
        <w:widowControl w:val="0"/>
        <w:numPr>
          <w:ilvl w:val="0"/>
          <w:numId w:val="2"/>
        </w:numPr>
        <w:spacing w:after="0" w:line="240" w:lineRule="auto"/>
        <w:ind w:left="426" w:hanging="426"/>
        <w:jc w:val="both"/>
        <w:rPr>
          <w:rFonts w:ascii="Cambria" w:eastAsia="Cambria" w:hAnsi="Cambria" w:cs="Cambria"/>
          <w:sz w:val="20"/>
          <w:szCs w:val="20"/>
        </w:rPr>
      </w:pPr>
      <w:r>
        <w:rPr>
          <w:rFonts w:ascii="Cambria" w:eastAsia="Cambria" w:hAnsi="Cambria" w:cs="Cambria"/>
          <w:sz w:val="20"/>
          <w:szCs w:val="20"/>
        </w:rPr>
        <w:t>Notwithstanding paragraph 28 of Rec. 22-08, the fishing season for this pilot project may be extended to 30 September.</w:t>
      </w:r>
    </w:p>
    <w:p w14:paraId="23ABDECA" w14:textId="77777777" w:rsidR="00E75E3C" w:rsidRDefault="00E75E3C">
      <w:pPr>
        <w:widowControl w:val="0"/>
        <w:spacing w:after="0" w:line="240" w:lineRule="auto"/>
        <w:ind w:left="426"/>
        <w:jc w:val="both"/>
        <w:rPr>
          <w:rFonts w:ascii="Cambria" w:eastAsia="Cambria" w:hAnsi="Cambria" w:cs="Cambria"/>
          <w:sz w:val="20"/>
          <w:szCs w:val="20"/>
        </w:rPr>
      </w:pPr>
    </w:p>
    <w:p w14:paraId="23ABDECB" w14:textId="772252CF" w:rsidR="00E75E3C" w:rsidRDefault="001E796E">
      <w:pPr>
        <w:widowControl w:val="0"/>
        <w:numPr>
          <w:ilvl w:val="0"/>
          <w:numId w:val="2"/>
        </w:numPr>
        <w:spacing w:after="0" w:line="240" w:lineRule="auto"/>
        <w:ind w:left="426" w:hanging="426"/>
        <w:jc w:val="both"/>
        <w:rPr>
          <w:rFonts w:ascii="Cambria" w:eastAsia="Cambria" w:hAnsi="Cambria" w:cs="Cambria"/>
          <w:sz w:val="20"/>
          <w:szCs w:val="20"/>
        </w:rPr>
      </w:pPr>
      <w:r>
        <w:rPr>
          <w:rFonts w:ascii="Cambria" w:eastAsia="Cambria" w:hAnsi="Cambria" w:cs="Cambria"/>
          <w:sz w:val="20"/>
          <w:szCs w:val="20"/>
        </w:rPr>
        <w:t xml:space="preserve">The precise details of the pilot project shall be included in the 2024 annual fishing, farming and inspection plans established in accordance with paragraph </w:t>
      </w:r>
      <w:r w:rsidRPr="00A33140">
        <w:rPr>
          <w:rFonts w:ascii="Cambria" w:eastAsia="Cambria" w:hAnsi="Cambria" w:cs="Cambria"/>
          <w:sz w:val="20"/>
          <w:szCs w:val="20"/>
        </w:rPr>
        <w:t>10 of Rec</w:t>
      </w:r>
      <w:r>
        <w:rPr>
          <w:rFonts w:ascii="Cambria" w:eastAsia="Cambria" w:hAnsi="Cambria" w:cs="Cambria"/>
          <w:sz w:val="20"/>
          <w:szCs w:val="20"/>
        </w:rPr>
        <w:t>. 22-08.</w:t>
      </w:r>
    </w:p>
    <w:p w14:paraId="23ABDECC" w14:textId="77777777" w:rsidR="00E75E3C" w:rsidRDefault="00E75E3C">
      <w:pPr>
        <w:widowControl w:val="0"/>
        <w:spacing w:after="0" w:line="240" w:lineRule="auto"/>
        <w:ind w:left="426"/>
        <w:jc w:val="both"/>
        <w:rPr>
          <w:rFonts w:ascii="Cambria" w:eastAsia="Cambria" w:hAnsi="Cambria" w:cs="Cambria"/>
          <w:sz w:val="20"/>
          <w:szCs w:val="20"/>
        </w:rPr>
      </w:pPr>
    </w:p>
    <w:p w14:paraId="23ABDECD" w14:textId="77777777" w:rsidR="00E75E3C" w:rsidRDefault="001E796E">
      <w:pPr>
        <w:widowControl w:val="0"/>
        <w:numPr>
          <w:ilvl w:val="0"/>
          <w:numId w:val="2"/>
        </w:numPr>
        <w:spacing w:after="0" w:line="240" w:lineRule="auto"/>
        <w:ind w:left="426" w:hanging="426"/>
        <w:jc w:val="both"/>
        <w:rPr>
          <w:rFonts w:ascii="Cambria" w:eastAsia="Cambria" w:hAnsi="Cambria" w:cs="Cambria"/>
          <w:sz w:val="20"/>
          <w:szCs w:val="20"/>
        </w:rPr>
      </w:pPr>
      <w:r>
        <w:rPr>
          <w:rFonts w:ascii="Cambria" w:eastAsia="Cambria" w:hAnsi="Cambria" w:cs="Cambria"/>
          <w:sz w:val="20"/>
          <w:szCs w:val="20"/>
        </w:rPr>
        <w:t xml:space="preserve">The allocation from the CPC’s national quota to the pilot project shall be specified in the annual fishing plan and shall be on a limited scale and approved by Panel 2. </w:t>
      </w:r>
    </w:p>
    <w:p w14:paraId="23ABDECE" w14:textId="77777777" w:rsidR="00E75E3C" w:rsidRDefault="00E75E3C">
      <w:pPr>
        <w:widowControl w:val="0"/>
        <w:spacing w:after="0" w:line="240" w:lineRule="auto"/>
        <w:jc w:val="both"/>
        <w:rPr>
          <w:rFonts w:ascii="Cambria" w:eastAsia="Cambria" w:hAnsi="Cambria" w:cs="Cambria"/>
          <w:sz w:val="20"/>
          <w:szCs w:val="20"/>
        </w:rPr>
      </w:pPr>
    </w:p>
    <w:p w14:paraId="23ABDECF" w14:textId="77777777" w:rsidR="00E75E3C" w:rsidRDefault="001E796E">
      <w:pPr>
        <w:widowControl w:val="0"/>
        <w:numPr>
          <w:ilvl w:val="0"/>
          <w:numId w:val="2"/>
        </w:numPr>
        <w:spacing w:after="0" w:line="240" w:lineRule="auto"/>
        <w:ind w:left="426" w:hanging="426"/>
        <w:jc w:val="both"/>
        <w:rPr>
          <w:rFonts w:ascii="Cambria" w:eastAsia="Cambria" w:hAnsi="Cambria" w:cs="Cambria"/>
          <w:sz w:val="20"/>
          <w:szCs w:val="20"/>
        </w:rPr>
      </w:pPr>
      <w:bookmarkStart w:id="2" w:name="_heading=h.1fob9te" w:colFirst="0" w:colLast="0"/>
      <w:bookmarkEnd w:id="2"/>
      <w:r>
        <w:rPr>
          <w:rFonts w:ascii="Cambria" w:eastAsia="Cambria" w:hAnsi="Cambria" w:cs="Cambria"/>
          <w:sz w:val="20"/>
          <w:szCs w:val="20"/>
        </w:rPr>
        <w:lastRenderedPageBreak/>
        <w:t xml:space="preserve">This plan shall also include details of the control measures to be put in place to ensure that the activity is carried out in line with ICCAT rules and with this Recommendation, as well as the way these rules shall be made mandatory for operators. The plan shall be analysed, and, as appropriate, endorsed by Panel 2 intersessionally (Rec. 22-08, paragraph 11). </w:t>
      </w:r>
    </w:p>
    <w:p w14:paraId="23ABDED0" w14:textId="77777777" w:rsidR="00E75E3C" w:rsidRDefault="00E75E3C">
      <w:pPr>
        <w:widowControl w:val="0"/>
        <w:spacing w:after="0" w:line="240" w:lineRule="auto"/>
        <w:jc w:val="both"/>
        <w:rPr>
          <w:rFonts w:ascii="Cambria" w:eastAsia="Cambria" w:hAnsi="Cambria" w:cs="Cambria"/>
          <w:sz w:val="20"/>
          <w:szCs w:val="20"/>
        </w:rPr>
      </w:pPr>
    </w:p>
    <w:p w14:paraId="23ABDED1" w14:textId="77777777" w:rsidR="00E75E3C" w:rsidRDefault="001E796E">
      <w:pPr>
        <w:widowControl w:val="0"/>
        <w:numPr>
          <w:ilvl w:val="0"/>
          <w:numId w:val="2"/>
        </w:numPr>
        <w:spacing w:after="0" w:line="240" w:lineRule="auto"/>
        <w:ind w:left="426" w:hanging="426"/>
        <w:jc w:val="both"/>
        <w:rPr>
          <w:rFonts w:ascii="Cambria" w:eastAsia="Cambria" w:hAnsi="Cambria" w:cs="Cambria"/>
          <w:sz w:val="20"/>
          <w:szCs w:val="20"/>
        </w:rPr>
      </w:pPr>
      <w:r>
        <w:rPr>
          <w:rFonts w:ascii="Cambria" w:eastAsia="Cambria" w:hAnsi="Cambria" w:cs="Cambria"/>
          <w:sz w:val="20"/>
          <w:szCs w:val="20"/>
        </w:rPr>
        <w:t>The results of the pilot project shall be assessed by the Commission in 2024 to determine, in case the project delivers positive results, whether and how the commercial activity could take place beyond the pilot project stage.</w:t>
      </w:r>
    </w:p>
    <w:p w14:paraId="23ABDED2" w14:textId="77777777" w:rsidR="00E75E3C" w:rsidRDefault="00E75E3C">
      <w:pPr>
        <w:widowControl w:val="0"/>
        <w:spacing w:after="0" w:line="240" w:lineRule="auto"/>
        <w:jc w:val="both"/>
        <w:rPr>
          <w:rFonts w:ascii="Cambria" w:eastAsia="Cambria" w:hAnsi="Cambria" w:cs="Cambria"/>
          <w:sz w:val="20"/>
          <w:szCs w:val="20"/>
        </w:rPr>
      </w:pPr>
    </w:p>
    <w:p w14:paraId="23ABDED3" w14:textId="77777777" w:rsidR="00E75E3C" w:rsidRDefault="001E796E">
      <w:pPr>
        <w:widowControl w:val="0"/>
        <w:numPr>
          <w:ilvl w:val="0"/>
          <w:numId w:val="2"/>
        </w:numPr>
        <w:spacing w:after="0" w:line="240" w:lineRule="auto"/>
        <w:ind w:left="426" w:hanging="426"/>
        <w:jc w:val="both"/>
        <w:rPr>
          <w:rFonts w:ascii="Cambria" w:eastAsia="Cambria" w:hAnsi="Cambria" w:cs="Cambria"/>
          <w:sz w:val="20"/>
          <w:szCs w:val="20"/>
        </w:rPr>
      </w:pPr>
      <w:r>
        <w:rPr>
          <w:rFonts w:ascii="Cambria" w:eastAsia="Cambria" w:hAnsi="Cambria" w:cs="Cambria"/>
          <w:sz w:val="20"/>
          <w:szCs w:val="20"/>
        </w:rPr>
        <w:t>CPCs participating in the pilot project shall submit a report on the results of the project for consideration by the Standing Committee on Research and Statistics (SCRS) and the Commission no later than the end of 2024. The report shall provide detailed information on the key questions mentioned in paragraph 2 above, as well as relevant statistical data, including the final number of BFT caught/caged and the individual length and weight of those fish at the time of capture and at the time of harvest from the cage. The report shall also identify the challenges or difficulties encountered, including regarding</w:t>
      </w:r>
      <w:r>
        <w:rPr>
          <w:rFonts w:ascii="Cambria" w:eastAsia="Cambria" w:hAnsi="Cambria" w:cs="Cambria"/>
          <w:color w:val="000000"/>
          <w:sz w:val="20"/>
          <w:szCs w:val="20"/>
        </w:rPr>
        <w:t xml:space="preserve"> data collection and monitoring, control, and surveillance. In particular, the report shall include </w:t>
      </w:r>
      <w:r>
        <w:rPr>
          <w:rFonts w:ascii="Cambria" w:eastAsia="Cambria" w:hAnsi="Cambria" w:cs="Cambria"/>
          <w:sz w:val="20"/>
          <w:szCs w:val="20"/>
        </w:rPr>
        <w:t>an analysis of the suitability of the current ICCAT provisions for this activity.</w:t>
      </w:r>
    </w:p>
    <w:p w14:paraId="23ABDED4" w14:textId="77777777" w:rsidR="00E75E3C" w:rsidRDefault="00E75E3C"/>
    <w:p w14:paraId="23ABDED5" w14:textId="77777777" w:rsidR="00E75E3C" w:rsidRDefault="00E75E3C">
      <w:pPr>
        <w:rPr>
          <w:rFonts w:ascii="Cambria" w:eastAsia="Cambria" w:hAnsi="Cambria" w:cs="Cambria"/>
          <w:sz w:val="20"/>
          <w:szCs w:val="20"/>
        </w:rPr>
      </w:pPr>
    </w:p>
    <w:sectPr w:rsidR="00E75E3C">
      <w:footerReference w:type="default" r:id="rId7"/>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18BE" w14:textId="77777777" w:rsidR="00E82FB1" w:rsidRDefault="00E82FB1">
      <w:pPr>
        <w:spacing w:after="0" w:line="240" w:lineRule="auto"/>
      </w:pPr>
      <w:r>
        <w:separator/>
      </w:r>
    </w:p>
  </w:endnote>
  <w:endnote w:type="continuationSeparator" w:id="0">
    <w:p w14:paraId="028BD583" w14:textId="77777777" w:rsidR="00E82FB1" w:rsidRDefault="00E8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379058"/>
      <w:docPartObj>
        <w:docPartGallery w:val="Page Numbers (Bottom of Page)"/>
        <w:docPartUnique/>
      </w:docPartObj>
    </w:sdtPr>
    <w:sdtEndPr>
      <w:rPr>
        <w:rFonts w:asciiTheme="minorHAnsi" w:hAnsiTheme="minorHAnsi"/>
        <w:noProof/>
        <w:sz w:val="20"/>
        <w:szCs w:val="20"/>
      </w:rPr>
    </w:sdtEndPr>
    <w:sdtContent>
      <w:p w14:paraId="31964698" w14:textId="3E0831D1" w:rsidR="005D6BEE" w:rsidRPr="005D6BEE" w:rsidRDefault="005D6BEE">
        <w:pPr>
          <w:pStyle w:val="Footer"/>
          <w:jc w:val="center"/>
          <w:rPr>
            <w:rFonts w:asciiTheme="minorHAnsi" w:hAnsiTheme="minorHAnsi"/>
            <w:sz w:val="20"/>
            <w:szCs w:val="20"/>
          </w:rPr>
        </w:pPr>
        <w:r w:rsidRPr="005D6BEE">
          <w:rPr>
            <w:rFonts w:asciiTheme="minorHAnsi" w:hAnsiTheme="minorHAnsi"/>
            <w:sz w:val="20"/>
            <w:szCs w:val="20"/>
          </w:rPr>
          <w:fldChar w:fldCharType="begin"/>
        </w:r>
        <w:r w:rsidRPr="005D6BEE">
          <w:rPr>
            <w:rFonts w:asciiTheme="minorHAnsi" w:hAnsiTheme="minorHAnsi"/>
            <w:sz w:val="20"/>
            <w:szCs w:val="20"/>
          </w:rPr>
          <w:instrText xml:space="preserve"> PAGE   \* MERGEFORMAT </w:instrText>
        </w:r>
        <w:r w:rsidRPr="005D6BEE">
          <w:rPr>
            <w:rFonts w:asciiTheme="minorHAnsi" w:hAnsiTheme="minorHAnsi"/>
            <w:sz w:val="20"/>
            <w:szCs w:val="20"/>
          </w:rPr>
          <w:fldChar w:fldCharType="separate"/>
        </w:r>
        <w:r w:rsidRPr="005D6BEE">
          <w:rPr>
            <w:rFonts w:asciiTheme="minorHAnsi" w:hAnsiTheme="minorHAnsi"/>
            <w:noProof/>
            <w:sz w:val="20"/>
            <w:szCs w:val="20"/>
          </w:rPr>
          <w:t>2</w:t>
        </w:r>
        <w:r w:rsidRPr="005D6BEE">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DED6" w14:textId="77777777" w:rsidR="00E82FB1" w:rsidRDefault="00E82FB1">
      <w:pPr>
        <w:spacing w:after="0" w:line="240" w:lineRule="auto"/>
      </w:pPr>
      <w:r>
        <w:separator/>
      </w:r>
    </w:p>
  </w:footnote>
  <w:footnote w:type="continuationSeparator" w:id="0">
    <w:p w14:paraId="0542EBC0" w14:textId="77777777" w:rsidR="00E82FB1" w:rsidRDefault="00E82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82AFB"/>
    <w:multiLevelType w:val="multilevel"/>
    <w:tmpl w:val="14BE0ED8"/>
    <w:lvl w:ilvl="0">
      <w:start w:val="1"/>
      <w:numFmt w:val="bullet"/>
      <w:lvlText w:val="-"/>
      <w:lvlJc w:val="left"/>
      <w:pPr>
        <w:ind w:left="1080" w:hanging="360"/>
      </w:pPr>
      <w:rPr>
        <w:rFonts w:ascii="Cambria" w:eastAsia="Cambria" w:hAnsi="Cambria" w:cs="Cambri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7E73AE3"/>
    <w:multiLevelType w:val="multilevel"/>
    <w:tmpl w:val="CE8EA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7270382">
    <w:abstractNumId w:val="0"/>
  </w:num>
  <w:num w:numId="2" w16cid:durableId="1288387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3C"/>
    <w:rsid w:val="001C3EF0"/>
    <w:rsid w:val="001E796E"/>
    <w:rsid w:val="00520D2B"/>
    <w:rsid w:val="005D6BEE"/>
    <w:rsid w:val="00A33140"/>
    <w:rsid w:val="00D05EB8"/>
    <w:rsid w:val="00D8170F"/>
    <w:rsid w:val="00E75E3C"/>
    <w:rsid w:val="00E82FB1"/>
    <w:rsid w:val="00F270A6"/>
    <w:rsid w:val="00F5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B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240" w:after="240"/>
      <w:ind w:left="431" w:hanging="431"/>
      <w:outlineLvl w:val="0"/>
    </w:pPr>
    <w:rPr>
      <w:b/>
      <w:sz w:val="32"/>
      <w:szCs w:val="32"/>
    </w:rPr>
  </w:style>
  <w:style w:type="paragraph" w:styleId="Heading2">
    <w:name w:val="heading 2"/>
    <w:basedOn w:val="Normal"/>
    <w:next w:val="Normal"/>
    <w:pPr>
      <w:spacing w:before="240" w:after="240"/>
      <w:ind w:left="431" w:hanging="431"/>
      <w:outlineLvl w:val="1"/>
    </w:pPr>
    <w:rPr>
      <w:b/>
      <w:sz w:val="28"/>
      <w:szCs w:val="28"/>
    </w:rPr>
  </w:style>
  <w:style w:type="paragraph" w:styleId="Heading3">
    <w:name w:val="heading 3"/>
    <w:basedOn w:val="Normal"/>
    <w:next w:val="Normal"/>
    <w:pPr>
      <w:keepNext/>
      <w:keepLines/>
      <w:spacing w:before="120" w:after="120"/>
      <w:ind w:left="720" w:hanging="720"/>
      <w:outlineLvl w:val="2"/>
    </w:pPr>
    <w:rPr>
      <w:i/>
      <w:color w:val="000000"/>
      <w:sz w:val="24"/>
      <w:szCs w:val="24"/>
    </w:rPr>
  </w:style>
  <w:style w:type="paragraph" w:styleId="Heading4">
    <w:name w:val="heading 4"/>
    <w:basedOn w:val="Normal"/>
    <w:next w:val="Normal"/>
    <w:pPr>
      <w:keepNext/>
      <w:keepLines/>
      <w:spacing w:before="40" w:after="0"/>
      <w:ind w:left="864" w:hanging="864"/>
      <w:outlineLvl w:val="3"/>
    </w:pPr>
    <w:rPr>
      <w:i/>
      <w:color w:val="2F5496"/>
    </w:rPr>
  </w:style>
  <w:style w:type="paragraph" w:styleId="Heading5">
    <w:name w:val="heading 5"/>
    <w:basedOn w:val="Normal"/>
    <w:next w:val="Normal"/>
    <w:pPr>
      <w:keepNext/>
      <w:keepLines/>
      <w:spacing w:before="40" w:after="0"/>
      <w:ind w:left="1008" w:hanging="1008"/>
      <w:outlineLvl w:val="4"/>
    </w:pPr>
    <w:rPr>
      <w:color w:val="2F5496"/>
    </w:rPr>
  </w:style>
  <w:style w:type="paragraph" w:styleId="Heading6">
    <w:name w:val="heading 6"/>
    <w:basedOn w:val="Normal"/>
    <w:next w:val="Normal"/>
    <w:pPr>
      <w:keepNext/>
      <w:keepLines/>
      <w:spacing w:before="40" w:after="0"/>
      <w:ind w:left="1152" w:hanging="1152"/>
      <w:outlineLvl w:val="5"/>
    </w:pPr>
    <w:rPr>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33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140"/>
  </w:style>
  <w:style w:type="paragraph" w:styleId="Footer">
    <w:name w:val="footer"/>
    <w:basedOn w:val="Normal"/>
    <w:link w:val="FooterChar"/>
    <w:uiPriority w:val="99"/>
    <w:unhideWhenUsed/>
    <w:rsid w:val="00A33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4075</Characters>
  <Application>Microsoft Office Word</Application>
  <DocSecurity>0</DocSecurity>
  <Lines>169</Lines>
  <Paragraphs>78</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2023-12-15T08:36:00Z</dcterms:created>
  <dcterms:modified xsi:type="dcterms:W3CDTF">2023-12-18T10:06:00Z</dcterms:modified>
</cp:coreProperties>
</file>