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66BE" w14:textId="7EA5F933" w:rsidR="00467529" w:rsidRPr="00ED04F3" w:rsidRDefault="00467529" w:rsidP="00467529">
      <w:pPr>
        <w:pStyle w:val="Heading5"/>
        <w:keepLines w:val="0"/>
        <w:pBdr>
          <w:top w:val="double" w:sz="4" w:space="10"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ED04F3">
        <w:rPr>
          <w:rFonts w:ascii="Cambria" w:eastAsia="Times New Roman" w:hAnsi="Cambria" w:cs="Times New Roman"/>
          <w:bCs/>
          <w:sz w:val="20"/>
          <w:szCs w:val="20"/>
          <w:lang w:val="fr-FR"/>
        </w:rPr>
        <w:t>23-</w:t>
      </w:r>
      <w:r w:rsidR="008C6962" w:rsidRPr="00ED04F3">
        <w:rPr>
          <w:rFonts w:ascii="Cambria" w:eastAsia="Times New Roman" w:hAnsi="Cambria" w:cs="Times New Roman"/>
          <w:bCs/>
          <w:sz w:val="20"/>
          <w:szCs w:val="20"/>
          <w:lang w:val="fr-FR"/>
        </w:rPr>
        <w:t>06</w:t>
      </w:r>
      <w:r w:rsidRPr="00ED04F3">
        <w:rPr>
          <w:rFonts w:ascii="Cambria" w:eastAsia="Times New Roman" w:hAnsi="Cambria" w:cs="Times New Roman"/>
          <w:bCs/>
          <w:sz w:val="20"/>
          <w:szCs w:val="20"/>
          <w:lang w:val="fr-FR"/>
        </w:rPr>
        <w:tab/>
      </w:r>
      <w:r w:rsidR="008C6962" w:rsidRPr="00ED04F3">
        <w:rPr>
          <w:rFonts w:ascii="Cambria" w:eastAsia="Times New Roman" w:hAnsi="Cambria" w:cs="Times New Roman"/>
          <w:bCs/>
          <w:sz w:val="20"/>
          <w:szCs w:val="20"/>
          <w:lang w:val="fr-FR"/>
        </w:rPr>
        <w:t>BFT</w:t>
      </w:r>
    </w:p>
    <w:p w14:paraId="140E65AA" w14:textId="77777777" w:rsidR="00467529" w:rsidRPr="00ED04F3" w:rsidRDefault="00467529" w:rsidP="00467529">
      <w:pPr>
        <w:pStyle w:val="Heading5"/>
        <w:keepLines w:val="0"/>
        <w:pBdr>
          <w:top w:val="double" w:sz="4" w:space="10"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p>
    <w:p w14:paraId="3D5B3A0C" w14:textId="17E0544A" w:rsidR="00075B8D" w:rsidRPr="00ED04F3" w:rsidRDefault="00467529" w:rsidP="00467529">
      <w:pPr>
        <w:pStyle w:val="Heading5"/>
        <w:keepLines w:val="0"/>
        <w:pBdr>
          <w:top w:val="double" w:sz="4" w:space="10"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ED04F3">
        <w:rPr>
          <w:rFonts w:ascii="Cambria" w:eastAsia="Times New Roman" w:hAnsi="Cambria" w:cs="Times New Roman"/>
          <w:bCs/>
          <w:sz w:val="20"/>
          <w:szCs w:val="20"/>
          <w:lang w:val="fr-FR"/>
        </w:rPr>
        <w:t>RECOMMANDATION DE L’ICCAT AMENDANT LA RECOMMANDATION 22-08</w:t>
      </w:r>
    </w:p>
    <w:p w14:paraId="6FCEA3F7" w14:textId="205DB9D3" w:rsidR="00075B8D" w:rsidRPr="00ED04F3" w:rsidRDefault="00467529" w:rsidP="00467529">
      <w:pPr>
        <w:pStyle w:val="Heading5"/>
        <w:keepLines w:val="0"/>
        <w:pBdr>
          <w:top w:val="double" w:sz="4" w:space="10"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ED04F3">
        <w:rPr>
          <w:rFonts w:ascii="Cambria" w:eastAsia="Times New Roman" w:hAnsi="Cambria" w:cs="Times New Roman"/>
          <w:bCs/>
          <w:sz w:val="20"/>
          <w:szCs w:val="20"/>
          <w:lang w:val="fr-FR"/>
        </w:rPr>
        <w:t>ÉTABLISSANT UN PLAN PLURIANNUEL DE GESTION POUR LE THON ROUGE DANS</w:t>
      </w:r>
    </w:p>
    <w:p w14:paraId="6575311D" w14:textId="30F009BF" w:rsidR="00075B8D" w:rsidRPr="00ED04F3" w:rsidRDefault="00467529" w:rsidP="00467529">
      <w:pPr>
        <w:pStyle w:val="Heading5"/>
        <w:keepLines w:val="0"/>
        <w:pBdr>
          <w:top w:val="double" w:sz="4" w:space="10" w:color="auto"/>
          <w:left w:val="double" w:sz="4" w:space="4" w:color="auto"/>
          <w:bottom w:val="double" w:sz="4" w:space="11" w:color="auto"/>
          <w:right w:val="double" w:sz="4" w:space="4" w:color="auto"/>
        </w:pBdr>
        <w:tabs>
          <w:tab w:val="right" w:pos="8789"/>
        </w:tabs>
        <w:spacing w:before="0" w:after="0" w:line="240" w:lineRule="auto"/>
        <w:jc w:val="center"/>
        <w:rPr>
          <w:rFonts w:ascii="Cambria" w:eastAsia="Times New Roman" w:hAnsi="Cambria" w:cs="Times New Roman"/>
          <w:bCs/>
          <w:sz w:val="20"/>
          <w:szCs w:val="20"/>
          <w:lang w:val="fr-FR"/>
        </w:rPr>
      </w:pPr>
      <w:r w:rsidRPr="00ED04F3">
        <w:rPr>
          <w:rFonts w:ascii="Cambria" w:eastAsia="Times New Roman" w:hAnsi="Cambria" w:cs="Times New Roman"/>
          <w:bCs/>
          <w:sz w:val="20"/>
          <w:szCs w:val="20"/>
          <w:lang w:val="fr-FR"/>
        </w:rPr>
        <w:t>L’ATLANTIQUE EST ET LA MÉDITERRANÉE</w:t>
      </w:r>
    </w:p>
    <w:p w14:paraId="5BEA2570" w14:textId="77777777" w:rsidR="00075B8D" w:rsidRPr="00ED04F3" w:rsidRDefault="00075B8D" w:rsidP="00075B8D">
      <w:pPr>
        <w:spacing w:after="0" w:line="240" w:lineRule="auto"/>
        <w:jc w:val="center"/>
        <w:rPr>
          <w:rFonts w:ascii="Cambria" w:hAnsi="Cambria"/>
          <w:b/>
          <w:bCs/>
          <w:sz w:val="20"/>
          <w:szCs w:val="20"/>
        </w:rPr>
      </w:pPr>
    </w:p>
    <w:p w14:paraId="4559D3AB" w14:textId="77777777" w:rsidR="00072EA2" w:rsidRPr="00ED04F3" w:rsidRDefault="00072EA2" w:rsidP="00072EA2">
      <w:pPr>
        <w:spacing w:after="0" w:line="240" w:lineRule="auto"/>
        <w:jc w:val="both"/>
        <w:rPr>
          <w:rFonts w:ascii="Cambria" w:hAnsi="Cambria"/>
          <w:sz w:val="20"/>
          <w:szCs w:val="20"/>
        </w:rPr>
      </w:pPr>
    </w:p>
    <w:p w14:paraId="6F373792" w14:textId="16B650CB" w:rsidR="00072EA2" w:rsidRPr="00ED04F3" w:rsidRDefault="00072EA2" w:rsidP="00F951C2">
      <w:pPr>
        <w:spacing w:after="0" w:line="240" w:lineRule="auto"/>
        <w:ind w:firstLine="426"/>
        <w:jc w:val="both"/>
        <w:rPr>
          <w:rFonts w:ascii="Cambria" w:hAnsi="Cambria"/>
          <w:sz w:val="20"/>
          <w:szCs w:val="20"/>
        </w:rPr>
      </w:pPr>
      <w:r w:rsidRPr="00ED04F3">
        <w:rPr>
          <w:rFonts w:ascii="Cambria" w:hAnsi="Cambria"/>
          <w:i/>
          <w:iCs/>
          <w:sz w:val="20"/>
        </w:rPr>
        <w:t>RECONNAISSANT</w:t>
      </w:r>
      <w:r w:rsidRPr="00ED04F3">
        <w:rPr>
          <w:rFonts w:ascii="Cambria" w:hAnsi="Cambria"/>
          <w:sz w:val="20"/>
        </w:rPr>
        <w:t xml:space="preserve"> que la </w:t>
      </w:r>
      <w:r w:rsidRPr="00ED04F3">
        <w:rPr>
          <w:rFonts w:ascii="Cambria" w:hAnsi="Cambria"/>
          <w:i/>
          <w:iCs/>
          <w:sz w:val="20"/>
        </w:rPr>
        <w:t>Recommandation de l’ICCAT amendant la Recommandation 21-08 établissant un plan pluriannuel de gestion pour le thon rouge dans l’Atlantique Est et la Méditerranée</w:t>
      </w:r>
      <w:r w:rsidRPr="00ED04F3">
        <w:rPr>
          <w:rFonts w:ascii="Cambria" w:hAnsi="Cambria"/>
          <w:sz w:val="20"/>
        </w:rPr>
        <w:t xml:space="preserve"> (Rec. 22-08) comporte des ambiguïtés et des erreurs qui nécessitent des clarifications ou des corrections ;</w:t>
      </w:r>
    </w:p>
    <w:p w14:paraId="345BCCE2" w14:textId="77777777" w:rsidR="00072EA2" w:rsidRPr="00ED04F3" w:rsidRDefault="00072EA2" w:rsidP="00072EA2">
      <w:pPr>
        <w:spacing w:after="0" w:line="240" w:lineRule="auto"/>
        <w:jc w:val="both"/>
        <w:rPr>
          <w:rFonts w:ascii="Cambria" w:hAnsi="Cambria"/>
          <w:sz w:val="20"/>
          <w:szCs w:val="20"/>
        </w:rPr>
      </w:pPr>
    </w:p>
    <w:p w14:paraId="40CFC2DB" w14:textId="1F483F1F" w:rsidR="00072EA2" w:rsidRPr="00ED04F3" w:rsidRDefault="002A1AFF" w:rsidP="002A1AFF">
      <w:pPr>
        <w:spacing w:after="0" w:line="240" w:lineRule="auto"/>
        <w:ind w:firstLine="426"/>
        <w:jc w:val="both"/>
        <w:rPr>
          <w:rFonts w:ascii="Cambria" w:hAnsi="Cambria"/>
          <w:sz w:val="20"/>
          <w:szCs w:val="20"/>
        </w:rPr>
      </w:pPr>
      <w:r w:rsidRPr="00ED04F3">
        <w:rPr>
          <w:rFonts w:ascii="Cambria" w:hAnsi="Cambria"/>
          <w:i/>
          <w:sz w:val="20"/>
        </w:rPr>
        <w:t>NOTANT</w:t>
      </w:r>
      <w:r w:rsidRPr="00ED04F3">
        <w:rPr>
          <w:rFonts w:ascii="Cambria" w:hAnsi="Cambria"/>
          <w:sz w:val="20"/>
        </w:rPr>
        <w:t xml:space="preserve"> que la réunion intersessions de la Sous-commission 2 </w:t>
      </w:r>
      <w:r w:rsidR="00FF6441" w:rsidRPr="00ED04F3">
        <w:rPr>
          <w:rFonts w:ascii="Cambria" w:hAnsi="Cambria"/>
          <w:sz w:val="20"/>
        </w:rPr>
        <w:t>de</w:t>
      </w:r>
      <w:r w:rsidRPr="00ED04F3">
        <w:rPr>
          <w:rFonts w:ascii="Cambria" w:hAnsi="Cambria"/>
          <w:sz w:val="20"/>
        </w:rPr>
        <w:t xml:space="preserve"> mars 2023 a convenu que plusieurs annexes de la Rec. 22-08 nécessitaient un amendement</w:t>
      </w:r>
      <w:r w:rsidR="00FF6441" w:rsidRPr="00ED04F3">
        <w:rPr>
          <w:rFonts w:ascii="Cambria" w:hAnsi="Cambria"/>
          <w:sz w:val="20"/>
        </w:rPr>
        <w:t> ;</w:t>
      </w:r>
    </w:p>
    <w:p w14:paraId="7D7333B5" w14:textId="77777777" w:rsidR="00072EA2" w:rsidRPr="00ED04F3" w:rsidRDefault="00072EA2" w:rsidP="00072EA2">
      <w:pPr>
        <w:spacing w:after="0" w:line="240" w:lineRule="auto"/>
        <w:jc w:val="both"/>
        <w:rPr>
          <w:rFonts w:ascii="Cambria" w:hAnsi="Cambria"/>
          <w:sz w:val="20"/>
          <w:szCs w:val="20"/>
        </w:rPr>
      </w:pPr>
    </w:p>
    <w:p w14:paraId="47939306" w14:textId="04638EE3" w:rsidR="00072EA2" w:rsidRPr="00ED04F3" w:rsidRDefault="002A1AFF" w:rsidP="002A1AFF">
      <w:pPr>
        <w:spacing w:after="0" w:line="240" w:lineRule="auto"/>
        <w:ind w:firstLine="426"/>
        <w:jc w:val="both"/>
        <w:rPr>
          <w:rFonts w:ascii="Cambria" w:hAnsi="Cambria"/>
          <w:sz w:val="20"/>
          <w:szCs w:val="20"/>
        </w:rPr>
      </w:pPr>
      <w:r w:rsidRPr="00ED04F3">
        <w:rPr>
          <w:rFonts w:ascii="Cambria" w:hAnsi="Cambria"/>
          <w:i/>
          <w:sz w:val="20"/>
        </w:rPr>
        <w:t>NOTANT ÉGALEMENT</w:t>
      </w:r>
      <w:r w:rsidRPr="00ED04F3">
        <w:rPr>
          <w:rFonts w:ascii="Cambria" w:hAnsi="Cambria"/>
          <w:sz w:val="20"/>
        </w:rPr>
        <w:t xml:space="preserve"> qu’en juin 2023, la 16</w:t>
      </w:r>
      <w:r w:rsidRPr="00ED04F3">
        <w:rPr>
          <w:rFonts w:ascii="Cambria" w:hAnsi="Cambria"/>
          <w:sz w:val="20"/>
          <w:vertAlign w:val="superscript"/>
        </w:rPr>
        <w:t>e</w:t>
      </w:r>
      <w:r w:rsidR="00FF6441" w:rsidRPr="00ED04F3">
        <w:rPr>
          <w:rFonts w:ascii="Cambria" w:hAnsi="Cambria"/>
          <w:sz w:val="20"/>
        </w:rPr>
        <w:t xml:space="preserve"> </w:t>
      </w:r>
      <w:r w:rsidRPr="00ED04F3">
        <w:rPr>
          <w:rFonts w:ascii="Cambria" w:hAnsi="Cambria"/>
          <w:sz w:val="20"/>
        </w:rPr>
        <w:t xml:space="preserve">réunion du Groupe de travail chargé d’élaborer des mesures de contrôle intégré (IMM) a approuvé la « Proposition de modification de l’annexe 10 de la Rec. 22-08 » ainsi que la </w:t>
      </w:r>
      <w:r w:rsidR="00FF6441" w:rsidRPr="00ED04F3">
        <w:rPr>
          <w:rFonts w:ascii="Cambria" w:hAnsi="Cambria"/>
          <w:sz w:val="20"/>
        </w:rPr>
        <w:t>« M</w:t>
      </w:r>
      <w:r w:rsidRPr="00ED04F3">
        <w:rPr>
          <w:rFonts w:ascii="Cambria" w:hAnsi="Cambria"/>
          <w:sz w:val="20"/>
        </w:rPr>
        <w:t xml:space="preserve">odification </w:t>
      </w:r>
      <w:r w:rsidR="00FF6441" w:rsidRPr="00ED04F3">
        <w:rPr>
          <w:rFonts w:ascii="Cambria" w:hAnsi="Cambria"/>
          <w:sz w:val="20"/>
        </w:rPr>
        <w:t xml:space="preserve">de </w:t>
      </w:r>
      <w:r w:rsidRPr="00ED04F3">
        <w:rPr>
          <w:rFonts w:ascii="Cambria" w:hAnsi="Cambria"/>
          <w:sz w:val="20"/>
        </w:rPr>
        <w:t>l</w:t>
      </w:r>
      <w:r w:rsidR="003D6C1A" w:rsidRPr="00ED04F3">
        <w:rPr>
          <w:rFonts w:ascii="Cambria" w:hAnsi="Cambria"/>
          <w:sz w:val="20"/>
        </w:rPr>
        <w:t xml:space="preserve">a </w:t>
      </w:r>
      <w:r w:rsidRPr="00ED04F3">
        <w:rPr>
          <w:rFonts w:ascii="Cambria" w:hAnsi="Cambria"/>
          <w:i/>
          <w:iCs/>
          <w:sz w:val="20"/>
        </w:rPr>
        <w:t xml:space="preserve">Recommandation de l’ICCAT amendant la Recommandation 21-08 établissant un plan pluriannuel de gestion pour le thon rouge dans l’Atlantique Est et la Méditerranée </w:t>
      </w:r>
      <w:r w:rsidRPr="00ED04F3">
        <w:rPr>
          <w:rFonts w:ascii="Cambria" w:hAnsi="Cambria"/>
          <w:sz w:val="20"/>
        </w:rPr>
        <w:t>(Rec. 22-08)</w:t>
      </w:r>
      <w:r w:rsidR="00FF6441" w:rsidRPr="00ED04F3">
        <w:rPr>
          <w:rFonts w:ascii="Cambria" w:hAnsi="Cambria"/>
          <w:sz w:val="20"/>
        </w:rPr>
        <w:t xml:space="preserve"> - </w:t>
      </w:r>
      <w:r w:rsidRPr="00ED04F3">
        <w:rPr>
          <w:rFonts w:ascii="Cambria" w:hAnsi="Cambria"/>
          <w:sz w:val="20"/>
        </w:rPr>
        <w:t>Erreurs et incohérences » et convenu que ces deux documents seraient renvoyés à la Sous-commission</w:t>
      </w:r>
      <w:r w:rsidR="003D6C1A" w:rsidRPr="00ED04F3">
        <w:rPr>
          <w:rFonts w:ascii="Cambria" w:hAnsi="Cambria"/>
          <w:sz w:val="20"/>
        </w:rPr>
        <w:t> </w:t>
      </w:r>
      <w:r w:rsidRPr="00ED04F3">
        <w:rPr>
          <w:rFonts w:ascii="Cambria" w:hAnsi="Cambria"/>
          <w:sz w:val="20"/>
        </w:rPr>
        <w:t>2 pour examen ;</w:t>
      </w:r>
    </w:p>
    <w:p w14:paraId="1108CB58" w14:textId="77777777" w:rsidR="008C6962" w:rsidRPr="00ED04F3" w:rsidRDefault="008C6962" w:rsidP="00072EA2">
      <w:pPr>
        <w:spacing w:after="0" w:line="240" w:lineRule="auto"/>
        <w:jc w:val="both"/>
        <w:rPr>
          <w:rFonts w:ascii="Cambria" w:hAnsi="Cambria"/>
          <w:sz w:val="20"/>
          <w:szCs w:val="20"/>
        </w:rPr>
      </w:pPr>
    </w:p>
    <w:p w14:paraId="4F81BAA5" w14:textId="77777777" w:rsidR="00FF6441" w:rsidRPr="00ED04F3" w:rsidRDefault="00FF6441" w:rsidP="00072EA2">
      <w:pPr>
        <w:spacing w:after="0" w:line="240" w:lineRule="auto"/>
        <w:jc w:val="both"/>
        <w:rPr>
          <w:rFonts w:ascii="Cambria" w:hAnsi="Cambria"/>
          <w:sz w:val="20"/>
          <w:szCs w:val="20"/>
        </w:rPr>
      </w:pPr>
    </w:p>
    <w:p w14:paraId="4FA95D31" w14:textId="77777777" w:rsidR="00072EA2" w:rsidRPr="00ED04F3" w:rsidRDefault="00072EA2" w:rsidP="00862B8F">
      <w:pPr>
        <w:spacing w:after="0" w:line="240" w:lineRule="auto"/>
        <w:jc w:val="center"/>
        <w:rPr>
          <w:rFonts w:ascii="Cambria" w:hAnsi="Cambria"/>
          <w:sz w:val="20"/>
          <w:szCs w:val="20"/>
        </w:rPr>
      </w:pPr>
      <w:r w:rsidRPr="00ED04F3">
        <w:rPr>
          <w:rFonts w:ascii="Cambria" w:hAnsi="Cambria"/>
          <w:sz w:val="20"/>
        </w:rPr>
        <w:t>LA COMMISSION INTERNATIONALE POUR LA CONSERVATION</w:t>
      </w:r>
    </w:p>
    <w:p w14:paraId="2F68FA57" w14:textId="77777777" w:rsidR="00072EA2" w:rsidRPr="00ED04F3" w:rsidRDefault="00072EA2" w:rsidP="00862B8F">
      <w:pPr>
        <w:spacing w:after="0" w:line="240" w:lineRule="auto"/>
        <w:jc w:val="center"/>
        <w:rPr>
          <w:rFonts w:ascii="Cambria" w:hAnsi="Cambria"/>
          <w:sz w:val="20"/>
          <w:szCs w:val="20"/>
        </w:rPr>
      </w:pPr>
      <w:r w:rsidRPr="00ED04F3">
        <w:rPr>
          <w:rFonts w:ascii="Cambria" w:hAnsi="Cambria"/>
          <w:sz w:val="20"/>
        </w:rPr>
        <w:t>DES THONIDÉS DE L’ATLANTIQUE (ICCAT) RECOMMANDE CE QUI SUIT :</w:t>
      </w:r>
    </w:p>
    <w:p w14:paraId="6958B7C4" w14:textId="77777777" w:rsidR="00072EA2" w:rsidRPr="00ED04F3" w:rsidRDefault="00072EA2" w:rsidP="00072EA2">
      <w:pPr>
        <w:spacing w:after="0" w:line="240" w:lineRule="auto"/>
        <w:jc w:val="both"/>
        <w:rPr>
          <w:rFonts w:ascii="Cambria" w:hAnsi="Cambria"/>
          <w:sz w:val="20"/>
          <w:szCs w:val="20"/>
        </w:rPr>
      </w:pPr>
    </w:p>
    <w:p w14:paraId="0B8EC415" w14:textId="59D5DA80" w:rsidR="00072EA2" w:rsidRPr="00ED04F3" w:rsidRDefault="00072EA2" w:rsidP="00072EA2">
      <w:pPr>
        <w:spacing w:after="0" w:line="240" w:lineRule="auto"/>
        <w:jc w:val="both"/>
        <w:rPr>
          <w:rFonts w:ascii="Cambria" w:hAnsi="Cambria"/>
          <w:sz w:val="20"/>
          <w:szCs w:val="20"/>
        </w:rPr>
      </w:pPr>
      <w:r w:rsidRPr="00ED04F3">
        <w:rPr>
          <w:rFonts w:ascii="Cambria" w:hAnsi="Cambria"/>
          <w:sz w:val="20"/>
        </w:rPr>
        <w:t>Les modifications suivantes devront être apportées à la Rec. 22-08</w:t>
      </w:r>
      <w:r w:rsidR="00FF6441" w:rsidRPr="00ED04F3">
        <w:rPr>
          <w:rFonts w:ascii="Cambria" w:hAnsi="Cambria"/>
          <w:sz w:val="20"/>
        </w:rPr>
        <w:t> :</w:t>
      </w:r>
    </w:p>
    <w:p w14:paraId="7F04FFFD" w14:textId="77777777" w:rsidR="00072EA2" w:rsidRPr="00ED04F3" w:rsidRDefault="00072EA2" w:rsidP="00072EA2">
      <w:pPr>
        <w:spacing w:after="0" w:line="240" w:lineRule="auto"/>
        <w:jc w:val="both"/>
        <w:rPr>
          <w:rFonts w:ascii="Cambria" w:hAnsi="Cambria"/>
          <w:sz w:val="20"/>
          <w:szCs w:val="20"/>
        </w:rPr>
      </w:pPr>
    </w:p>
    <w:p w14:paraId="157D0FC0" w14:textId="59F81D09" w:rsidR="008C6962" w:rsidRPr="00ED04F3" w:rsidRDefault="008C6962" w:rsidP="00072EA2">
      <w:pPr>
        <w:spacing w:after="0" w:line="240" w:lineRule="auto"/>
        <w:jc w:val="both"/>
        <w:rPr>
          <w:rFonts w:ascii="Cambria" w:hAnsi="Cambria"/>
          <w:sz w:val="20"/>
          <w:szCs w:val="20"/>
        </w:rPr>
      </w:pPr>
      <w:r w:rsidRPr="00ED04F3">
        <w:rPr>
          <w:rFonts w:ascii="Cambria" w:hAnsi="Cambria"/>
          <w:sz w:val="20"/>
          <w:szCs w:val="20"/>
        </w:rPr>
        <w:t>Les paragraphes 21 et 22 devront être supprimés.</w:t>
      </w:r>
    </w:p>
    <w:p w14:paraId="001D032D" w14:textId="77777777" w:rsidR="008C6962" w:rsidRPr="00ED04F3" w:rsidRDefault="008C6962" w:rsidP="00072EA2">
      <w:pPr>
        <w:spacing w:after="0" w:line="240" w:lineRule="auto"/>
        <w:jc w:val="both"/>
        <w:rPr>
          <w:rFonts w:ascii="Cambria" w:hAnsi="Cambria"/>
          <w:sz w:val="20"/>
          <w:szCs w:val="20"/>
        </w:rPr>
      </w:pPr>
    </w:p>
    <w:p w14:paraId="0FE77C06" w14:textId="43F265D7" w:rsidR="008C6962" w:rsidRPr="00ED04F3" w:rsidRDefault="008C6962" w:rsidP="00072EA2">
      <w:pPr>
        <w:spacing w:after="0" w:line="240" w:lineRule="auto"/>
        <w:jc w:val="both"/>
        <w:rPr>
          <w:rFonts w:ascii="Cambria" w:hAnsi="Cambria"/>
          <w:sz w:val="20"/>
          <w:szCs w:val="20"/>
        </w:rPr>
      </w:pPr>
      <w:r w:rsidRPr="00ED04F3">
        <w:rPr>
          <w:rFonts w:ascii="Cambria" w:hAnsi="Cambria"/>
          <w:sz w:val="20"/>
          <w:szCs w:val="20"/>
        </w:rPr>
        <w:t>Les paragraphes 20, 23 et 24 devront être libellés comme suit :</w:t>
      </w:r>
    </w:p>
    <w:p w14:paraId="5101B1BA" w14:textId="77777777" w:rsidR="008C6962" w:rsidRPr="00ED04F3" w:rsidRDefault="008C6962" w:rsidP="008C6962">
      <w:pPr>
        <w:spacing w:after="0" w:line="240" w:lineRule="auto"/>
        <w:jc w:val="center"/>
        <w:rPr>
          <w:rFonts w:ascii="Cambria" w:hAnsi="Cambria"/>
          <w:b/>
          <w:bCs/>
          <w:sz w:val="20"/>
          <w:szCs w:val="20"/>
        </w:rPr>
      </w:pPr>
    </w:p>
    <w:p w14:paraId="03413C0C" w14:textId="77777777" w:rsidR="008C6962" w:rsidRPr="00ED04F3" w:rsidRDefault="008C6962" w:rsidP="008C6962">
      <w:pPr>
        <w:spacing w:after="0" w:line="240" w:lineRule="auto"/>
        <w:jc w:val="center"/>
        <w:rPr>
          <w:rFonts w:ascii="Cambria" w:hAnsi="Cambria"/>
          <w:b/>
          <w:bCs/>
          <w:sz w:val="20"/>
          <w:szCs w:val="20"/>
        </w:rPr>
      </w:pPr>
    </w:p>
    <w:p w14:paraId="21E760D2" w14:textId="321D23A4" w:rsidR="008C6962" w:rsidRPr="00ED04F3" w:rsidRDefault="00D37F1B" w:rsidP="008C6962">
      <w:pPr>
        <w:spacing w:after="0" w:line="240" w:lineRule="auto"/>
        <w:jc w:val="center"/>
        <w:rPr>
          <w:rFonts w:ascii="Cambria" w:eastAsia="Calibri" w:hAnsi="Cambria" w:cs="Times New Roman"/>
          <w:b/>
          <w:bCs/>
          <w:kern w:val="0"/>
          <w:sz w:val="20"/>
          <w:szCs w:val="20"/>
          <w14:ligatures w14:val="none"/>
        </w:rPr>
      </w:pPr>
      <w:r w:rsidRPr="00ED04F3">
        <w:rPr>
          <w:rFonts w:ascii="Cambria" w:hAnsi="Cambria"/>
          <w:b/>
          <w:bCs/>
          <w:sz w:val="20"/>
          <w:szCs w:val="20"/>
        </w:rPr>
        <w:t>« </w:t>
      </w:r>
      <w:r w:rsidR="008C6962" w:rsidRPr="00ED04F3">
        <w:rPr>
          <w:rFonts w:ascii="Cambria" w:hAnsi="Cambria"/>
          <w:b/>
          <w:bCs/>
          <w:sz w:val="20"/>
          <w:szCs w:val="20"/>
        </w:rPr>
        <w:t>IIe Partie :</w:t>
      </w:r>
    </w:p>
    <w:p w14:paraId="447A2BC2" w14:textId="77777777" w:rsidR="008C6962" w:rsidRPr="00ED04F3" w:rsidRDefault="008C6962" w:rsidP="008C6962">
      <w:pPr>
        <w:spacing w:after="0" w:line="240" w:lineRule="auto"/>
        <w:jc w:val="center"/>
        <w:rPr>
          <w:rFonts w:ascii="Cambria" w:eastAsia="Calibri" w:hAnsi="Cambria" w:cs="Times New Roman"/>
          <w:b/>
          <w:bCs/>
          <w:kern w:val="0"/>
          <w:sz w:val="20"/>
          <w:szCs w:val="20"/>
          <w14:ligatures w14:val="none"/>
        </w:rPr>
      </w:pPr>
      <w:r w:rsidRPr="00ED04F3">
        <w:rPr>
          <w:rFonts w:ascii="Cambria" w:hAnsi="Cambria"/>
          <w:b/>
          <w:bCs/>
          <w:sz w:val="20"/>
          <w:szCs w:val="20"/>
        </w:rPr>
        <w:t>Mesures de gestion</w:t>
      </w:r>
    </w:p>
    <w:p w14:paraId="1DED98A8" w14:textId="77777777" w:rsidR="008C6962" w:rsidRPr="00ED04F3" w:rsidRDefault="008C6962" w:rsidP="008C6962">
      <w:pPr>
        <w:spacing w:after="0" w:line="240" w:lineRule="auto"/>
        <w:jc w:val="center"/>
        <w:rPr>
          <w:rFonts w:ascii="Cambria" w:eastAsia="Calibri" w:hAnsi="Cambria" w:cs="Times New Roman"/>
          <w:b/>
          <w:bCs/>
          <w:kern w:val="0"/>
          <w:sz w:val="20"/>
          <w:szCs w:val="20"/>
          <w14:ligatures w14:val="none"/>
        </w:rPr>
      </w:pPr>
    </w:p>
    <w:p w14:paraId="68965D02" w14:textId="77777777" w:rsidR="008C6962" w:rsidRPr="00ED04F3" w:rsidRDefault="008C6962" w:rsidP="007313F9">
      <w:pPr>
        <w:keepNext/>
        <w:keepLines/>
        <w:ind w:left="851" w:hanging="425"/>
        <w:contextualSpacing/>
        <w:outlineLvl w:val="0"/>
        <w:rPr>
          <w:rFonts w:ascii="Cambria" w:eastAsia="Cambria" w:hAnsi="Cambria"/>
          <w:b/>
          <w:sz w:val="20"/>
          <w:szCs w:val="20"/>
        </w:rPr>
      </w:pPr>
      <w:r w:rsidRPr="00ED04F3">
        <w:rPr>
          <w:rFonts w:ascii="Cambria" w:eastAsia="Cambria" w:hAnsi="Cambria" w:cs="Cambria"/>
          <w:b/>
          <w:sz w:val="20"/>
          <w:szCs w:val="20"/>
        </w:rPr>
        <w:t>Capacité d’élevage</w:t>
      </w:r>
    </w:p>
    <w:p w14:paraId="6B7B0046" w14:textId="77777777" w:rsidR="008C6962" w:rsidRPr="00ED04F3" w:rsidRDefault="008C6962" w:rsidP="007313F9">
      <w:pPr>
        <w:ind w:left="851" w:hanging="425"/>
        <w:contextualSpacing/>
        <w:rPr>
          <w:rFonts w:ascii="Cambria" w:eastAsia="Cambria" w:hAnsi="Cambria"/>
          <w:sz w:val="20"/>
          <w:szCs w:val="20"/>
        </w:rPr>
      </w:pPr>
    </w:p>
    <w:p w14:paraId="68C66281" w14:textId="057D6227" w:rsidR="008C6962" w:rsidRPr="00ED04F3" w:rsidRDefault="008C6962" w:rsidP="007313F9">
      <w:pPr>
        <w:tabs>
          <w:tab w:val="left" w:pos="426"/>
        </w:tabs>
        <w:ind w:left="851" w:right="-1" w:hanging="425"/>
        <w:contextualSpacing/>
        <w:jc w:val="both"/>
        <w:rPr>
          <w:rFonts w:ascii="Cambria" w:eastAsia="Cambria" w:hAnsi="Cambria"/>
          <w:sz w:val="20"/>
          <w:szCs w:val="20"/>
        </w:rPr>
      </w:pPr>
      <w:r w:rsidRPr="00ED04F3">
        <w:rPr>
          <w:rFonts w:ascii="Cambria" w:eastAsia="Cambria" w:hAnsi="Cambria" w:cs="Cambria"/>
          <w:sz w:val="20"/>
          <w:szCs w:val="20"/>
        </w:rPr>
        <w:t>20.</w:t>
      </w:r>
      <w:r w:rsidRPr="00ED04F3">
        <w:rPr>
          <w:rFonts w:ascii="Cambria" w:eastAsia="Cambria" w:hAnsi="Cambria" w:cs="Cambria"/>
          <w:sz w:val="20"/>
          <w:szCs w:val="20"/>
        </w:rPr>
        <w:tab/>
        <w:t>Chaque</w:t>
      </w:r>
      <w:r w:rsidRPr="00ED04F3">
        <w:rPr>
          <w:rFonts w:ascii="Cambria" w:hAnsi="Cambria"/>
          <w:sz w:val="20"/>
          <w:szCs w:val="20"/>
        </w:rPr>
        <w:t xml:space="preserve"> CPC de la ferme devra établir un plan annuel de gestion de l’élevage. Ce plan devra démontrer que la capacité totale d’entrée et la capacité totale d’élevage est proportionnelle à la quantité estimée de thon rouge disponible à des fins d'élevage, y compris l’information visée au paragraphe 23. Les plans de gestion de l'élevage révisés, le cas échéant, devront être présentés au Secrétariat avant le 1er juin de chaque année au plus tard. La Commission devra s’assurer que la capacité totale d’élevage et d’</w:t>
      </w:r>
      <w:r w:rsidR="00D37F1B" w:rsidRPr="00ED04F3">
        <w:rPr>
          <w:rFonts w:ascii="Cambria" w:hAnsi="Cambria"/>
          <w:sz w:val="20"/>
          <w:szCs w:val="20"/>
        </w:rPr>
        <w:t>entrée</w:t>
      </w:r>
      <w:r w:rsidRPr="00ED04F3">
        <w:rPr>
          <w:rFonts w:ascii="Cambria" w:hAnsi="Cambria"/>
          <w:sz w:val="20"/>
          <w:szCs w:val="20"/>
        </w:rPr>
        <w:t xml:space="preserve"> dans l’Atlantique Est et en Méditerranée est proportionnelle à la quantité totale de thon rouge disponible à des fins d’élevage dans la zone.</w:t>
      </w:r>
    </w:p>
    <w:p w14:paraId="1DBDF06B" w14:textId="77777777" w:rsidR="008C6962" w:rsidRPr="00ED04F3" w:rsidRDefault="008C6962" w:rsidP="007313F9">
      <w:pPr>
        <w:ind w:left="851" w:hanging="425"/>
        <w:contextualSpacing/>
        <w:rPr>
          <w:rFonts w:ascii="Cambria" w:eastAsia="Cambria" w:hAnsi="Cambria"/>
          <w:sz w:val="20"/>
          <w:szCs w:val="20"/>
        </w:rPr>
      </w:pPr>
    </w:p>
    <w:p w14:paraId="1ABCEE86" w14:textId="77777777" w:rsidR="008C6962" w:rsidRPr="00ED04F3" w:rsidRDefault="008C6962" w:rsidP="007313F9">
      <w:pPr>
        <w:tabs>
          <w:tab w:val="left" w:pos="426"/>
        </w:tabs>
        <w:ind w:left="851" w:right="-1" w:hanging="425"/>
        <w:contextualSpacing/>
        <w:jc w:val="both"/>
        <w:rPr>
          <w:rFonts w:ascii="Cambria" w:eastAsia="Cambria" w:hAnsi="Cambria"/>
          <w:sz w:val="20"/>
          <w:szCs w:val="20"/>
        </w:rPr>
      </w:pPr>
      <w:r w:rsidRPr="00ED04F3">
        <w:rPr>
          <w:rFonts w:ascii="Cambria" w:eastAsia="Cambria" w:hAnsi="Cambria" w:cs="Cambria"/>
          <w:sz w:val="20"/>
          <w:szCs w:val="20"/>
        </w:rPr>
        <w:t>23.</w:t>
      </w:r>
      <w:r w:rsidRPr="00ED04F3">
        <w:rPr>
          <w:rFonts w:ascii="Cambria" w:eastAsia="Cambria" w:hAnsi="Cambria" w:cs="Cambria"/>
          <w:sz w:val="20"/>
          <w:szCs w:val="20"/>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5D174041" w14:textId="77777777" w:rsidR="008C6962" w:rsidRPr="00ED04F3" w:rsidRDefault="008C6962" w:rsidP="007313F9">
      <w:pPr>
        <w:ind w:left="851" w:hanging="425"/>
        <w:contextualSpacing/>
        <w:rPr>
          <w:rFonts w:ascii="Cambria" w:eastAsia="Cambria" w:hAnsi="Cambria" w:cs="Cambria"/>
          <w:sz w:val="20"/>
          <w:szCs w:val="20"/>
        </w:rPr>
      </w:pPr>
    </w:p>
    <w:p w14:paraId="1DFDC117" w14:textId="77777777" w:rsidR="008C6962" w:rsidRPr="00ED04F3" w:rsidRDefault="008C6962" w:rsidP="007313F9">
      <w:pPr>
        <w:ind w:left="851" w:hanging="425"/>
        <w:rPr>
          <w:rFonts w:ascii="Cambria" w:eastAsia="Cambria" w:hAnsi="Cambria" w:cs="Cambria"/>
          <w:sz w:val="20"/>
          <w:szCs w:val="20"/>
        </w:rPr>
      </w:pPr>
      <w:r w:rsidRPr="00ED04F3">
        <w:rPr>
          <w:rFonts w:ascii="Cambria" w:eastAsia="Cambria" w:hAnsi="Cambria" w:cs="Cambria"/>
          <w:sz w:val="20"/>
          <w:szCs w:val="20"/>
        </w:rPr>
        <w:br w:type="page"/>
      </w:r>
    </w:p>
    <w:p w14:paraId="6008D295" w14:textId="164AB48B" w:rsidR="008C6962" w:rsidRPr="00ED04F3" w:rsidRDefault="008C6962" w:rsidP="007313F9">
      <w:pPr>
        <w:ind w:left="851" w:hanging="425"/>
        <w:contextualSpacing/>
        <w:jc w:val="both"/>
        <w:rPr>
          <w:rFonts w:ascii="Cambria" w:eastAsia="Cambria" w:hAnsi="Cambria" w:cs="Cambria"/>
          <w:sz w:val="20"/>
          <w:szCs w:val="20"/>
        </w:rPr>
      </w:pPr>
      <w:bookmarkStart w:id="0" w:name="_Hlk152239610"/>
      <w:r w:rsidRPr="00ED04F3">
        <w:rPr>
          <w:rFonts w:ascii="Cambria" w:eastAsia="Cambria" w:hAnsi="Cambria" w:cs="Cambria"/>
          <w:sz w:val="20"/>
          <w:szCs w:val="20"/>
        </w:rPr>
        <w:lastRenderedPageBreak/>
        <w:t>24.</w:t>
      </w:r>
      <w:r w:rsidRPr="00ED04F3">
        <w:rPr>
          <w:rFonts w:ascii="Cambria" w:eastAsia="Cambria" w:hAnsi="Cambria" w:cs="Cambria"/>
          <w:sz w:val="20"/>
          <w:szCs w:val="20"/>
        </w:rPr>
        <w:tab/>
        <w:t xml:space="preserve">Le Secrétariat de l’ICCAT devra compiler des statistiques sur la quantité annuelle mise en cage (entrée de poissons capturés à l’état sauvage), mise à mort et exportée par CPC de la ferme, en utilisant les données du système eBCD. Le Groupe de travail </w:t>
      </w:r>
      <w:r w:rsidR="006E6B0B" w:rsidRPr="00ED04F3">
        <w:rPr>
          <w:rFonts w:ascii="Cambria" w:eastAsia="Cambria" w:hAnsi="Cambria" w:cs="Cambria"/>
          <w:sz w:val="20"/>
          <w:szCs w:val="20"/>
        </w:rPr>
        <w:t xml:space="preserve">permanent </w:t>
      </w:r>
      <w:r w:rsidR="008F1032" w:rsidRPr="00ED04F3">
        <w:rPr>
          <w:rFonts w:ascii="Cambria" w:eastAsia="Cambria" w:hAnsi="Cambria" w:cs="Cambria"/>
          <w:sz w:val="20"/>
          <w:szCs w:val="20"/>
        </w:rPr>
        <w:t>sur les systèmes</w:t>
      </w:r>
      <w:r w:rsidRPr="00ED04F3">
        <w:rPr>
          <w:rFonts w:ascii="Cambria" w:eastAsia="Cambria" w:hAnsi="Cambria" w:cs="Cambria"/>
          <w:sz w:val="20"/>
          <w:szCs w:val="20"/>
        </w:rPr>
        <w:t xml:space="preserve"> </w:t>
      </w:r>
      <w:r w:rsidR="008F1032" w:rsidRPr="00ED04F3">
        <w:rPr>
          <w:rFonts w:ascii="Cambria" w:eastAsia="Cambria" w:hAnsi="Cambria" w:cs="Cambria"/>
          <w:sz w:val="20"/>
          <w:szCs w:val="20"/>
        </w:rPr>
        <w:t xml:space="preserve">de documentation des captures (CDS WG) </w:t>
      </w:r>
      <w:r w:rsidRPr="00ED04F3">
        <w:rPr>
          <w:rFonts w:ascii="Cambria" w:eastAsia="Cambria" w:hAnsi="Cambria" w:cs="Cambria"/>
          <w:sz w:val="20"/>
          <w:szCs w:val="20"/>
        </w:rPr>
        <w:t>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r w:rsidR="00D37F1B" w:rsidRPr="00ED04F3">
        <w:rPr>
          <w:rFonts w:ascii="Cambria" w:eastAsia="Cambria" w:hAnsi="Cambria" w:cs="Cambria"/>
          <w:sz w:val="20"/>
          <w:szCs w:val="20"/>
        </w:rPr>
        <w:t> »</w:t>
      </w:r>
    </w:p>
    <w:bookmarkEnd w:id="0"/>
    <w:p w14:paraId="1FB603D3" w14:textId="77777777" w:rsidR="008C6962" w:rsidRPr="00ED04F3" w:rsidRDefault="008C6962" w:rsidP="00072EA2">
      <w:pPr>
        <w:spacing w:after="0" w:line="240" w:lineRule="auto"/>
        <w:jc w:val="both"/>
        <w:rPr>
          <w:rFonts w:ascii="Cambria" w:hAnsi="Cambria"/>
          <w:sz w:val="20"/>
          <w:szCs w:val="20"/>
        </w:rPr>
      </w:pPr>
    </w:p>
    <w:p w14:paraId="7DDD8D1C" w14:textId="1DDED6AE" w:rsidR="00072EA2" w:rsidRPr="00ED04F3" w:rsidRDefault="00072EA2" w:rsidP="00AD6767">
      <w:pPr>
        <w:tabs>
          <w:tab w:val="left" w:pos="426"/>
        </w:tabs>
        <w:spacing w:after="0" w:line="240" w:lineRule="auto"/>
        <w:jc w:val="both"/>
        <w:rPr>
          <w:rFonts w:ascii="Cambria" w:hAnsi="Cambria"/>
          <w:sz w:val="20"/>
          <w:szCs w:val="20"/>
        </w:rPr>
      </w:pPr>
      <w:r w:rsidRPr="00ED04F3">
        <w:rPr>
          <w:rFonts w:ascii="Cambria" w:hAnsi="Cambria"/>
          <w:sz w:val="20"/>
        </w:rPr>
        <w:t>Le paragraphe 12</w:t>
      </w:r>
      <w:r w:rsidRPr="009952EF">
        <w:rPr>
          <w:rFonts w:ascii="Cambria" w:hAnsi="Cambria"/>
          <w:sz w:val="20"/>
        </w:rPr>
        <w:t>0</w:t>
      </w:r>
      <w:r w:rsidR="00586F51" w:rsidRPr="009952EF">
        <w:rPr>
          <w:rFonts w:ascii="Cambria" w:hAnsi="Cambria"/>
          <w:sz w:val="20"/>
        </w:rPr>
        <w:t>(a)</w:t>
      </w:r>
      <w:r w:rsidRPr="009952EF">
        <w:rPr>
          <w:rFonts w:ascii="Cambria" w:hAnsi="Cambria"/>
          <w:sz w:val="20"/>
        </w:rPr>
        <w:t xml:space="preserve"> d</w:t>
      </w:r>
      <w:r w:rsidRPr="00ED04F3">
        <w:rPr>
          <w:rFonts w:ascii="Cambria" w:hAnsi="Cambria"/>
          <w:sz w:val="20"/>
        </w:rPr>
        <w:t xml:space="preserve">evra être </w:t>
      </w:r>
      <w:r w:rsidR="008C6962" w:rsidRPr="00ED04F3">
        <w:rPr>
          <w:rFonts w:ascii="Cambria" w:hAnsi="Cambria"/>
          <w:sz w:val="20"/>
          <w:szCs w:val="20"/>
        </w:rPr>
        <w:t>libellé comme suit</w:t>
      </w:r>
      <w:r w:rsidR="007313F9" w:rsidRPr="00ED04F3">
        <w:rPr>
          <w:rFonts w:ascii="Cambria" w:hAnsi="Cambria"/>
          <w:sz w:val="20"/>
          <w:szCs w:val="20"/>
        </w:rPr>
        <w:t> </w:t>
      </w:r>
      <w:r w:rsidR="007313F9" w:rsidRPr="00ED04F3">
        <w:rPr>
          <w:rFonts w:ascii="Cambria" w:hAnsi="Cambria"/>
          <w:sz w:val="20"/>
        </w:rPr>
        <w:t>:</w:t>
      </w:r>
    </w:p>
    <w:p w14:paraId="69628308" w14:textId="77777777" w:rsidR="00AD6767" w:rsidRPr="00ED04F3" w:rsidRDefault="00AD6767" w:rsidP="00AD6767">
      <w:pPr>
        <w:tabs>
          <w:tab w:val="left" w:pos="426"/>
        </w:tabs>
        <w:spacing w:after="0" w:line="240" w:lineRule="auto"/>
        <w:jc w:val="both"/>
        <w:rPr>
          <w:rFonts w:ascii="Cambria" w:hAnsi="Cambria"/>
          <w:sz w:val="20"/>
          <w:szCs w:val="20"/>
        </w:rPr>
      </w:pPr>
    </w:p>
    <w:p w14:paraId="377B6348" w14:textId="12379807" w:rsidR="00072EA2" w:rsidRPr="00ED04F3" w:rsidRDefault="00072EA2" w:rsidP="000E32A2">
      <w:pPr>
        <w:tabs>
          <w:tab w:val="left" w:pos="993"/>
        </w:tabs>
        <w:spacing w:after="0" w:line="240" w:lineRule="auto"/>
        <w:ind w:left="993" w:hanging="567"/>
        <w:jc w:val="both"/>
        <w:rPr>
          <w:rFonts w:ascii="Cambria" w:hAnsi="Cambria"/>
          <w:sz w:val="20"/>
          <w:szCs w:val="20"/>
        </w:rPr>
      </w:pPr>
      <w:r w:rsidRPr="00ED04F3">
        <w:rPr>
          <w:rFonts w:ascii="Cambria" w:hAnsi="Cambria"/>
          <w:sz w:val="20"/>
        </w:rPr>
        <w:t>« 120.</w:t>
      </w:r>
      <w:r w:rsidRPr="00ED04F3">
        <w:rPr>
          <w:rFonts w:ascii="Cambria" w:hAnsi="Cambria"/>
          <w:sz w:val="20"/>
        </w:rPr>
        <w:tab/>
        <w:t xml:space="preserve">Chaque CPC de l’opérateur donateur devra prendre les mesures nécessaires pour garantir que l'opérateur donateur fournit sans délai des copies identiques des enregistrements vidéo pertinents : </w:t>
      </w:r>
    </w:p>
    <w:p w14:paraId="23100CFA" w14:textId="77777777" w:rsidR="000E32A2" w:rsidRPr="00ED04F3" w:rsidRDefault="000E32A2" w:rsidP="00227758">
      <w:pPr>
        <w:tabs>
          <w:tab w:val="left" w:pos="993"/>
        </w:tabs>
        <w:spacing w:after="0" w:line="240" w:lineRule="auto"/>
        <w:ind w:left="993" w:hanging="567"/>
        <w:jc w:val="both"/>
        <w:rPr>
          <w:rFonts w:ascii="Cambria" w:hAnsi="Cambria"/>
          <w:sz w:val="20"/>
          <w:szCs w:val="20"/>
        </w:rPr>
      </w:pPr>
    </w:p>
    <w:p w14:paraId="139CA198" w14:textId="24F74603" w:rsidR="00072EA2" w:rsidRPr="00ED04F3" w:rsidRDefault="00072EA2" w:rsidP="000E32A2">
      <w:pPr>
        <w:tabs>
          <w:tab w:val="left" w:pos="1418"/>
        </w:tabs>
        <w:spacing w:after="0" w:line="240" w:lineRule="auto"/>
        <w:ind w:left="1418" w:hanging="425"/>
        <w:jc w:val="both"/>
        <w:rPr>
          <w:rFonts w:ascii="Cambria" w:hAnsi="Cambria"/>
          <w:sz w:val="20"/>
          <w:szCs w:val="20"/>
        </w:rPr>
      </w:pPr>
      <w:r w:rsidRPr="00ED04F3">
        <w:rPr>
          <w:rFonts w:ascii="Cambria" w:hAnsi="Cambria"/>
          <w:sz w:val="20"/>
        </w:rPr>
        <w:t xml:space="preserve">a) </w:t>
      </w:r>
      <w:r w:rsidR="003D6C1A" w:rsidRPr="00ED04F3">
        <w:rPr>
          <w:rFonts w:ascii="Cambria" w:hAnsi="Cambria"/>
          <w:sz w:val="20"/>
        </w:rPr>
        <w:tab/>
      </w:r>
      <w:r w:rsidRPr="00ED04F3">
        <w:rPr>
          <w:rFonts w:ascii="Cambria" w:hAnsi="Cambria"/>
          <w:sz w:val="20"/>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 »</w:t>
      </w:r>
    </w:p>
    <w:p w14:paraId="7AEFEEED" w14:textId="77777777" w:rsidR="00072EA2" w:rsidRPr="00ED04F3" w:rsidRDefault="00072EA2" w:rsidP="00072EA2">
      <w:pPr>
        <w:spacing w:after="0" w:line="240" w:lineRule="auto"/>
        <w:jc w:val="both"/>
        <w:rPr>
          <w:rFonts w:ascii="Cambria" w:hAnsi="Cambria"/>
          <w:sz w:val="20"/>
          <w:szCs w:val="20"/>
        </w:rPr>
      </w:pPr>
    </w:p>
    <w:p w14:paraId="61ADE877" w14:textId="1C47610F" w:rsidR="00072EA2" w:rsidRPr="00ED04F3" w:rsidRDefault="00072EA2" w:rsidP="00AD6767">
      <w:pPr>
        <w:tabs>
          <w:tab w:val="left" w:pos="426"/>
        </w:tabs>
        <w:spacing w:after="0" w:line="240" w:lineRule="auto"/>
        <w:jc w:val="both"/>
        <w:rPr>
          <w:rFonts w:ascii="Cambria" w:hAnsi="Cambria"/>
          <w:sz w:val="20"/>
          <w:szCs w:val="20"/>
        </w:rPr>
      </w:pPr>
      <w:r w:rsidRPr="00ED04F3">
        <w:rPr>
          <w:rFonts w:ascii="Cambria" w:hAnsi="Cambria"/>
          <w:sz w:val="20"/>
        </w:rPr>
        <w:t xml:space="preserve">Un nouveau paragraphe (paragraphe 12) devra </w:t>
      </w:r>
      <w:r w:rsidR="00103062" w:rsidRPr="00ED04F3">
        <w:rPr>
          <w:rFonts w:ascii="Cambria" w:hAnsi="Cambria"/>
          <w:sz w:val="20"/>
        </w:rPr>
        <w:t xml:space="preserve">être ajouté </w:t>
      </w:r>
      <w:r w:rsidRPr="00ED04F3">
        <w:rPr>
          <w:rFonts w:ascii="Cambria" w:hAnsi="Cambria"/>
          <w:sz w:val="20"/>
        </w:rPr>
        <w:t>à l'annexe 10.</w:t>
      </w:r>
    </w:p>
    <w:p w14:paraId="07EB4530" w14:textId="77777777" w:rsidR="00F1340E" w:rsidRPr="00ED04F3" w:rsidRDefault="00F1340E" w:rsidP="00AD6767">
      <w:pPr>
        <w:tabs>
          <w:tab w:val="left" w:pos="426"/>
        </w:tabs>
        <w:spacing w:after="0" w:line="240" w:lineRule="auto"/>
        <w:jc w:val="both"/>
        <w:rPr>
          <w:rFonts w:ascii="Cambria" w:hAnsi="Cambria"/>
          <w:sz w:val="20"/>
          <w:szCs w:val="20"/>
        </w:rPr>
      </w:pPr>
    </w:p>
    <w:p w14:paraId="67BC0C7F" w14:textId="5994A314" w:rsidR="00072EA2" w:rsidRPr="00ED04F3" w:rsidRDefault="00072EA2" w:rsidP="00F1340E">
      <w:pPr>
        <w:tabs>
          <w:tab w:val="left" w:pos="993"/>
        </w:tabs>
        <w:spacing w:after="0" w:line="240" w:lineRule="auto"/>
        <w:ind w:left="993" w:hanging="567"/>
        <w:jc w:val="both"/>
        <w:rPr>
          <w:rFonts w:ascii="Cambria" w:hAnsi="Cambria"/>
          <w:sz w:val="20"/>
          <w:szCs w:val="20"/>
        </w:rPr>
      </w:pPr>
      <w:r w:rsidRPr="00ED04F3">
        <w:rPr>
          <w:rFonts w:ascii="Cambria" w:hAnsi="Cambria"/>
          <w:sz w:val="20"/>
        </w:rPr>
        <w:t xml:space="preserve">« 12. </w:t>
      </w:r>
      <w:r w:rsidRPr="00ED04F3">
        <w:rPr>
          <w:rFonts w:ascii="Cambria" w:hAnsi="Cambria"/>
          <w:sz w:val="20"/>
        </w:rPr>
        <w:tab/>
        <w:t xml:space="preserve">Les dispositions de la présente </w:t>
      </w:r>
      <w:r w:rsidRPr="00ED04F3">
        <w:rPr>
          <w:rFonts w:ascii="Cambria" w:hAnsi="Cambria"/>
          <w:b/>
          <w:sz w:val="20"/>
        </w:rPr>
        <w:t>annexe</w:t>
      </w:r>
      <w:r w:rsidRPr="00ED04F3">
        <w:rPr>
          <w:rFonts w:ascii="Cambria" w:hAnsi="Cambria"/>
          <w:sz w:val="20"/>
        </w:rPr>
        <w:t xml:space="preserve"> ne devront pas s'appliquer à la libération du thon rouge des madragues à la suite de la levée de l'engin à la fin de l'activité ».</w:t>
      </w:r>
    </w:p>
    <w:p w14:paraId="34385A3A" w14:textId="77777777" w:rsidR="00072EA2" w:rsidRPr="00ED04F3" w:rsidRDefault="00072EA2" w:rsidP="00072EA2">
      <w:pPr>
        <w:spacing w:after="0" w:line="240" w:lineRule="auto"/>
        <w:jc w:val="both"/>
        <w:rPr>
          <w:rFonts w:ascii="Cambria" w:hAnsi="Cambria"/>
          <w:sz w:val="20"/>
          <w:szCs w:val="20"/>
        </w:rPr>
      </w:pPr>
    </w:p>
    <w:p w14:paraId="70EA20BC" w14:textId="596DF87E" w:rsidR="00072EA2" w:rsidRPr="00ED04F3" w:rsidRDefault="00072EA2" w:rsidP="008C6962">
      <w:pPr>
        <w:spacing w:after="0" w:line="240" w:lineRule="auto"/>
        <w:jc w:val="both"/>
        <w:rPr>
          <w:rFonts w:ascii="Cambria" w:hAnsi="Cambria"/>
          <w:sz w:val="20"/>
          <w:szCs w:val="20"/>
        </w:rPr>
      </w:pPr>
      <w:r w:rsidRPr="00ED04F3">
        <w:rPr>
          <w:rFonts w:ascii="Cambria" w:hAnsi="Cambria"/>
          <w:sz w:val="20"/>
        </w:rPr>
        <w:t xml:space="preserve">À l'annexe 11, une nouvelle colonne </w:t>
      </w:r>
      <w:r w:rsidR="008C6962" w:rsidRPr="00ED04F3">
        <w:rPr>
          <w:rFonts w:ascii="Cambria" w:hAnsi="Cambria"/>
          <w:sz w:val="20"/>
        </w:rPr>
        <w:t>« </w:t>
      </w:r>
      <w:r w:rsidRPr="00ED04F3">
        <w:rPr>
          <w:rFonts w:ascii="Cambria" w:hAnsi="Cambria"/>
          <w:sz w:val="20"/>
        </w:rPr>
        <w:t>Destination des poissons morts (rejetés ou débarqués)</w:t>
      </w:r>
      <w:r w:rsidR="008C6962" w:rsidRPr="00ED04F3">
        <w:rPr>
          <w:rFonts w:ascii="Cambria" w:hAnsi="Cambria"/>
          <w:sz w:val="20"/>
        </w:rPr>
        <w:t> »</w:t>
      </w:r>
      <w:r w:rsidRPr="00ED04F3">
        <w:rPr>
          <w:rFonts w:ascii="Cambria" w:hAnsi="Cambria"/>
          <w:sz w:val="20"/>
        </w:rPr>
        <w:t xml:space="preserve"> devra être ajoutée entre les colonnes </w:t>
      </w:r>
      <w:r w:rsidR="008C6962" w:rsidRPr="00ED04F3">
        <w:rPr>
          <w:rFonts w:ascii="Cambria" w:hAnsi="Cambria"/>
          <w:sz w:val="20"/>
        </w:rPr>
        <w:t>« </w:t>
      </w:r>
      <w:r w:rsidRPr="00ED04F3">
        <w:rPr>
          <w:rFonts w:ascii="Cambria" w:hAnsi="Cambria"/>
          <w:sz w:val="20"/>
        </w:rPr>
        <w:t>N° de thons rouges morts</w:t>
      </w:r>
      <w:r w:rsidR="008C6962" w:rsidRPr="00ED04F3">
        <w:rPr>
          <w:rFonts w:ascii="Cambria" w:hAnsi="Cambria"/>
          <w:sz w:val="20"/>
        </w:rPr>
        <w:t> »</w:t>
      </w:r>
      <w:r w:rsidRPr="00ED04F3">
        <w:rPr>
          <w:rFonts w:ascii="Cambria" w:hAnsi="Cambria"/>
          <w:sz w:val="20"/>
        </w:rPr>
        <w:t xml:space="preserve"> et </w:t>
      </w:r>
      <w:r w:rsidR="008C6962" w:rsidRPr="00ED04F3">
        <w:rPr>
          <w:rFonts w:ascii="Cambria" w:hAnsi="Cambria"/>
          <w:sz w:val="20"/>
        </w:rPr>
        <w:t>« </w:t>
      </w:r>
      <w:r w:rsidRPr="00ED04F3">
        <w:rPr>
          <w:rFonts w:ascii="Cambria" w:hAnsi="Cambria"/>
          <w:sz w:val="20"/>
        </w:rPr>
        <w:t>Signature du capitaine</w:t>
      </w:r>
      <w:r w:rsidR="008C6962" w:rsidRPr="00ED04F3">
        <w:rPr>
          <w:rFonts w:ascii="Cambria" w:hAnsi="Cambria"/>
          <w:sz w:val="20"/>
        </w:rPr>
        <w:t> »</w:t>
      </w:r>
      <w:r w:rsidRPr="00ED04F3">
        <w:rPr>
          <w:rFonts w:ascii="Cambria" w:hAnsi="Cambria"/>
          <w:sz w:val="20"/>
        </w:rPr>
        <w:t xml:space="preserve"> dans le modèle de l'annexe 11 (Déclaration des poissons morts au cours de transferts ultérieurs et d'opérations de remorquage). </w:t>
      </w:r>
    </w:p>
    <w:p w14:paraId="60F6B8F1" w14:textId="77777777" w:rsidR="00072EA2" w:rsidRPr="00ED04F3" w:rsidRDefault="00072EA2" w:rsidP="00072EA2">
      <w:pPr>
        <w:spacing w:after="0" w:line="240" w:lineRule="auto"/>
        <w:jc w:val="both"/>
        <w:rPr>
          <w:rFonts w:ascii="Cambria" w:hAnsi="Cambria"/>
          <w:sz w:val="20"/>
          <w:szCs w:val="20"/>
        </w:rPr>
      </w:pPr>
    </w:p>
    <w:p w14:paraId="7421DE13" w14:textId="13599A45" w:rsidR="00072EA2" w:rsidRPr="00ED04F3" w:rsidRDefault="00072EA2" w:rsidP="00AD6767">
      <w:pPr>
        <w:tabs>
          <w:tab w:val="left" w:pos="426"/>
        </w:tabs>
        <w:spacing w:after="0" w:line="240" w:lineRule="auto"/>
        <w:jc w:val="both"/>
        <w:rPr>
          <w:rFonts w:ascii="Cambria" w:hAnsi="Cambria"/>
          <w:sz w:val="20"/>
          <w:szCs w:val="20"/>
        </w:rPr>
      </w:pPr>
      <w:r w:rsidRPr="00ED04F3">
        <w:rPr>
          <w:rFonts w:ascii="Cambria" w:hAnsi="Cambria"/>
          <w:sz w:val="20"/>
        </w:rPr>
        <w:t xml:space="preserve">Le premier paragraphe de l’annexe 14 devra être </w:t>
      </w:r>
      <w:r w:rsidR="008C6962" w:rsidRPr="00ED04F3">
        <w:rPr>
          <w:rFonts w:ascii="Cambria" w:hAnsi="Cambria"/>
          <w:sz w:val="20"/>
        </w:rPr>
        <w:t>libellé</w:t>
      </w:r>
      <w:r w:rsidRPr="00ED04F3">
        <w:rPr>
          <w:rFonts w:ascii="Cambria" w:hAnsi="Cambria"/>
          <w:sz w:val="20"/>
        </w:rPr>
        <w:t xml:space="preserve"> comme suit :</w:t>
      </w:r>
    </w:p>
    <w:p w14:paraId="525167A7" w14:textId="77777777" w:rsidR="00072EA2" w:rsidRPr="00ED04F3" w:rsidRDefault="00072EA2" w:rsidP="00072EA2">
      <w:pPr>
        <w:spacing w:after="0" w:line="240" w:lineRule="auto"/>
        <w:jc w:val="both"/>
        <w:rPr>
          <w:rFonts w:ascii="Cambria" w:hAnsi="Cambria"/>
          <w:sz w:val="20"/>
          <w:szCs w:val="20"/>
        </w:rPr>
      </w:pPr>
    </w:p>
    <w:p w14:paraId="686EEF90" w14:textId="75DD15F4" w:rsidR="00467529" w:rsidRPr="00ED04F3" w:rsidRDefault="00072EA2" w:rsidP="00096724">
      <w:pPr>
        <w:spacing w:after="0" w:line="240" w:lineRule="auto"/>
        <w:ind w:left="426"/>
        <w:jc w:val="both"/>
        <w:rPr>
          <w:rFonts w:ascii="Cambria" w:hAnsi="Cambria"/>
          <w:sz w:val="20"/>
          <w:szCs w:val="20"/>
        </w:rPr>
      </w:pPr>
      <w:r w:rsidRPr="00ED04F3">
        <w:rPr>
          <w:rFonts w:ascii="Cambria" w:hAnsi="Cambria"/>
          <w:sz w:val="20"/>
        </w:rPr>
        <w:t>« Avant son déploiement sur un senneur, une madrague ou un remorqueur, le prestataire responsable du ROP devr</w:t>
      </w:r>
      <w:r w:rsidR="00096724" w:rsidRPr="00ED04F3">
        <w:rPr>
          <w:rFonts w:ascii="Cambria" w:hAnsi="Cambria"/>
          <w:sz w:val="20"/>
        </w:rPr>
        <w:t>a</w:t>
      </w:r>
      <w:r w:rsidRPr="00ED04F3">
        <w:rPr>
          <w:rFonts w:ascii="Cambria" w:hAnsi="Cambria"/>
          <w:sz w:val="20"/>
        </w:rPr>
        <w:t xml:space="preserve"> fournir un minimum de 25 scellés </w:t>
      </w:r>
      <w:r w:rsidR="00096724" w:rsidRPr="00ED04F3">
        <w:rPr>
          <w:rFonts w:ascii="Cambria" w:hAnsi="Cambria"/>
          <w:sz w:val="20"/>
        </w:rPr>
        <w:t>de l’</w:t>
      </w:r>
      <w:r w:rsidRPr="00ED04F3">
        <w:rPr>
          <w:rFonts w:ascii="Cambria" w:hAnsi="Cambria"/>
          <w:sz w:val="20"/>
        </w:rPr>
        <w:t xml:space="preserve">ICCAT à chaque observateur régional de l'ICCAT sous </w:t>
      </w:r>
      <w:r w:rsidR="00096724" w:rsidRPr="00ED04F3">
        <w:rPr>
          <w:rFonts w:ascii="Cambria" w:hAnsi="Cambria"/>
          <w:sz w:val="20"/>
        </w:rPr>
        <w:t>sa</w:t>
      </w:r>
      <w:r w:rsidRPr="00ED04F3">
        <w:rPr>
          <w:rFonts w:ascii="Cambria" w:hAnsi="Cambria"/>
          <w:sz w:val="20"/>
        </w:rPr>
        <w:t xml:space="preserve"> responsabilité et tenir un registre des scellés fournis et utilisés. »</w:t>
      </w:r>
    </w:p>
    <w:sectPr w:rsidR="00467529" w:rsidRPr="00ED04F3" w:rsidSect="003654A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038E" w14:textId="77777777" w:rsidR="009E15AB" w:rsidRDefault="009E15AB" w:rsidP="003654A0">
      <w:pPr>
        <w:spacing w:after="0" w:line="240" w:lineRule="auto"/>
      </w:pPr>
      <w:r>
        <w:separator/>
      </w:r>
    </w:p>
  </w:endnote>
  <w:endnote w:type="continuationSeparator" w:id="0">
    <w:p w14:paraId="7CADF046" w14:textId="77777777" w:rsidR="009E15AB" w:rsidRDefault="009E15AB" w:rsidP="0036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F290" w14:textId="77777777" w:rsidR="00467529" w:rsidRDefault="0046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868" w14:textId="5821AA30" w:rsidR="00F37AAD" w:rsidRPr="00D92816" w:rsidRDefault="00F37AAD" w:rsidP="00F37AAD">
    <w:pPr>
      <w:tabs>
        <w:tab w:val="center" w:pos="4535"/>
        <w:tab w:val="center" w:pos="4680"/>
        <w:tab w:val="left" w:pos="6150"/>
        <w:tab w:val="right" w:pos="9360"/>
      </w:tabs>
      <w:spacing w:after="200" w:line="276" w:lineRule="auto"/>
      <w:jc w:val="center"/>
      <w:rPr>
        <w:rFonts w:ascii="Cambria" w:eastAsia="Calibri" w:hAnsi="Cambria" w:cs="Calibri"/>
        <w:sz w:val="20"/>
      </w:rPr>
    </w:pPr>
    <w:r w:rsidRPr="00D92816">
      <w:rPr>
        <w:rFonts w:ascii="Cambria" w:eastAsia="Calibri" w:hAnsi="Cambria" w:cs="Calibri"/>
        <w:sz w:val="20"/>
      </w:rPr>
      <w:fldChar w:fldCharType="begin"/>
    </w:r>
    <w:r w:rsidRPr="00D92816">
      <w:rPr>
        <w:rFonts w:ascii="Cambria" w:eastAsia="Calibri" w:hAnsi="Cambria" w:cs="Calibri"/>
        <w:sz w:val="20"/>
      </w:rPr>
      <w:instrText xml:space="preserve"> PAGE </w:instrText>
    </w:r>
    <w:r w:rsidRPr="00D92816">
      <w:rPr>
        <w:rFonts w:ascii="Cambria" w:eastAsia="Calibri" w:hAnsi="Cambria" w:cs="Calibri"/>
        <w:sz w:val="20"/>
      </w:rPr>
      <w:fldChar w:fldCharType="separate"/>
    </w:r>
    <w:r>
      <w:rPr>
        <w:rFonts w:ascii="Cambria" w:eastAsia="Calibri" w:hAnsi="Cambria" w:cs="Calibri"/>
        <w:sz w:val="20"/>
      </w:rPr>
      <w:t>1</w:t>
    </w:r>
    <w:r w:rsidRPr="00D92816">
      <w:rPr>
        <w:rFonts w:ascii="Cambria" w:eastAsia="Calibri" w:hAnsi="Cambria"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35FF" w14:textId="77777777" w:rsidR="00467529" w:rsidRDefault="0046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BAC4" w14:textId="77777777" w:rsidR="009E15AB" w:rsidRDefault="009E15AB" w:rsidP="003654A0">
      <w:pPr>
        <w:spacing w:after="0" w:line="240" w:lineRule="auto"/>
      </w:pPr>
      <w:r>
        <w:separator/>
      </w:r>
    </w:p>
  </w:footnote>
  <w:footnote w:type="continuationSeparator" w:id="0">
    <w:p w14:paraId="47DCE6E4" w14:textId="77777777" w:rsidR="009E15AB" w:rsidRDefault="009E15AB" w:rsidP="0036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120B" w14:textId="77777777" w:rsidR="00467529" w:rsidRDefault="00467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17C0" w14:textId="77777777" w:rsidR="00467529" w:rsidRDefault="004675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9070" w14:textId="77777777" w:rsidR="00467529" w:rsidRDefault="00467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ECE2F4"/>
    <w:lvl w:ilvl="0">
      <w:start w:val="1"/>
      <w:numFmt w:val="bullet"/>
      <w:lvlText w:val="-"/>
      <w:lvlJc w:val="left"/>
      <w:pPr>
        <w:ind w:left="360" w:hanging="360"/>
      </w:pPr>
      <w:rPr>
        <w:rFonts w:ascii="Cambria" w:hAnsi="Cambria" w:hint="default"/>
      </w:rPr>
    </w:lvl>
  </w:abstractNum>
  <w:abstractNum w:abstractNumId="1" w15:restartNumberingAfterBreak="0">
    <w:nsid w:val="03A27A62"/>
    <w:multiLevelType w:val="hybridMultilevel"/>
    <w:tmpl w:val="0EAC1D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07CE3"/>
    <w:multiLevelType w:val="hybridMultilevel"/>
    <w:tmpl w:val="6BF4CBC6"/>
    <w:lvl w:ilvl="0" w:tplc="54EC33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D6E1C"/>
    <w:multiLevelType w:val="hybridMultilevel"/>
    <w:tmpl w:val="FFFFFFFF"/>
    <w:lvl w:ilvl="0" w:tplc="A4980C6C">
      <w:start w:val="1"/>
      <w:numFmt w:val="bullet"/>
      <w:lvlText w:val=""/>
      <w:lvlJc w:val="left"/>
      <w:pPr>
        <w:ind w:left="720" w:hanging="360"/>
      </w:pPr>
      <w:rPr>
        <w:rFonts w:ascii="Symbol" w:hAnsi="Symbol" w:hint="default"/>
      </w:rPr>
    </w:lvl>
    <w:lvl w:ilvl="1" w:tplc="CAAA99A0">
      <w:start w:val="1"/>
      <w:numFmt w:val="bullet"/>
      <w:lvlText w:val="o"/>
      <w:lvlJc w:val="left"/>
      <w:pPr>
        <w:ind w:left="1440" w:hanging="360"/>
      </w:pPr>
      <w:rPr>
        <w:rFonts w:ascii="Courier New" w:hAnsi="Courier New" w:hint="default"/>
      </w:rPr>
    </w:lvl>
    <w:lvl w:ilvl="2" w:tplc="FC7A88DE">
      <w:start w:val="1"/>
      <w:numFmt w:val="bullet"/>
      <w:lvlText w:val=""/>
      <w:lvlJc w:val="left"/>
      <w:pPr>
        <w:ind w:left="2160" w:hanging="360"/>
      </w:pPr>
      <w:rPr>
        <w:rFonts w:ascii="Wingdings" w:hAnsi="Wingdings" w:hint="default"/>
      </w:rPr>
    </w:lvl>
    <w:lvl w:ilvl="3" w:tplc="44E8D83A">
      <w:start w:val="1"/>
      <w:numFmt w:val="bullet"/>
      <w:lvlText w:val=""/>
      <w:lvlJc w:val="left"/>
      <w:pPr>
        <w:ind w:left="2880" w:hanging="360"/>
      </w:pPr>
      <w:rPr>
        <w:rFonts w:ascii="Symbol" w:hAnsi="Symbol" w:hint="default"/>
      </w:rPr>
    </w:lvl>
    <w:lvl w:ilvl="4" w:tplc="E6ACEB26">
      <w:start w:val="1"/>
      <w:numFmt w:val="bullet"/>
      <w:lvlText w:val="o"/>
      <w:lvlJc w:val="left"/>
      <w:pPr>
        <w:ind w:left="3600" w:hanging="360"/>
      </w:pPr>
      <w:rPr>
        <w:rFonts w:ascii="Courier New" w:hAnsi="Courier New" w:hint="default"/>
      </w:rPr>
    </w:lvl>
    <w:lvl w:ilvl="5" w:tplc="95C665C0">
      <w:start w:val="1"/>
      <w:numFmt w:val="bullet"/>
      <w:lvlText w:val=""/>
      <w:lvlJc w:val="left"/>
      <w:pPr>
        <w:ind w:left="4320" w:hanging="360"/>
      </w:pPr>
      <w:rPr>
        <w:rFonts w:ascii="Wingdings" w:hAnsi="Wingdings" w:hint="default"/>
      </w:rPr>
    </w:lvl>
    <w:lvl w:ilvl="6" w:tplc="E40E91FA">
      <w:start w:val="1"/>
      <w:numFmt w:val="bullet"/>
      <w:lvlText w:val=""/>
      <w:lvlJc w:val="left"/>
      <w:pPr>
        <w:ind w:left="5040" w:hanging="360"/>
      </w:pPr>
      <w:rPr>
        <w:rFonts w:ascii="Symbol" w:hAnsi="Symbol" w:hint="default"/>
      </w:rPr>
    </w:lvl>
    <w:lvl w:ilvl="7" w:tplc="88EC32C8">
      <w:start w:val="1"/>
      <w:numFmt w:val="bullet"/>
      <w:lvlText w:val="o"/>
      <w:lvlJc w:val="left"/>
      <w:pPr>
        <w:ind w:left="5760" w:hanging="360"/>
      </w:pPr>
      <w:rPr>
        <w:rFonts w:ascii="Courier New" w:hAnsi="Courier New" w:hint="default"/>
      </w:rPr>
    </w:lvl>
    <w:lvl w:ilvl="8" w:tplc="95486A3C">
      <w:start w:val="1"/>
      <w:numFmt w:val="bullet"/>
      <w:lvlText w:val=""/>
      <w:lvlJc w:val="left"/>
      <w:pPr>
        <w:ind w:left="6480" w:hanging="360"/>
      </w:pPr>
      <w:rPr>
        <w:rFonts w:ascii="Wingdings" w:hAnsi="Wingdings" w:hint="default"/>
      </w:rPr>
    </w:lvl>
  </w:abstractNum>
  <w:abstractNum w:abstractNumId="4" w15:restartNumberingAfterBreak="0">
    <w:nsid w:val="6DFE041E"/>
    <w:multiLevelType w:val="hybridMultilevel"/>
    <w:tmpl w:val="75DE5C0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41456">
    <w:abstractNumId w:val="3"/>
  </w:num>
  <w:num w:numId="2" w16cid:durableId="271592539">
    <w:abstractNumId w:val="0"/>
  </w:num>
  <w:num w:numId="3" w16cid:durableId="1964380642">
    <w:abstractNumId w:val="0"/>
  </w:num>
  <w:num w:numId="4" w16cid:durableId="283312502">
    <w:abstractNumId w:val="2"/>
  </w:num>
  <w:num w:numId="5" w16cid:durableId="1276788983">
    <w:abstractNumId w:val="1"/>
  </w:num>
  <w:num w:numId="6" w16cid:durableId="694498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0D"/>
    <w:rsid w:val="00001C4E"/>
    <w:rsid w:val="00004C0A"/>
    <w:rsid w:val="00006917"/>
    <w:rsid w:val="00010619"/>
    <w:rsid w:val="00014F81"/>
    <w:rsid w:val="000169AD"/>
    <w:rsid w:val="00025A03"/>
    <w:rsid w:val="00026851"/>
    <w:rsid w:val="000341E8"/>
    <w:rsid w:val="00035827"/>
    <w:rsid w:val="00042AEC"/>
    <w:rsid w:val="00051C23"/>
    <w:rsid w:val="00053DC3"/>
    <w:rsid w:val="000550E5"/>
    <w:rsid w:val="00055F77"/>
    <w:rsid w:val="00064C60"/>
    <w:rsid w:val="00065816"/>
    <w:rsid w:val="00070F46"/>
    <w:rsid w:val="00072EA2"/>
    <w:rsid w:val="00075B8D"/>
    <w:rsid w:val="000872C2"/>
    <w:rsid w:val="00091090"/>
    <w:rsid w:val="000935C6"/>
    <w:rsid w:val="00096724"/>
    <w:rsid w:val="0009790E"/>
    <w:rsid w:val="00097C7E"/>
    <w:rsid w:val="000A304B"/>
    <w:rsid w:val="000A35A6"/>
    <w:rsid w:val="000A429C"/>
    <w:rsid w:val="000A7658"/>
    <w:rsid w:val="000A7763"/>
    <w:rsid w:val="000B41DF"/>
    <w:rsid w:val="000C0075"/>
    <w:rsid w:val="000C1B73"/>
    <w:rsid w:val="000C2259"/>
    <w:rsid w:val="000C25D6"/>
    <w:rsid w:val="000D15A7"/>
    <w:rsid w:val="000D3764"/>
    <w:rsid w:val="000D51F1"/>
    <w:rsid w:val="000E110D"/>
    <w:rsid w:val="000E1A62"/>
    <w:rsid w:val="000E2444"/>
    <w:rsid w:val="000E32A2"/>
    <w:rsid w:val="00103062"/>
    <w:rsid w:val="00107BA7"/>
    <w:rsid w:val="0011633B"/>
    <w:rsid w:val="00124773"/>
    <w:rsid w:val="0012512B"/>
    <w:rsid w:val="00132297"/>
    <w:rsid w:val="001377C7"/>
    <w:rsid w:val="00142A60"/>
    <w:rsid w:val="001525BD"/>
    <w:rsid w:val="00153763"/>
    <w:rsid w:val="00160C81"/>
    <w:rsid w:val="00161904"/>
    <w:rsid w:val="00161E42"/>
    <w:rsid w:val="00163C3C"/>
    <w:rsid w:val="00164050"/>
    <w:rsid w:val="0017213B"/>
    <w:rsid w:val="00180A93"/>
    <w:rsid w:val="001921AC"/>
    <w:rsid w:val="00194107"/>
    <w:rsid w:val="0019662A"/>
    <w:rsid w:val="00196BDB"/>
    <w:rsid w:val="001A32DB"/>
    <w:rsid w:val="001B0CBF"/>
    <w:rsid w:val="001B1609"/>
    <w:rsid w:val="001C2C17"/>
    <w:rsid w:val="001C6E58"/>
    <w:rsid w:val="001D1FC5"/>
    <w:rsid w:val="001D7BA2"/>
    <w:rsid w:val="001E06B1"/>
    <w:rsid w:val="001E635F"/>
    <w:rsid w:val="001F0E58"/>
    <w:rsid w:val="001F1DC6"/>
    <w:rsid w:val="001F5798"/>
    <w:rsid w:val="001F6E99"/>
    <w:rsid w:val="001F7EC3"/>
    <w:rsid w:val="002040F9"/>
    <w:rsid w:val="002052AA"/>
    <w:rsid w:val="00206719"/>
    <w:rsid w:val="00206787"/>
    <w:rsid w:val="00207C4E"/>
    <w:rsid w:val="00211BA9"/>
    <w:rsid w:val="00217EAD"/>
    <w:rsid w:val="00221DD2"/>
    <w:rsid w:val="00222BB3"/>
    <w:rsid w:val="00224E8C"/>
    <w:rsid w:val="00225F2F"/>
    <w:rsid w:val="00227758"/>
    <w:rsid w:val="00234427"/>
    <w:rsid w:val="00237672"/>
    <w:rsid w:val="0023774F"/>
    <w:rsid w:val="002430AE"/>
    <w:rsid w:val="00243B19"/>
    <w:rsid w:val="00247787"/>
    <w:rsid w:val="00250AA5"/>
    <w:rsid w:val="00251386"/>
    <w:rsid w:val="00254607"/>
    <w:rsid w:val="00260B26"/>
    <w:rsid w:val="0026511D"/>
    <w:rsid w:val="00266492"/>
    <w:rsid w:val="00272579"/>
    <w:rsid w:val="00272593"/>
    <w:rsid w:val="00272FEC"/>
    <w:rsid w:val="0027667E"/>
    <w:rsid w:val="00295381"/>
    <w:rsid w:val="002A1675"/>
    <w:rsid w:val="002A1AFF"/>
    <w:rsid w:val="002A61F7"/>
    <w:rsid w:val="002B118B"/>
    <w:rsid w:val="002B1DA5"/>
    <w:rsid w:val="002B2A79"/>
    <w:rsid w:val="002B4008"/>
    <w:rsid w:val="002B4A00"/>
    <w:rsid w:val="002B5E1A"/>
    <w:rsid w:val="002C17B1"/>
    <w:rsid w:val="002D2256"/>
    <w:rsid w:val="002D38BE"/>
    <w:rsid w:val="002D3988"/>
    <w:rsid w:val="002D39C2"/>
    <w:rsid w:val="002E3C6E"/>
    <w:rsid w:val="002F1461"/>
    <w:rsid w:val="002F5E8B"/>
    <w:rsid w:val="002F7BE1"/>
    <w:rsid w:val="0030473D"/>
    <w:rsid w:val="003047E6"/>
    <w:rsid w:val="003072BE"/>
    <w:rsid w:val="003107A6"/>
    <w:rsid w:val="0031190D"/>
    <w:rsid w:val="003156CD"/>
    <w:rsid w:val="00322809"/>
    <w:rsid w:val="00331577"/>
    <w:rsid w:val="003319EE"/>
    <w:rsid w:val="003347B6"/>
    <w:rsid w:val="00347A0E"/>
    <w:rsid w:val="0035404A"/>
    <w:rsid w:val="003654A0"/>
    <w:rsid w:val="003705AB"/>
    <w:rsid w:val="003727BC"/>
    <w:rsid w:val="003826AA"/>
    <w:rsid w:val="00386884"/>
    <w:rsid w:val="00387114"/>
    <w:rsid w:val="00391393"/>
    <w:rsid w:val="003A102F"/>
    <w:rsid w:val="003A45AA"/>
    <w:rsid w:val="003B39F7"/>
    <w:rsid w:val="003B753A"/>
    <w:rsid w:val="003B79D5"/>
    <w:rsid w:val="003B7E48"/>
    <w:rsid w:val="003C28C4"/>
    <w:rsid w:val="003D0935"/>
    <w:rsid w:val="003D6C1A"/>
    <w:rsid w:val="003E018E"/>
    <w:rsid w:val="003E13A0"/>
    <w:rsid w:val="003E231E"/>
    <w:rsid w:val="003E328C"/>
    <w:rsid w:val="003E3AC8"/>
    <w:rsid w:val="003F3A38"/>
    <w:rsid w:val="003F4C62"/>
    <w:rsid w:val="00400309"/>
    <w:rsid w:val="00400663"/>
    <w:rsid w:val="00401219"/>
    <w:rsid w:val="004013EE"/>
    <w:rsid w:val="00405F90"/>
    <w:rsid w:val="00411DEE"/>
    <w:rsid w:val="004141AA"/>
    <w:rsid w:val="00414397"/>
    <w:rsid w:val="0042271D"/>
    <w:rsid w:val="00426F86"/>
    <w:rsid w:val="00431D5E"/>
    <w:rsid w:val="0043726B"/>
    <w:rsid w:val="00437DC8"/>
    <w:rsid w:val="00441E1A"/>
    <w:rsid w:val="00442E6D"/>
    <w:rsid w:val="00444414"/>
    <w:rsid w:val="00450418"/>
    <w:rsid w:val="00452A0B"/>
    <w:rsid w:val="00454252"/>
    <w:rsid w:val="004560EE"/>
    <w:rsid w:val="00457CF3"/>
    <w:rsid w:val="0046196A"/>
    <w:rsid w:val="00462749"/>
    <w:rsid w:val="00462E3F"/>
    <w:rsid w:val="00465F3E"/>
    <w:rsid w:val="00467529"/>
    <w:rsid w:val="0047487E"/>
    <w:rsid w:val="00475F34"/>
    <w:rsid w:val="00484F16"/>
    <w:rsid w:val="00493847"/>
    <w:rsid w:val="00494779"/>
    <w:rsid w:val="004A214E"/>
    <w:rsid w:val="004B0FD7"/>
    <w:rsid w:val="004C196F"/>
    <w:rsid w:val="004D23CF"/>
    <w:rsid w:val="004D5D09"/>
    <w:rsid w:val="004E591E"/>
    <w:rsid w:val="004E70AB"/>
    <w:rsid w:val="004F0DE4"/>
    <w:rsid w:val="0050170D"/>
    <w:rsid w:val="00507F2F"/>
    <w:rsid w:val="00510E4E"/>
    <w:rsid w:val="00517D27"/>
    <w:rsid w:val="0052543D"/>
    <w:rsid w:val="0053481B"/>
    <w:rsid w:val="00535D98"/>
    <w:rsid w:val="005360F6"/>
    <w:rsid w:val="0053612C"/>
    <w:rsid w:val="005413DB"/>
    <w:rsid w:val="00542B77"/>
    <w:rsid w:val="005441AE"/>
    <w:rsid w:val="00545359"/>
    <w:rsid w:val="00550EEB"/>
    <w:rsid w:val="00560164"/>
    <w:rsid w:val="005642E0"/>
    <w:rsid w:val="00565665"/>
    <w:rsid w:val="0056569D"/>
    <w:rsid w:val="00574017"/>
    <w:rsid w:val="00574674"/>
    <w:rsid w:val="005749E2"/>
    <w:rsid w:val="00575DFE"/>
    <w:rsid w:val="00582525"/>
    <w:rsid w:val="00582A45"/>
    <w:rsid w:val="0058566C"/>
    <w:rsid w:val="00586F51"/>
    <w:rsid w:val="00590045"/>
    <w:rsid w:val="00593DC9"/>
    <w:rsid w:val="005A2D35"/>
    <w:rsid w:val="005B5521"/>
    <w:rsid w:val="005C0A60"/>
    <w:rsid w:val="005C18C0"/>
    <w:rsid w:val="005C3E64"/>
    <w:rsid w:val="005C635B"/>
    <w:rsid w:val="005C7356"/>
    <w:rsid w:val="005D33FB"/>
    <w:rsid w:val="005D5DE4"/>
    <w:rsid w:val="005D6952"/>
    <w:rsid w:val="005E681F"/>
    <w:rsid w:val="005E6A40"/>
    <w:rsid w:val="005F07D4"/>
    <w:rsid w:val="005F0C0A"/>
    <w:rsid w:val="00603B44"/>
    <w:rsid w:val="0060724E"/>
    <w:rsid w:val="006110D7"/>
    <w:rsid w:val="00617482"/>
    <w:rsid w:val="00631130"/>
    <w:rsid w:val="00635E29"/>
    <w:rsid w:val="006403AC"/>
    <w:rsid w:val="00653394"/>
    <w:rsid w:val="00654134"/>
    <w:rsid w:val="006644E7"/>
    <w:rsid w:val="00672AB7"/>
    <w:rsid w:val="00677C93"/>
    <w:rsid w:val="00680528"/>
    <w:rsid w:val="00681DF3"/>
    <w:rsid w:val="006820DB"/>
    <w:rsid w:val="006863ED"/>
    <w:rsid w:val="006918DA"/>
    <w:rsid w:val="00693647"/>
    <w:rsid w:val="006A4145"/>
    <w:rsid w:val="006A5C32"/>
    <w:rsid w:val="006C2140"/>
    <w:rsid w:val="006C2842"/>
    <w:rsid w:val="006C4FA5"/>
    <w:rsid w:val="006C6107"/>
    <w:rsid w:val="006C6535"/>
    <w:rsid w:val="006C72D6"/>
    <w:rsid w:val="006D1BFA"/>
    <w:rsid w:val="006D2986"/>
    <w:rsid w:val="006E1E6C"/>
    <w:rsid w:val="006E5BA3"/>
    <w:rsid w:val="006E698C"/>
    <w:rsid w:val="006E6B0B"/>
    <w:rsid w:val="006F6126"/>
    <w:rsid w:val="006F6448"/>
    <w:rsid w:val="006F6BCF"/>
    <w:rsid w:val="00702A3D"/>
    <w:rsid w:val="00702DF2"/>
    <w:rsid w:val="00703FF7"/>
    <w:rsid w:val="00717B68"/>
    <w:rsid w:val="007209C0"/>
    <w:rsid w:val="00721A4F"/>
    <w:rsid w:val="00722AC1"/>
    <w:rsid w:val="007239ED"/>
    <w:rsid w:val="007255F0"/>
    <w:rsid w:val="00726E17"/>
    <w:rsid w:val="0072781D"/>
    <w:rsid w:val="007313F9"/>
    <w:rsid w:val="00737693"/>
    <w:rsid w:val="007424F1"/>
    <w:rsid w:val="007503CB"/>
    <w:rsid w:val="00753A19"/>
    <w:rsid w:val="00764F4E"/>
    <w:rsid w:val="00773372"/>
    <w:rsid w:val="007739E1"/>
    <w:rsid w:val="00793C98"/>
    <w:rsid w:val="007A2880"/>
    <w:rsid w:val="007A376E"/>
    <w:rsid w:val="007B17BE"/>
    <w:rsid w:val="007B29AB"/>
    <w:rsid w:val="007B7753"/>
    <w:rsid w:val="007B7B01"/>
    <w:rsid w:val="007C179E"/>
    <w:rsid w:val="007D21A7"/>
    <w:rsid w:val="007D2C7C"/>
    <w:rsid w:val="007F5043"/>
    <w:rsid w:val="007F5664"/>
    <w:rsid w:val="00802F52"/>
    <w:rsid w:val="00803DBE"/>
    <w:rsid w:val="008068AB"/>
    <w:rsid w:val="00810C43"/>
    <w:rsid w:val="00810E12"/>
    <w:rsid w:val="008127E3"/>
    <w:rsid w:val="00812F0A"/>
    <w:rsid w:val="00813BF5"/>
    <w:rsid w:val="00813F40"/>
    <w:rsid w:val="008155BB"/>
    <w:rsid w:val="008212B5"/>
    <w:rsid w:val="008241DB"/>
    <w:rsid w:val="00826EB0"/>
    <w:rsid w:val="00840B20"/>
    <w:rsid w:val="00847C54"/>
    <w:rsid w:val="00851128"/>
    <w:rsid w:val="0085769E"/>
    <w:rsid w:val="00861A3E"/>
    <w:rsid w:val="00862B8F"/>
    <w:rsid w:val="008632E1"/>
    <w:rsid w:val="00864A51"/>
    <w:rsid w:val="00865088"/>
    <w:rsid w:val="008651DC"/>
    <w:rsid w:val="008738DF"/>
    <w:rsid w:val="00873B47"/>
    <w:rsid w:val="008745BE"/>
    <w:rsid w:val="00885299"/>
    <w:rsid w:val="00887B93"/>
    <w:rsid w:val="0089042F"/>
    <w:rsid w:val="00892525"/>
    <w:rsid w:val="008A046B"/>
    <w:rsid w:val="008A5210"/>
    <w:rsid w:val="008A53FA"/>
    <w:rsid w:val="008B38A9"/>
    <w:rsid w:val="008C1894"/>
    <w:rsid w:val="008C4AF2"/>
    <w:rsid w:val="008C5C77"/>
    <w:rsid w:val="008C636C"/>
    <w:rsid w:val="008C6962"/>
    <w:rsid w:val="008D0CD5"/>
    <w:rsid w:val="008D16A7"/>
    <w:rsid w:val="008D3587"/>
    <w:rsid w:val="008D5948"/>
    <w:rsid w:val="008D5FF3"/>
    <w:rsid w:val="008E2225"/>
    <w:rsid w:val="008E4976"/>
    <w:rsid w:val="008E5418"/>
    <w:rsid w:val="008F1032"/>
    <w:rsid w:val="008F130D"/>
    <w:rsid w:val="008F1B5D"/>
    <w:rsid w:val="00916E71"/>
    <w:rsid w:val="00925E01"/>
    <w:rsid w:val="00935DF3"/>
    <w:rsid w:val="00940FCC"/>
    <w:rsid w:val="00950143"/>
    <w:rsid w:val="0095514B"/>
    <w:rsid w:val="009561CE"/>
    <w:rsid w:val="00960CAF"/>
    <w:rsid w:val="009616BB"/>
    <w:rsid w:val="00963804"/>
    <w:rsid w:val="0096414F"/>
    <w:rsid w:val="009666B3"/>
    <w:rsid w:val="00974D70"/>
    <w:rsid w:val="009853E4"/>
    <w:rsid w:val="00985F8E"/>
    <w:rsid w:val="0098657F"/>
    <w:rsid w:val="009942E7"/>
    <w:rsid w:val="00994690"/>
    <w:rsid w:val="009952EF"/>
    <w:rsid w:val="00996008"/>
    <w:rsid w:val="009A10CB"/>
    <w:rsid w:val="009A5041"/>
    <w:rsid w:val="009B5C74"/>
    <w:rsid w:val="009B732C"/>
    <w:rsid w:val="009C0FCF"/>
    <w:rsid w:val="009C21A6"/>
    <w:rsid w:val="009C7264"/>
    <w:rsid w:val="009D3216"/>
    <w:rsid w:val="009E15AB"/>
    <w:rsid w:val="009E2C60"/>
    <w:rsid w:val="009E38D7"/>
    <w:rsid w:val="009E40C8"/>
    <w:rsid w:val="009F1E0A"/>
    <w:rsid w:val="009F35AE"/>
    <w:rsid w:val="009F3A34"/>
    <w:rsid w:val="00A04019"/>
    <w:rsid w:val="00A06416"/>
    <w:rsid w:val="00A07074"/>
    <w:rsid w:val="00A10A47"/>
    <w:rsid w:val="00A127BC"/>
    <w:rsid w:val="00A1439C"/>
    <w:rsid w:val="00A21D88"/>
    <w:rsid w:val="00A4287B"/>
    <w:rsid w:val="00A44772"/>
    <w:rsid w:val="00A503F9"/>
    <w:rsid w:val="00A50591"/>
    <w:rsid w:val="00A51DD1"/>
    <w:rsid w:val="00A54FFE"/>
    <w:rsid w:val="00A553EC"/>
    <w:rsid w:val="00A63032"/>
    <w:rsid w:val="00A63BA1"/>
    <w:rsid w:val="00A65A0E"/>
    <w:rsid w:val="00A700BB"/>
    <w:rsid w:val="00A77BCE"/>
    <w:rsid w:val="00A875AD"/>
    <w:rsid w:val="00A90912"/>
    <w:rsid w:val="00A94E3F"/>
    <w:rsid w:val="00A971B9"/>
    <w:rsid w:val="00AA0040"/>
    <w:rsid w:val="00AA2B7C"/>
    <w:rsid w:val="00AB08A0"/>
    <w:rsid w:val="00AC1FD5"/>
    <w:rsid w:val="00AC29EE"/>
    <w:rsid w:val="00AC2D98"/>
    <w:rsid w:val="00AC4459"/>
    <w:rsid w:val="00AD481B"/>
    <w:rsid w:val="00AD549E"/>
    <w:rsid w:val="00AD5B0F"/>
    <w:rsid w:val="00AD6065"/>
    <w:rsid w:val="00AD6767"/>
    <w:rsid w:val="00AE362E"/>
    <w:rsid w:val="00AF13E3"/>
    <w:rsid w:val="00AF3952"/>
    <w:rsid w:val="00AF5511"/>
    <w:rsid w:val="00B02391"/>
    <w:rsid w:val="00B04F32"/>
    <w:rsid w:val="00B1262B"/>
    <w:rsid w:val="00B17BDF"/>
    <w:rsid w:val="00B225BA"/>
    <w:rsid w:val="00B2331D"/>
    <w:rsid w:val="00B23FE2"/>
    <w:rsid w:val="00B24D96"/>
    <w:rsid w:val="00B26E17"/>
    <w:rsid w:val="00B336CE"/>
    <w:rsid w:val="00B35EEA"/>
    <w:rsid w:val="00B462AB"/>
    <w:rsid w:val="00B51060"/>
    <w:rsid w:val="00B52B47"/>
    <w:rsid w:val="00B549EC"/>
    <w:rsid w:val="00B65A93"/>
    <w:rsid w:val="00B73E91"/>
    <w:rsid w:val="00B749D7"/>
    <w:rsid w:val="00B753ED"/>
    <w:rsid w:val="00B931BB"/>
    <w:rsid w:val="00B941A5"/>
    <w:rsid w:val="00BA0ECD"/>
    <w:rsid w:val="00BA3BA4"/>
    <w:rsid w:val="00BB5EDC"/>
    <w:rsid w:val="00BC00C1"/>
    <w:rsid w:val="00BC516F"/>
    <w:rsid w:val="00BD5D66"/>
    <w:rsid w:val="00BE2A48"/>
    <w:rsid w:val="00BE5B16"/>
    <w:rsid w:val="00BF15A8"/>
    <w:rsid w:val="00C04760"/>
    <w:rsid w:val="00C06108"/>
    <w:rsid w:val="00C064CD"/>
    <w:rsid w:val="00C108FA"/>
    <w:rsid w:val="00C137A2"/>
    <w:rsid w:val="00C1686A"/>
    <w:rsid w:val="00C343F2"/>
    <w:rsid w:val="00C450DB"/>
    <w:rsid w:val="00C4639F"/>
    <w:rsid w:val="00C47196"/>
    <w:rsid w:val="00C52E8E"/>
    <w:rsid w:val="00C53E5A"/>
    <w:rsid w:val="00C567CB"/>
    <w:rsid w:val="00C6582D"/>
    <w:rsid w:val="00C66100"/>
    <w:rsid w:val="00C727C5"/>
    <w:rsid w:val="00C72A4C"/>
    <w:rsid w:val="00C75187"/>
    <w:rsid w:val="00C77927"/>
    <w:rsid w:val="00C77A39"/>
    <w:rsid w:val="00C80049"/>
    <w:rsid w:val="00C92B02"/>
    <w:rsid w:val="00C97837"/>
    <w:rsid w:val="00C97A09"/>
    <w:rsid w:val="00C97D2C"/>
    <w:rsid w:val="00CA5A84"/>
    <w:rsid w:val="00CB1209"/>
    <w:rsid w:val="00CB2D50"/>
    <w:rsid w:val="00CB775C"/>
    <w:rsid w:val="00CC0471"/>
    <w:rsid w:val="00CC2457"/>
    <w:rsid w:val="00CC358E"/>
    <w:rsid w:val="00CC64FF"/>
    <w:rsid w:val="00CD14D8"/>
    <w:rsid w:val="00CD1692"/>
    <w:rsid w:val="00CD2DF4"/>
    <w:rsid w:val="00CD4030"/>
    <w:rsid w:val="00CE1C92"/>
    <w:rsid w:val="00CE414E"/>
    <w:rsid w:val="00CE65A5"/>
    <w:rsid w:val="00CF130B"/>
    <w:rsid w:val="00CF3803"/>
    <w:rsid w:val="00D15885"/>
    <w:rsid w:val="00D15E99"/>
    <w:rsid w:val="00D21BB7"/>
    <w:rsid w:val="00D26CEF"/>
    <w:rsid w:val="00D26EDC"/>
    <w:rsid w:val="00D274FD"/>
    <w:rsid w:val="00D304D5"/>
    <w:rsid w:val="00D365D7"/>
    <w:rsid w:val="00D3798D"/>
    <w:rsid w:val="00D37F1B"/>
    <w:rsid w:val="00D430DC"/>
    <w:rsid w:val="00D44E1E"/>
    <w:rsid w:val="00D452E5"/>
    <w:rsid w:val="00D529C6"/>
    <w:rsid w:val="00D61038"/>
    <w:rsid w:val="00D61066"/>
    <w:rsid w:val="00D63A65"/>
    <w:rsid w:val="00D6560D"/>
    <w:rsid w:val="00D6697C"/>
    <w:rsid w:val="00D66C48"/>
    <w:rsid w:val="00D75B62"/>
    <w:rsid w:val="00D75DD9"/>
    <w:rsid w:val="00D80D77"/>
    <w:rsid w:val="00D81C3B"/>
    <w:rsid w:val="00D877B6"/>
    <w:rsid w:val="00D92579"/>
    <w:rsid w:val="00D94AED"/>
    <w:rsid w:val="00D94C6E"/>
    <w:rsid w:val="00D95956"/>
    <w:rsid w:val="00DA6723"/>
    <w:rsid w:val="00DB0F9A"/>
    <w:rsid w:val="00DB6E3A"/>
    <w:rsid w:val="00DB7AAD"/>
    <w:rsid w:val="00DC3BC8"/>
    <w:rsid w:val="00DC67CF"/>
    <w:rsid w:val="00DD0C19"/>
    <w:rsid w:val="00DD34C3"/>
    <w:rsid w:val="00DD50CE"/>
    <w:rsid w:val="00DD5999"/>
    <w:rsid w:val="00DD6B68"/>
    <w:rsid w:val="00DE6FA9"/>
    <w:rsid w:val="00DF2D01"/>
    <w:rsid w:val="00DF59C2"/>
    <w:rsid w:val="00E01170"/>
    <w:rsid w:val="00E063C7"/>
    <w:rsid w:val="00E156B8"/>
    <w:rsid w:val="00E37252"/>
    <w:rsid w:val="00E45871"/>
    <w:rsid w:val="00E46725"/>
    <w:rsid w:val="00E47EE2"/>
    <w:rsid w:val="00E50425"/>
    <w:rsid w:val="00E51973"/>
    <w:rsid w:val="00E61CAA"/>
    <w:rsid w:val="00E6427E"/>
    <w:rsid w:val="00E64406"/>
    <w:rsid w:val="00E67EFE"/>
    <w:rsid w:val="00E713DF"/>
    <w:rsid w:val="00E809E7"/>
    <w:rsid w:val="00E85FB0"/>
    <w:rsid w:val="00E86ACB"/>
    <w:rsid w:val="00E91854"/>
    <w:rsid w:val="00EA4701"/>
    <w:rsid w:val="00EA50C8"/>
    <w:rsid w:val="00EB02D1"/>
    <w:rsid w:val="00EB1A04"/>
    <w:rsid w:val="00EB526D"/>
    <w:rsid w:val="00EB52BF"/>
    <w:rsid w:val="00EB721C"/>
    <w:rsid w:val="00EC27FD"/>
    <w:rsid w:val="00EC4E36"/>
    <w:rsid w:val="00EC558F"/>
    <w:rsid w:val="00EC5910"/>
    <w:rsid w:val="00ED04F3"/>
    <w:rsid w:val="00EE0E5A"/>
    <w:rsid w:val="00EE3198"/>
    <w:rsid w:val="00EE3548"/>
    <w:rsid w:val="00EE450D"/>
    <w:rsid w:val="00EF305D"/>
    <w:rsid w:val="00F04990"/>
    <w:rsid w:val="00F10868"/>
    <w:rsid w:val="00F10DB0"/>
    <w:rsid w:val="00F11C02"/>
    <w:rsid w:val="00F12E4E"/>
    <w:rsid w:val="00F1340E"/>
    <w:rsid w:val="00F303F0"/>
    <w:rsid w:val="00F34ED3"/>
    <w:rsid w:val="00F37AAD"/>
    <w:rsid w:val="00F41EFC"/>
    <w:rsid w:val="00F42B33"/>
    <w:rsid w:val="00F430F7"/>
    <w:rsid w:val="00F5217C"/>
    <w:rsid w:val="00F577B3"/>
    <w:rsid w:val="00F578EC"/>
    <w:rsid w:val="00F66B84"/>
    <w:rsid w:val="00F773E6"/>
    <w:rsid w:val="00F942C5"/>
    <w:rsid w:val="00F951C2"/>
    <w:rsid w:val="00F95434"/>
    <w:rsid w:val="00FA2AFC"/>
    <w:rsid w:val="00FB1FC5"/>
    <w:rsid w:val="00FB601C"/>
    <w:rsid w:val="00FD0B89"/>
    <w:rsid w:val="00FD0FC5"/>
    <w:rsid w:val="00FD1F40"/>
    <w:rsid w:val="00FE0DD3"/>
    <w:rsid w:val="00FF29C0"/>
    <w:rsid w:val="00FF525A"/>
    <w:rsid w:val="00FF5F4E"/>
    <w:rsid w:val="00FF6441"/>
    <w:rsid w:val="00FF69ED"/>
    <w:rsid w:val="00FF79D2"/>
    <w:rsid w:val="0249851A"/>
    <w:rsid w:val="02714052"/>
    <w:rsid w:val="02B5526D"/>
    <w:rsid w:val="05B197E8"/>
    <w:rsid w:val="0867B707"/>
    <w:rsid w:val="0901FB65"/>
    <w:rsid w:val="0A73C2A1"/>
    <w:rsid w:val="0E38740F"/>
    <w:rsid w:val="0F4337B5"/>
    <w:rsid w:val="0FACBE05"/>
    <w:rsid w:val="10004B2F"/>
    <w:rsid w:val="1053C40A"/>
    <w:rsid w:val="1096A5B4"/>
    <w:rsid w:val="11032267"/>
    <w:rsid w:val="127249D7"/>
    <w:rsid w:val="1282932C"/>
    <w:rsid w:val="149A6A78"/>
    <w:rsid w:val="153A594A"/>
    <w:rsid w:val="1551A08A"/>
    <w:rsid w:val="1554B8BE"/>
    <w:rsid w:val="163F3ECE"/>
    <w:rsid w:val="1659B6D9"/>
    <w:rsid w:val="166DAEB0"/>
    <w:rsid w:val="18CB81BC"/>
    <w:rsid w:val="1A15B7F3"/>
    <w:rsid w:val="1A1F4808"/>
    <w:rsid w:val="1A37A3D7"/>
    <w:rsid w:val="1C5172D2"/>
    <w:rsid w:val="1DFCEE07"/>
    <w:rsid w:val="1EFE0A4D"/>
    <w:rsid w:val="1FBF0D47"/>
    <w:rsid w:val="1FFF70AF"/>
    <w:rsid w:val="2050D3C9"/>
    <w:rsid w:val="20A6F749"/>
    <w:rsid w:val="2150B756"/>
    <w:rsid w:val="22998550"/>
    <w:rsid w:val="24814E2B"/>
    <w:rsid w:val="25375A12"/>
    <w:rsid w:val="25E6973E"/>
    <w:rsid w:val="26219788"/>
    <w:rsid w:val="2639F59C"/>
    <w:rsid w:val="283FAB05"/>
    <w:rsid w:val="29E802F0"/>
    <w:rsid w:val="2A37FB88"/>
    <w:rsid w:val="2A5137F2"/>
    <w:rsid w:val="2A51FEEE"/>
    <w:rsid w:val="2ABB72D1"/>
    <w:rsid w:val="2B98824B"/>
    <w:rsid w:val="2C11DD04"/>
    <w:rsid w:val="2C520099"/>
    <w:rsid w:val="2CAD8DC1"/>
    <w:rsid w:val="2CB1D5AE"/>
    <w:rsid w:val="2D0F2019"/>
    <w:rsid w:val="2D995447"/>
    <w:rsid w:val="2ED4DDCD"/>
    <w:rsid w:val="2FD296C3"/>
    <w:rsid w:val="2FF3C0DB"/>
    <w:rsid w:val="301137E0"/>
    <w:rsid w:val="30133119"/>
    <w:rsid w:val="30621459"/>
    <w:rsid w:val="30DF49D8"/>
    <w:rsid w:val="31D98059"/>
    <w:rsid w:val="32FEA995"/>
    <w:rsid w:val="331A26C6"/>
    <w:rsid w:val="33F8D4BF"/>
    <w:rsid w:val="34996B2E"/>
    <w:rsid w:val="35156060"/>
    <w:rsid w:val="351CB5CE"/>
    <w:rsid w:val="3552D594"/>
    <w:rsid w:val="35CE632C"/>
    <w:rsid w:val="364928FA"/>
    <w:rsid w:val="374D125F"/>
    <w:rsid w:val="37C292A5"/>
    <w:rsid w:val="37C469E0"/>
    <w:rsid w:val="38948EAD"/>
    <w:rsid w:val="38C6D9EB"/>
    <w:rsid w:val="39F1C20E"/>
    <w:rsid w:val="3A305F0E"/>
    <w:rsid w:val="3AACB875"/>
    <w:rsid w:val="3BA12F86"/>
    <w:rsid w:val="3C05485C"/>
    <w:rsid w:val="3D67FFD0"/>
    <w:rsid w:val="3E543ADF"/>
    <w:rsid w:val="3EBCEC37"/>
    <w:rsid w:val="3FEF5B82"/>
    <w:rsid w:val="430E83A5"/>
    <w:rsid w:val="4311234E"/>
    <w:rsid w:val="43C3EB61"/>
    <w:rsid w:val="441B12BF"/>
    <w:rsid w:val="456614B6"/>
    <w:rsid w:val="4678511F"/>
    <w:rsid w:val="471A9D3A"/>
    <w:rsid w:val="47E1F4C8"/>
    <w:rsid w:val="482F6FBA"/>
    <w:rsid w:val="48975C84"/>
    <w:rsid w:val="4A45A144"/>
    <w:rsid w:val="4B735EB8"/>
    <w:rsid w:val="4C7CF438"/>
    <w:rsid w:val="4E1B5BE2"/>
    <w:rsid w:val="4F8A420D"/>
    <w:rsid w:val="50421976"/>
    <w:rsid w:val="522EC960"/>
    <w:rsid w:val="527319DF"/>
    <w:rsid w:val="527C9A01"/>
    <w:rsid w:val="535A5E66"/>
    <w:rsid w:val="557975F9"/>
    <w:rsid w:val="5838B963"/>
    <w:rsid w:val="5876981A"/>
    <w:rsid w:val="58EBDB85"/>
    <w:rsid w:val="59B04CF5"/>
    <w:rsid w:val="59ED51DA"/>
    <w:rsid w:val="5A37E307"/>
    <w:rsid w:val="5B37A6DA"/>
    <w:rsid w:val="5C561962"/>
    <w:rsid w:val="5CADBE68"/>
    <w:rsid w:val="5DA072C2"/>
    <w:rsid w:val="5DF198A6"/>
    <w:rsid w:val="5EF3686B"/>
    <w:rsid w:val="5F2425F6"/>
    <w:rsid w:val="60639C0E"/>
    <w:rsid w:val="60D444EB"/>
    <w:rsid w:val="631F0DE9"/>
    <w:rsid w:val="6616BA82"/>
    <w:rsid w:val="676F3E24"/>
    <w:rsid w:val="677EA78D"/>
    <w:rsid w:val="67B3552C"/>
    <w:rsid w:val="692B97A7"/>
    <w:rsid w:val="69480CE8"/>
    <w:rsid w:val="6AB6BEE2"/>
    <w:rsid w:val="6BB215B7"/>
    <w:rsid w:val="6C55051C"/>
    <w:rsid w:val="6D7BAC9F"/>
    <w:rsid w:val="6E35FC96"/>
    <w:rsid w:val="6E98AE6E"/>
    <w:rsid w:val="6EE21C92"/>
    <w:rsid w:val="7193EE3A"/>
    <w:rsid w:val="71D0D7CC"/>
    <w:rsid w:val="7415E68B"/>
    <w:rsid w:val="74EB475E"/>
    <w:rsid w:val="7597780E"/>
    <w:rsid w:val="77223F6E"/>
    <w:rsid w:val="7766D1B6"/>
    <w:rsid w:val="77A86AFE"/>
    <w:rsid w:val="78B5A412"/>
    <w:rsid w:val="7905E44D"/>
    <w:rsid w:val="79E68CFD"/>
    <w:rsid w:val="7A0CB4CA"/>
    <w:rsid w:val="7AA2B8A3"/>
    <w:rsid w:val="7C609D3B"/>
    <w:rsid w:val="7C78DFD9"/>
    <w:rsid w:val="7C985232"/>
    <w:rsid w:val="7CA0E52D"/>
    <w:rsid w:val="7DF9E8FD"/>
    <w:rsid w:val="7EBFC943"/>
    <w:rsid w:val="7F1E74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C382"/>
  <w15:chartTrackingRefBased/>
  <w15:docId w15:val="{05664300-435A-4B51-8FA1-53FBD3D5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467529"/>
    <w:pPr>
      <w:keepNext/>
      <w:keepLines/>
      <w:spacing w:before="220" w:after="40"/>
      <w:outlineLvl w:val="4"/>
    </w:pPr>
    <w:rPr>
      <w:rFonts w:ascii="Calibri" w:eastAsia="Calibri" w:hAnsi="Calibri" w:cs="Calibri"/>
      <w:b/>
      <w:kern w:val="0"/>
      <w:lang w:val="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1066"/>
    <w:rPr>
      <w:sz w:val="16"/>
      <w:szCs w:val="16"/>
    </w:rPr>
  </w:style>
  <w:style w:type="paragraph" w:styleId="CommentText">
    <w:name w:val="annotation text"/>
    <w:basedOn w:val="Normal"/>
    <w:link w:val="CommentTextChar"/>
    <w:uiPriority w:val="99"/>
    <w:unhideWhenUsed/>
    <w:rsid w:val="00D61066"/>
    <w:pPr>
      <w:spacing w:line="240" w:lineRule="auto"/>
    </w:pPr>
    <w:rPr>
      <w:sz w:val="20"/>
      <w:szCs w:val="20"/>
    </w:rPr>
  </w:style>
  <w:style w:type="character" w:customStyle="1" w:styleId="CommentTextChar">
    <w:name w:val="Comment Text Char"/>
    <w:basedOn w:val="DefaultParagraphFont"/>
    <w:link w:val="CommentText"/>
    <w:uiPriority w:val="99"/>
    <w:rsid w:val="00D61066"/>
    <w:rPr>
      <w:sz w:val="20"/>
      <w:szCs w:val="20"/>
    </w:rPr>
  </w:style>
  <w:style w:type="paragraph" w:styleId="CommentSubject">
    <w:name w:val="annotation subject"/>
    <w:basedOn w:val="CommentText"/>
    <w:next w:val="CommentText"/>
    <w:link w:val="CommentSubjectChar"/>
    <w:uiPriority w:val="99"/>
    <w:semiHidden/>
    <w:unhideWhenUsed/>
    <w:rsid w:val="00D61066"/>
    <w:rPr>
      <w:b/>
      <w:bCs/>
    </w:rPr>
  </w:style>
  <w:style w:type="character" w:customStyle="1" w:styleId="CommentSubjectChar">
    <w:name w:val="Comment Subject Char"/>
    <w:basedOn w:val="CommentTextChar"/>
    <w:link w:val="CommentSubject"/>
    <w:uiPriority w:val="99"/>
    <w:semiHidden/>
    <w:rsid w:val="00D61066"/>
    <w:rPr>
      <w:b/>
      <w:bCs/>
      <w:sz w:val="20"/>
      <w:szCs w:val="20"/>
    </w:rPr>
  </w:style>
  <w:style w:type="paragraph" w:styleId="ListBullet">
    <w:name w:val="List Bullet"/>
    <w:basedOn w:val="Normal"/>
    <w:uiPriority w:val="99"/>
    <w:unhideWhenUsed/>
    <w:rsid w:val="006863ED"/>
    <w:pPr>
      <w:contextualSpacing/>
    </w:pPr>
  </w:style>
  <w:style w:type="table" w:styleId="TableGrid">
    <w:name w:val="Table Grid"/>
    <w:basedOn w:val="TableNormal"/>
    <w:uiPriority w:val="39"/>
    <w:rsid w:val="0024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0663"/>
    <w:pPr>
      <w:spacing w:after="0" w:line="240" w:lineRule="auto"/>
    </w:pPr>
  </w:style>
  <w:style w:type="paragraph" w:styleId="ListParagraph">
    <w:name w:val="List Paragraph"/>
    <w:basedOn w:val="Normal"/>
    <w:uiPriority w:val="34"/>
    <w:qFormat/>
    <w:rsid w:val="0012512B"/>
    <w:pPr>
      <w:ind w:left="720"/>
      <w:contextualSpacing/>
    </w:pPr>
  </w:style>
  <w:style w:type="paragraph" w:styleId="Header">
    <w:name w:val="header"/>
    <w:basedOn w:val="Normal"/>
    <w:link w:val="HeaderChar"/>
    <w:uiPriority w:val="99"/>
    <w:unhideWhenUsed/>
    <w:rsid w:val="0036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4A0"/>
  </w:style>
  <w:style w:type="paragraph" w:styleId="Footer">
    <w:name w:val="footer"/>
    <w:basedOn w:val="Normal"/>
    <w:link w:val="FooterChar"/>
    <w:uiPriority w:val="99"/>
    <w:unhideWhenUsed/>
    <w:rsid w:val="0036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4A0"/>
  </w:style>
  <w:style w:type="character" w:customStyle="1" w:styleId="Heading5Char">
    <w:name w:val="Heading 5 Char"/>
    <w:basedOn w:val="DefaultParagraphFont"/>
    <w:link w:val="Heading5"/>
    <w:rsid w:val="00467529"/>
    <w:rPr>
      <w:rFonts w:ascii="Calibri" w:eastAsia="Calibri" w:hAnsi="Calibri" w:cs="Calibri"/>
      <w:b/>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dlc_EmailFrom xmlns="01f5ea41-7e48-4e68-91b3-675ca7359689" xsi:nil="true"/>
    <k85d23755b3a46b5a51451cf336b2e9b xmlns="662745e8-e224-48e8-a2e3-254862b8c2f5">
      <Terms xmlns="http://schemas.microsoft.com/office/infopath/2007/PartnerControls"/>
    </k85d23755b3a46b5a51451cf336b2e9b>
    <dlc_EmailReceivedUTC xmlns="01f5ea41-7e48-4e68-91b3-675ca7359689" xsi:nil="true"/>
    <dlc_EmailSentUTC xmlns="01f5ea41-7e48-4e68-91b3-675ca7359689" xsi:nil="true"/>
    <dlc_EmailTo xmlns="01f5ea41-7e48-4e68-91b3-675ca7359689" xsi:nil="true"/>
    <Topic xmlns="662745e8-e224-48e8-a2e3-254862b8c2f5">International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01f5ea41-7e48-4e68-91b3-675ca7359689" xsi:nil="true"/>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299E21EBF62F448DC83FD420F9676A" ma:contentTypeVersion="45" ma:contentTypeDescription="new Document or upload" ma:contentTypeScope="" ma:versionID="903b63272e97da203f2fcd690aac49ef">
  <xsd:schema xmlns:xsd="http://www.w3.org/2001/XMLSchema" xmlns:xs="http://www.w3.org/2001/XMLSchema" xmlns:p="http://schemas.microsoft.com/office/2006/metadata/properties" xmlns:ns2="01f5ea41-7e48-4e68-91b3-675ca7359689" xmlns:ns3="662745e8-e224-48e8-a2e3-254862b8c2f5" xmlns:ns4="c1484481-a663-41ff-ae1f-a8f48ff0cf2e" targetNamespace="http://schemas.microsoft.com/office/2006/metadata/properties" ma:root="true" ma:fieldsID="c92c2f4c74fde64eabd0baa5ac464dd2" ns2:_="" ns3:_="" ns4:_="">
    <xsd:import namespace="01f5ea41-7e48-4e68-91b3-675ca7359689"/>
    <xsd:import namespace="662745e8-e224-48e8-a2e3-254862b8c2f5"/>
    <xsd:import namespace="c1484481-a663-41ff-ae1f-a8f48ff0cf2e"/>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4:MediaServiceMetadata" minOccurs="0"/>
                <xsd:element ref="ns4:MediaServiceFastMetadata" minOccurs="0"/>
                <xsd:element ref="ns4:MediaServiceAutoKeyPoints" minOccurs="0"/>
                <xsd:element ref="ns4:MediaServiceKeyPoints" minOccurs="0"/>
                <xsd:element ref="ns2:peb8f3fab875401ca34a9f28cac46400" minOccurs="0"/>
                <xsd:element ref="ns3:TaxCatchAll" minOccurs="0"/>
                <xsd:element ref="ns2:bcb1675984d34ae3a1ed6b6e433c98de" minOccurs="0"/>
                <xsd:element ref="ns3:lae2bfa7b6474897ab4a53f76ea236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32"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4"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default="Fisheries and Conservation" ma:internalName="Team">
      <xsd:simpleType>
        <xsd:restriction base="dms:Text"/>
      </xsd:simpleType>
    </xsd:element>
    <xsd:element name="Topic" ma:index="16" nillable="true" ma:displayName="Topic" ma:default="International"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5"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84481-a663-41ff-ae1f-a8f48ff0cf2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F635C86-39F8-40ED-B99E-E0B067C93FBD}">
  <ds:schemaRefs>
    <ds:schemaRef ds:uri="http://schemas.microsoft.com/sharepoint/v3/contenttype/forms"/>
  </ds:schemaRefs>
</ds:datastoreItem>
</file>

<file path=customXml/itemProps2.xml><?xml version="1.0" encoding="utf-8"?>
<ds:datastoreItem xmlns:ds="http://schemas.openxmlformats.org/officeDocument/2006/customXml" ds:itemID="{69DA04BD-35B5-4028-9B76-715326322FF3}">
  <ds:schemaRefs>
    <ds:schemaRef ds:uri="http://schemas.openxmlformats.org/officeDocument/2006/bibliography"/>
  </ds:schemaRefs>
</ds:datastoreItem>
</file>

<file path=customXml/itemProps3.xml><?xml version="1.0" encoding="utf-8"?>
<ds:datastoreItem xmlns:ds="http://schemas.openxmlformats.org/officeDocument/2006/customXml" ds:itemID="{CB649BBF-3909-4AC9-BF4C-951C09C21CE4}">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4.xml><?xml version="1.0" encoding="utf-8"?>
<ds:datastoreItem xmlns:ds="http://schemas.openxmlformats.org/officeDocument/2006/customXml" ds:itemID="{651FCFD5-8934-4C3F-8F1B-16AE9D6F0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5ea41-7e48-4e68-91b3-675ca7359689"/>
    <ds:schemaRef ds:uri="662745e8-e224-48e8-a2e3-254862b8c2f5"/>
    <ds:schemaRef ds:uri="c1484481-a663-41ff-ae1f-a8f48ff0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200652-833D-47DB-B232-F1B2F5F40A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Marc</dc:creator>
  <cp:keywords/>
  <dc:description/>
  <cp:lastModifiedBy>auteur</cp:lastModifiedBy>
  <cp:revision>15</cp:revision>
  <dcterms:created xsi:type="dcterms:W3CDTF">2023-10-20T08:05:00Z</dcterms:created>
  <dcterms:modified xsi:type="dcterms:W3CDTF">2023-12-15T08:31:00Z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0x010100A5BF1C78D9F64B679A5EBDE1C6598EBC010054299E21EBF62F448DC83FD420F9676A</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OrganisationalUnit">
    <vt:lpwstr>8;#Core Defra|026223dd-2e56-4615-868d-7c5bfd566810</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SecurityClassification">
    <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MediaServiceImageTags">
    <vt:lpwstr/>
  </property>
  <property fmtid="{D5CDD505-2E9C-101B-9397-08002B2CF9AE}" pid="12" name="lcf76f155ced4ddcb4097134ff3c332f">
    <vt:lpwstr/>
  </property>
</Properties>
</file>