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55E3" w:rsidRPr="0005629E" w:rsidRDefault="002605A2" w:rsidP="003A7880">
      <w:pPr>
        <w:widowControl w:val="0"/>
        <w:pBdr>
          <w:top w:val="double" w:sz="4" w:space="1" w:color="000000"/>
          <w:left w:val="double" w:sz="4" w:space="4" w:color="000000"/>
          <w:bottom w:val="double" w:sz="4" w:space="1" w:color="000000"/>
          <w:right w:val="double" w:sz="4" w:space="4" w:color="000000"/>
        </w:pBdr>
        <w:spacing w:after="0"/>
        <w:ind w:left="8222" w:hanging="8222"/>
        <w:jc w:val="center"/>
        <w:rPr>
          <w:rFonts w:ascii="Cambria" w:eastAsia="Cambria" w:hAnsi="Cambria" w:cs="Cambria"/>
          <w:b/>
          <w:sz w:val="20"/>
          <w:szCs w:val="20"/>
        </w:rPr>
      </w:pPr>
      <w:r w:rsidRPr="0005629E">
        <w:rPr>
          <w:rFonts w:ascii="Cambria" w:eastAsia="Cambria" w:hAnsi="Cambria" w:cs="Cambria"/>
          <w:b/>
          <w:sz w:val="20"/>
          <w:szCs w:val="20"/>
        </w:rPr>
        <w:t>23-06</w:t>
      </w:r>
      <w:r w:rsidRPr="0005629E">
        <w:rPr>
          <w:rFonts w:ascii="Cambria" w:eastAsia="Cambria" w:hAnsi="Cambria" w:cs="Cambria"/>
          <w:b/>
          <w:sz w:val="20"/>
          <w:szCs w:val="20"/>
        </w:rPr>
        <w:tab/>
        <w:t xml:space="preserve">        BFT</w:t>
      </w:r>
    </w:p>
    <w:p w14:paraId="00000002" w14:textId="77777777" w:rsidR="00D555E3" w:rsidRPr="0005629E" w:rsidRDefault="002605A2" w:rsidP="003A7880">
      <w:pPr>
        <w:widowControl w:val="0"/>
        <w:pBdr>
          <w:top w:val="double" w:sz="4" w:space="1" w:color="000000"/>
          <w:left w:val="double" w:sz="4" w:space="4" w:color="000000"/>
          <w:bottom w:val="double" w:sz="4" w:space="1" w:color="000000"/>
          <w:right w:val="double" w:sz="4" w:space="4" w:color="000000"/>
        </w:pBdr>
        <w:spacing w:after="0"/>
        <w:ind w:left="8222" w:hanging="8222"/>
        <w:jc w:val="center"/>
        <w:rPr>
          <w:rFonts w:ascii="Cambria" w:eastAsia="Cambria" w:hAnsi="Cambria" w:cs="Cambria"/>
          <w:b/>
          <w:sz w:val="20"/>
          <w:szCs w:val="20"/>
        </w:rPr>
      </w:pPr>
      <w:r w:rsidRPr="0005629E">
        <w:rPr>
          <w:rFonts w:ascii="Cambria" w:eastAsia="Cambria" w:hAnsi="Cambria" w:cs="Cambria"/>
          <w:b/>
          <w:sz w:val="20"/>
          <w:szCs w:val="20"/>
        </w:rPr>
        <w:t>RECOMMENDATION BY ICCAT AMENDING THE RECOMMENDATION 22-08</w:t>
      </w:r>
    </w:p>
    <w:p w14:paraId="00000003" w14:textId="77777777" w:rsidR="00D555E3" w:rsidRPr="0005629E" w:rsidRDefault="002605A2" w:rsidP="003A7880">
      <w:pPr>
        <w:widowControl w:val="0"/>
        <w:pBdr>
          <w:top w:val="double" w:sz="4" w:space="1" w:color="000000"/>
          <w:left w:val="double" w:sz="4" w:space="4" w:color="000000"/>
          <w:bottom w:val="double" w:sz="4" w:space="1" w:color="000000"/>
          <w:right w:val="double" w:sz="4" w:space="4" w:color="000000"/>
        </w:pBdr>
        <w:spacing w:after="0"/>
        <w:ind w:left="8222" w:hanging="8222"/>
        <w:jc w:val="center"/>
        <w:rPr>
          <w:rFonts w:ascii="Cambria" w:eastAsia="Cambria" w:hAnsi="Cambria" w:cs="Cambria"/>
          <w:b/>
          <w:sz w:val="20"/>
          <w:szCs w:val="20"/>
        </w:rPr>
      </w:pPr>
      <w:r w:rsidRPr="0005629E">
        <w:rPr>
          <w:rFonts w:ascii="Cambria" w:eastAsia="Cambria" w:hAnsi="Cambria" w:cs="Cambria"/>
          <w:b/>
          <w:sz w:val="20"/>
          <w:szCs w:val="20"/>
        </w:rPr>
        <w:t>ESTABLISHING A MULTI-ANNUAL MANAGEMENT PLAN FOR BLUEFIN TUNA IN THE</w:t>
      </w:r>
    </w:p>
    <w:p w14:paraId="00000004" w14:textId="77777777" w:rsidR="00D555E3" w:rsidRPr="0005629E" w:rsidRDefault="002605A2" w:rsidP="003A7880">
      <w:pPr>
        <w:widowControl w:val="0"/>
        <w:pBdr>
          <w:top w:val="double" w:sz="4" w:space="1" w:color="000000"/>
          <w:left w:val="double" w:sz="4" w:space="4" w:color="000000"/>
          <w:bottom w:val="double" w:sz="4" w:space="1" w:color="000000"/>
          <w:right w:val="double" w:sz="4" w:space="4" w:color="000000"/>
        </w:pBdr>
        <w:spacing w:after="0"/>
        <w:ind w:left="8222" w:hanging="8222"/>
        <w:jc w:val="center"/>
        <w:rPr>
          <w:rFonts w:ascii="Cambria" w:eastAsia="Cambria" w:hAnsi="Cambria" w:cs="Cambria"/>
          <w:b/>
          <w:sz w:val="20"/>
          <w:szCs w:val="20"/>
        </w:rPr>
      </w:pPr>
      <w:r w:rsidRPr="0005629E">
        <w:rPr>
          <w:rFonts w:ascii="Cambria" w:eastAsia="Cambria" w:hAnsi="Cambria" w:cs="Cambria"/>
          <w:b/>
          <w:sz w:val="20"/>
          <w:szCs w:val="20"/>
        </w:rPr>
        <w:t>EASTERN ATLANTIC AND THE MEDITERRANEAN</w:t>
      </w:r>
    </w:p>
    <w:p w14:paraId="00000005" w14:textId="77777777" w:rsidR="00D555E3" w:rsidRPr="0005629E" w:rsidRDefault="00D555E3">
      <w:pPr>
        <w:spacing w:after="0" w:line="240" w:lineRule="auto"/>
        <w:jc w:val="center"/>
        <w:rPr>
          <w:rFonts w:ascii="Cambria" w:eastAsia="Cambria" w:hAnsi="Cambria" w:cs="Cambria"/>
          <w:b/>
          <w:sz w:val="20"/>
          <w:szCs w:val="20"/>
        </w:rPr>
      </w:pPr>
    </w:p>
    <w:p w14:paraId="00000006" w14:textId="77777777" w:rsidR="00D555E3" w:rsidRPr="0005629E" w:rsidRDefault="00D555E3">
      <w:pPr>
        <w:spacing w:after="0" w:line="240" w:lineRule="auto"/>
        <w:jc w:val="center"/>
        <w:rPr>
          <w:rFonts w:ascii="Cambria" w:eastAsia="Cambria" w:hAnsi="Cambria" w:cs="Cambria"/>
          <w:b/>
          <w:sz w:val="20"/>
          <w:szCs w:val="20"/>
        </w:rPr>
      </w:pPr>
    </w:p>
    <w:p w14:paraId="00000007" w14:textId="77777777" w:rsidR="00D555E3" w:rsidRPr="0005629E" w:rsidRDefault="002605A2">
      <w:pPr>
        <w:spacing w:after="0" w:line="240" w:lineRule="auto"/>
        <w:ind w:firstLine="426"/>
        <w:jc w:val="both"/>
        <w:rPr>
          <w:rFonts w:ascii="Cambria" w:eastAsia="Cambria" w:hAnsi="Cambria" w:cs="Cambria"/>
          <w:sz w:val="20"/>
          <w:szCs w:val="20"/>
        </w:rPr>
      </w:pPr>
      <w:r w:rsidRPr="0005629E">
        <w:rPr>
          <w:rFonts w:ascii="Cambria" w:eastAsia="Cambria" w:hAnsi="Cambria" w:cs="Cambria"/>
          <w:i/>
          <w:sz w:val="20"/>
          <w:szCs w:val="20"/>
        </w:rPr>
        <w:t>RECOGNIZING</w:t>
      </w:r>
      <w:r w:rsidRPr="0005629E">
        <w:rPr>
          <w:rFonts w:ascii="Cambria" w:eastAsia="Cambria" w:hAnsi="Cambria" w:cs="Cambria"/>
          <w:sz w:val="20"/>
          <w:szCs w:val="20"/>
        </w:rPr>
        <w:t xml:space="preserve"> that </w:t>
      </w:r>
      <w:r w:rsidRPr="0005629E">
        <w:rPr>
          <w:rFonts w:ascii="Cambria" w:eastAsia="Cambria" w:hAnsi="Cambria" w:cs="Cambria"/>
          <w:i/>
          <w:sz w:val="20"/>
          <w:szCs w:val="20"/>
        </w:rPr>
        <w:t xml:space="preserve">Recommendation by ICCAT amending the Recommendation 21-08 establishing a Multi-annual Management Plan for Bluefin Tuna in the Eastern Atlantic and the Mediterranean </w:t>
      </w:r>
      <w:r w:rsidRPr="0005629E">
        <w:rPr>
          <w:rFonts w:ascii="Cambria" w:eastAsia="Cambria" w:hAnsi="Cambria" w:cs="Cambria"/>
          <w:sz w:val="20"/>
          <w:szCs w:val="20"/>
        </w:rPr>
        <w:t xml:space="preserve">(Rec. 22-08) has some ambiguities and errors, which require clarifications or </w:t>
      </w:r>
      <w:proofErr w:type="gramStart"/>
      <w:r w:rsidRPr="0005629E">
        <w:rPr>
          <w:rFonts w:ascii="Cambria" w:eastAsia="Cambria" w:hAnsi="Cambria" w:cs="Cambria"/>
          <w:sz w:val="20"/>
          <w:szCs w:val="20"/>
        </w:rPr>
        <w:t>corrections;</w:t>
      </w:r>
      <w:proofErr w:type="gramEnd"/>
    </w:p>
    <w:p w14:paraId="00000008" w14:textId="77777777" w:rsidR="00D555E3" w:rsidRPr="0005629E" w:rsidRDefault="00D555E3">
      <w:pPr>
        <w:spacing w:after="0" w:line="240" w:lineRule="auto"/>
        <w:jc w:val="both"/>
        <w:rPr>
          <w:rFonts w:ascii="Cambria" w:eastAsia="Cambria" w:hAnsi="Cambria" w:cs="Cambria"/>
          <w:sz w:val="20"/>
          <w:szCs w:val="20"/>
        </w:rPr>
      </w:pPr>
    </w:p>
    <w:p w14:paraId="00000009" w14:textId="77777777" w:rsidR="00D555E3" w:rsidRPr="0005629E" w:rsidRDefault="002605A2">
      <w:pPr>
        <w:spacing w:after="0" w:line="240" w:lineRule="auto"/>
        <w:ind w:firstLine="426"/>
        <w:jc w:val="both"/>
        <w:rPr>
          <w:rFonts w:ascii="Cambria" w:eastAsia="Cambria" w:hAnsi="Cambria" w:cs="Cambria"/>
          <w:sz w:val="20"/>
          <w:szCs w:val="20"/>
        </w:rPr>
      </w:pPr>
      <w:r w:rsidRPr="0005629E">
        <w:rPr>
          <w:rFonts w:ascii="Cambria" w:eastAsia="Cambria" w:hAnsi="Cambria" w:cs="Cambria"/>
          <w:i/>
          <w:sz w:val="20"/>
          <w:szCs w:val="20"/>
        </w:rPr>
        <w:t>NOTING</w:t>
      </w:r>
      <w:r w:rsidRPr="0005629E">
        <w:rPr>
          <w:rFonts w:ascii="Cambria" w:eastAsia="Cambria" w:hAnsi="Cambria" w:cs="Cambria"/>
          <w:sz w:val="20"/>
          <w:szCs w:val="20"/>
        </w:rPr>
        <w:t xml:space="preserve"> that the Intersessional Meeting of Panel 2 in March 2023 agreed that several Annexes of Rec. 22-08 required an </w:t>
      </w:r>
      <w:proofErr w:type="gramStart"/>
      <w:r w:rsidRPr="0005629E">
        <w:rPr>
          <w:rFonts w:ascii="Cambria" w:eastAsia="Cambria" w:hAnsi="Cambria" w:cs="Cambria"/>
          <w:sz w:val="20"/>
          <w:szCs w:val="20"/>
        </w:rPr>
        <w:t>amendment;</w:t>
      </w:r>
      <w:proofErr w:type="gramEnd"/>
      <w:r w:rsidRPr="0005629E">
        <w:rPr>
          <w:rFonts w:ascii="Cambria" w:eastAsia="Cambria" w:hAnsi="Cambria" w:cs="Cambria"/>
          <w:sz w:val="20"/>
          <w:szCs w:val="20"/>
        </w:rPr>
        <w:t xml:space="preserve"> </w:t>
      </w:r>
    </w:p>
    <w:p w14:paraId="0000000A" w14:textId="77777777" w:rsidR="00D555E3" w:rsidRPr="0005629E" w:rsidRDefault="00D555E3">
      <w:pPr>
        <w:spacing w:after="0" w:line="240" w:lineRule="auto"/>
        <w:jc w:val="both"/>
        <w:rPr>
          <w:rFonts w:ascii="Cambria" w:eastAsia="Cambria" w:hAnsi="Cambria" w:cs="Cambria"/>
          <w:sz w:val="20"/>
          <w:szCs w:val="20"/>
        </w:rPr>
      </w:pPr>
    </w:p>
    <w:p w14:paraId="0000000B" w14:textId="77777777" w:rsidR="00D555E3" w:rsidRPr="0005629E" w:rsidRDefault="002605A2">
      <w:pPr>
        <w:spacing w:after="0" w:line="240" w:lineRule="auto"/>
        <w:ind w:firstLine="426"/>
        <w:jc w:val="both"/>
        <w:rPr>
          <w:rFonts w:ascii="Cambria" w:eastAsia="Cambria" w:hAnsi="Cambria" w:cs="Cambria"/>
          <w:sz w:val="20"/>
          <w:szCs w:val="20"/>
        </w:rPr>
      </w:pPr>
      <w:r w:rsidRPr="0005629E">
        <w:rPr>
          <w:rFonts w:ascii="Cambria" w:eastAsia="Cambria" w:hAnsi="Cambria" w:cs="Cambria"/>
          <w:i/>
          <w:sz w:val="20"/>
          <w:szCs w:val="20"/>
        </w:rPr>
        <w:t>ALSO NOTING</w:t>
      </w:r>
      <w:r w:rsidRPr="0005629E">
        <w:rPr>
          <w:rFonts w:ascii="Cambria" w:eastAsia="Cambria" w:hAnsi="Cambria" w:cs="Cambria"/>
          <w:sz w:val="20"/>
          <w:szCs w:val="20"/>
        </w:rPr>
        <w:t xml:space="preserve"> that the 16th Meeting of the Working Group on Integrated Monitoring Measures (IMM) in June 2023 endorsed “Proposed amendment to Annex 10 of Rec. 22-08” as well as “Modification to </w:t>
      </w:r>
      <w:r w:rsidRPr="0005629E">
        <w:rPr>
          <w:rFonts w:ascii="Cambria" w:eastAsia="Cambria" w:hAnsi="Cambria" w:cs="Cambria"/>
          <w:i/>
          <w:sz w:val="20"/>
          <w:szCs w:val="20"/>
        </w:rPr>
        <w:t>Recommendation by ICCAT amending the Recommendation 21-08 establishing a Multi-annual Management Plan for Bluefin Tuna in the Eastern Atlantic and the Mediterranean</w:t>
      </w:r>
      <w:r w:rsidRPr="0005629E">
        <w:rPr>
          <w:rFonts w:ascii="Cambria" w:eastAsia="Cambria" w:hAnsi="Cambria" w:cs="Cambria"/>
          <w:sz w:val="20"/>
          <w:szCs w:val="20"/>
        </w:rPr>
        <w:t xml:space="preserve"> (Rec. 22-08) - Errors and inconsistencies” and agreed that both would be forwarded to Panel 2 for </w:t>
      </w:r>
      <w:proofErr w:type="gramStart"/>
      <w:r w:rsidRPr="0005629E">
        <w:rPr>
          <w:rFonts w:ascii="Cambria" w:eastAsia="Cambria" w:hAnsi="Cambria" w:cs="Cambria"/>
          <w:sz w:val="20"/>
          <w:szCs w:val="20"/>
        </w:rPr>
        <w:t>consideration;</w:t>
      </w:r>
      <w:proofErr w:type="gramEnd"/>
    </w:p>
    <w:p w14:paraId="0000000C" w14:textId="77777777" w:rsidR="00D555E3" w:rsidRPr="0005629E" w:rsidRDefault="00D555E3">
      <w:pPr>
        <w:spacing w:after="0" w:line="240" w:lineRule="auto"/>
        <w:jc w:val="both"/>
        <w:rPr>
          <w:rFonts w:ascii="Cambria" w:eastAsia="Cambria" w:hAnsi="Cambria" w:cs="Cambria"/>
          <w:sz w:val="20"/>
          <w:szCs w:val="20"/>
        </w:rPr>
      </w:pPr>
    </w:p>
    <w:p w14:paraId="0000000D" w14:textId="77777777" w:rsidR="00D555E3" w:rsidRPr="0005629E" w:rsidRDefault="00D555E3">
      <w:pPr>
        <w:spacing w:after="0" w:line="240" w:lineRule="auto"/>
        <w:jc w:val="both"/>
        <w:rPr>
          <w:rFonts w:ascii="Cambria" w:eastAsia="Cambria" w:hAnsi="Cambria" w:cs="Cambria"/>
          <w:sz w:val="20"/>
          <w:szCs w:val="20"/>
        </w:rPr>
      </w:pPr>
    </w:p>
    <w:p w14:paraId="0000000E" w14:textId="77777777" w:rsidR="00D555E3" w:rsidRPr="0005629E" w:rsidRDefault="002605A2">
      <w:pPr>
        <w:spacing w:after="0" w:line="240" w:lineRule="auto"/>
        <w:jc w:val="center"/>
        <w:rPr>
          <w:rFonts w:ascii="Cambria" w:eastAsia="Cambria" w:hAnsi="Cambria" w:cs="Cambria"/>
          <w:sz w:val="20"/>
          <w:szCs w:val="20"/>
        </w:rPr>
      </w:pPr>
      <w:r w:rsidRPr="0005629E">
        <w:rPr>
          <w:rFonts w:ascii="Cambria" w:eastAsia="Cambria" w:hAnsi="Cambria" w:cs="Cambria"/>
          <w:sz w:val="20"/>
          <w:szCs w:val="20"/>
        </w:rPr>
        <w:t>THE INTERNATIONAL COMMISSION FOR THE CONSERVATION</w:t>
      </w:r>
    </w:p>
    <w:p w14:paraId="0000000F" w14:textId="77777777" w:rsidR="00D555E3" w:rsidRPr="0005629E" w:rsidRDefault="002605A2">
      <w:pPr>
        <w:spacing w:after="0" w:line="240" w:lineRule="auto"/>
        <w:jc w:val="center"/>
        <w:rPr>
          <w:rFonts w:ascii="Cambria" w:eastAsia="Cambria" w:hAnsi="Cambria" w:cs="Cambria"/>
          <w:sz w:val="20"/>
          <w:szCs w:val="20"/>
        </w:rPr>
      </w:pPr>
      <w:r w:rsidRPr="0005629E">
        <w:rPr>
          <w:rFonts w:ascii="Cambria" w:eastAsia="Cambria" w:hAnsi="Cambria" w:cs="Cambria"/>
          <w:sz w:val="20"/>
          <w:szCs w:val="20"/>
        </w:rPr>
        <w:t>OF ATLANTIC TUNAS (ICCAT) RECOMMENDS THAT:</w:t>
      </w:r>
    </w:p>
    <w:p w14:paraId="00000010" w14:textId="77777777" w:rsidR="00D555E3" w:rsidRPr="0005629E" w:rsidRDefault="00D555E3">
      <w:pPr>
        <w:spacing w:after="0" w:line="240" w:lineRule="auto"/>
        <w:jc w:val="both"/>
        <w:rPr>
          <w:rFonts w:ascii="Cambria" w:eastAsia="Cambria" w:hAnsi="Cambria" w:cs="Cambria"/>
          <w:sz w:val="20"/>
          <w:szCs w:val="20"/>
        </w:rPr>
      </w:pPr>
    </w:p>
    <w:p w14:paraId="00000011" w14:textId="77777777" w:rsidR="00D555E3" w:rsidRPr="0005629E" w:rsidRDefault="002605A2">
      <w:pPr>
        <w:spacing w:after="0" w:line="240" w:lineRule="auto"/>
        <w:jc w:val="both"/>
        <w:rPr>
          <w:rFonts w:ascii="Cambria" w:eastAsia="Cambria" w:hAnsi="Cambria" w:cs="Cambria"/>
          <w:sz w:val="20"/>
          <w:szCs w:val="20"/>
        </w:rPr>
      </w:pPr>
      <w:r w:rsidRPr="0005629E">
        <w:rPr>
          <w:rFonts w:ascii="Cambria" w:eastAsia="Cambria" w:hAnsi="Cambria" w:cs="Cambria"/>
          <w:sz w:val="20"/>
          <w:szCs w:val="20"/>
        </w:rPr>
        <w:t>The following amendments shall be made to Rec. 22-08:</w:t>
      </w:r>
    </w:p>
    <w:p w14:paraId="00000012" w14:textId="77777777" w:rsidR="00D555E3" w:rsidRPr="0005629E" w:rsidRDefault="00D555E3">
      <w:pPr>
        <w:spacing w:after="0" w:line="240" w:lineRule="auto"/>
        <w:jc w:val="both"/>
        <w:rPr>
          <w:rFonts w:ascii="Cambria" w:eastAsia="Cambria" w:hAnsi="Cambria" w:cs="Cambria"/>
          <w:sz w:val="20"/>
          <w:szCs w:val="20"/>
        </w:rPr>
      </w:pPr>
    </w:p>
    <w:p w14:paraId="00000013" w14:textId="77777777" w:rsidR="00D555E3" w:rsidRPr="0005629E" w:rsidRDefault="002605A2">
      <w:pPr>
        <w:spacing w:after="0" w:line="240" w:lineRule="auto"/>
        <w:jc w:val="both"/>
        <w:rPr>
          <w:rFonts w:ascii="Cambria" w:eastAsia="Cambria" w:hAnsi="Cambria" w:cs="Cambria"/>
          <w:sz w:val="20"/>
          <w:szCs w:val="20"/>
        </w:rPr>
      </w:pPr>
      <w:r w:rsidRPr="0005629E">
        <w:rPr>
          <w:rFonts w:ascii="Cambria" w:eastAsia="Cambria" w:hAnsi="Cambria" w:cs="Cambria"/>
          <w:sz w:val="20"/>
          <w:szCs w:val="20"/>
        </w:rPr>
        <w:t>Paragraphs 21 and 22 shall be removed.</w:t>
      </w:r>
    </w:p>
    <w:p w14:paraId="00000014" w14:textId="77777777" w:rsidR="00D555E3" w:rsidRPr="0005629E" w:rsidRDefault="00D555E3">
      <w:pPr>
        <w:spacing w:after="0" w:line="240" w:lineRule="auto"/>
        <w:jc w:val="both"/>
        <w:rPr>
          <w:rFonts w:ascii="Cambria" w:eastAsia="Cambria" w:hAnsi="Cambria" w:cs="Cambria"/>
          <w:sz w:val="20"/>
          <w:szCs w:val="20"/>
        </w:rPr>
      </w:pPr>
    </w:p>
    <w:p w14:paraId="00000015" w14:textId="77777777" w:rsidR="00D555E3" w:rsidRPr="0005629E" w:rsidRDefault="002605A2">
      <w:pPr>
        <w:spacing w:after="0" w:line="240" w:lineRule="auto"/>
        <w:jc w:val="both"/>
        <w:rPr>
          <w:rFonts w:ascii="Cambria" w:eastAsia="Cambria" w:hAnsi="Cambria" w:cs="Cambria"/>
          <w:sz w:val="20"/>
          <w:szCs w:val="20"/>
        </w:rPr>
      </w:pPr>
      <w:r w:rsidRPr="0005629E">
        <w:rPr>
          <w:rFonts w:ascii="Cambria" w:eastAsia="Cambria" w:hAnsi="Cambria" w:cs="Cambria"/>
          <w:sz w:val="20"/>
          <w:szCs w:val="20"/>
        </w:rPr>
        <w:t xml:space="preserve">Paragraphs 20, 23 and 24 shall read as follows: </w:t>
      </w:r>
    </w:p>
    <w:p w14:paraId="00000016" w14:textId="77777777" w:rsidR="00D555E3" w:rsidRPr="0005629E" w:rsidRDefault="00D555E3">
      <w:pPr>
        <w:spacing w:after="0" w:line="240" w:lineRule="auto"/>
        <w:jc w:val="both"/>
        <w:rPr>
          <w:rFonts w:ascii="Cambria" w:eastAsia="Cambria" w:hAnsi="Cambria" w:cs="Cambria"/>
          <w:sz w:val="20"/>
          <w:szCs w:val="20"/>
        </w:rPr>
      </w:pPr>
    </w:p>
    <w:p w14:paraId="00000017" w14:textId="77777777" w:rsidR="00D555E3" w:rsidRPr="0005629E" w:rsidRDefault="00D555E3">
      <w:pPr>
        <w:spacing w:after="0" w:line="240" w:lineRule="auto"/>
        <w:jc w:val="both"/>
        <w:rPr>
          <w:rFonts w:ascii="Cambria" w:eastAsia="Cambria" w:hAnsi="Cambria" w:cs="Cambria"/>
          <w:sz w:val="20"/>
          <w:szCs w:val="20"/>
        </w:rPr>
      </w:pPr>
    </w:p>
    <w:p w14:paraId="00000018" w14:textId="77777777" w:rsidR="00D555E3" w:rsidRPr="0005629E" w:rsidRDefault="002605A2">
      <w:pPr>
        <w:spacing w:after="0" w:line="240" w:lineRule="auto"/>
        <w:jc w:val="center"/>
        <w:rPr>
          <w:rFonts w:ascii="Cambria" w:eastAsia="Cambria" w:hAnsi="Cambria" w:cs="Cambria"/>
          <w:b/>
          <w:sz w:val="20"/>
          <w:szCs w:val="20"/>
        </w:rPr>
      </w:pPr>
      <w:r w:rsidRPr="0005629E">
        <w:rPr>
          <w:rFonts w:ascii="Cambria" w:eastAsia="Cambria" w:hAnsi="Cambria" w:cs="Cambria"/>
          <w:b/>
          <w:sz w:val="20"/>
          <w:szCs w:val="20"/>
        </w:rPr>
        <w:t>“Part II:</w:t>
      </w:r>
    </w:p>
    <w:p w14:paraId="00000019" w14:textId="77777777" w:rsidR="00D555E3" w:rsidRPr="0005629E" w:rsidRDefault="002605A2">
      <w:pPr>
        <w:spacing w:after="0" w:line="240" w:lineRule="auto"/>
        <w:jc w:val="center"/>
        <w:rPr>
          <w:rFonts w:ascii="Cambria" w:eastAsia="Cambria" w:hAnsi="Cambria" w:cs="Cambria"/>
          <w:b/>
          <w:sz w:val="20"/>
          <w:szCs w:val="20"/>
        </w:rPr>
      </w:pPr>
      <w:r w:rsidRPr="0005629E">
        <w:rPr>
          <w:rFonts w:ascii="Cambria" w:eastAsia="Cambria" w:hAnsi="Cambria" w:cs="Cambria"/>
          <w:b/>
          <w:sz w:val="20"/>
          <w:szCs w:val="20"/>
        </w:rPr>
        <w:t>Management measures</w:t>
      </w:r>
    </w:p>
    <w:p w14:paraId="0000001A" w14:textId="77777777" w:rsidR="00D555E3" w:rsidRPr="0005629E" w:rsidRDefault="00D555E3">
      <w:pPr>
        <w:spacing w:after="0" w:line="240" w:lineRule="auto"/>
        <w:jc w:val="center"/>
        <w:rPr>
          <w:rFonts w:ascii="Cambria" w:eastAsia="Cambria" w:hAnsi="Cambria" w:cs="Cambria"/>
          <w:b/>
          <w:sz w:val="20"/>
          <w:szCs w:val="20"/>
        </w:rPr>
      </w:pPr>
    </w:p>
    <w:p w14:paraId="0000001B" w14:textId="77777777" w:rsidR="00D555E3" w:rsidRPr="0005629E" w:rsidRDefault="002605A2">
      <w:pPr>
        <w:spacing w:after="0" w:line="240" w:lineRule="auto"/>
        <w:ind w:firstLine="426"/>
        <w:rPr>
          <w:rFonts w:ascii="Cambria" w:eastAsia="Cambria" w:hAnsi="Cambria" w:cs="Cambria"/>
          <w:b/>
          <w:sz w:val="20"/>
          <w:szCs w:val="20"/>
        </w:rPr>
      </w:pPr>
      <w:r w:rsidRPr="0005629E">
        <w:rPr>
          <w:rFonts w:ascii="Cambria" w:eastAsia="Cambria" w:hAnsi="Cambria" w:cs="Cambria"/>
          <w:b/>
          <w:sz w:val="20"/>
          <w:szCs w:val="20"/>
        </w:rPr>
        <w:t xml:space="preserve">Farming capacity </w:t>
      </w:r>
    </w:p>
    <w:p w14:paraId="0000001C" w14:textId="77777777" w:rsidR="00D555E3" w:rsidRPr="0005629E" w:rsidRDefault="00D555E3">
      <w:pPr>
        <w:spacing w:after="0" w:line="240" w:lineRule="auto"/>
        <w:jc w:val="both"/>
        <w:rPr>
          <w:rFonts w:ascii="Cambria" w:eastAsia="Cambria" w:hAnsi="Cambria" w:cs="Cambria"/>
          <w:b/>
          <w:sz w:val="20"/>
          <w:szCs w:val="20"/>
        </w:rPr>
      </w:pPr>
    </w:p>
    <w:p w14:paraId="0000001D" w14:textId="177B727B" w:rsidR="00D555E3" w:rsidRPr="0005629E" w:rsidRDefault="002605A2">
      <w:pPr>
        <w:tabs>
          <w:tab w:val="left" w:pos="851"/>
        </w:tabs>
        <w:spacing w:after="0" w:line="240" w:lineRule="auto"/>
        <w:ind w:left="851" w:hanging="425"/>
        <w:jc w:val="both"/>
        <w:rPr>
          <w:rFonts w:ascii="Cambria" w:eastAsia="Cambria" w:hAnsi="Cambria" w:cs="Cambria"/>
          <w:sz w:val="20"/>
          <w:szCs w:val="20"/>
        </w:rPr>
      </w:pPr>
      <w:bookmarkStart w:id="0" w:name="_heading=h.gjdgxs" w:colFirst="0" w:colLast="0"/>
      <w:bookmarkEnd w:id="0"/>
      <w:r w:rsidRPr="0005629E">
        <w:rPr>
          <w:rFonts w:ascii="Cambria" w:eastAsia="Cambria" w:hAnsi="Cambria" w:cs="Cambria"/>
          <w:sz w:val="20"/>
          <w:szCs w:val="20"/>
        </w:rPr>
        <w:t>20.</w:t>
      </w:r>
      <w:r w:rsidRPr="0005629E">
        <w:rPr>
          <w:rFonts w:ascii="Cambria" w:eastAsia="Cambria" w:hAnsi="Cambria" w:cs="Cambria"/>
          <w:sz w:val="20"/>
          <w:szCs w:val="20"/>
        </w:rPr>
        <w:tab/>
        <w:t>Each farm CPC shall establish an annual farming management plan. Such plan shall demonstrate that the total input capacity and the total farming capacity is commensurate with the estimated amount of bluefin tuna available for farming including the information referred to in paragraph</w:t>
      </w:r>
      <w:r w:rsidR="009A15A3">
        <w:rPr>
          <w:rFonts w:ascii="Cambria" w:eastAsia="Cambria" w:hAnsi="Cambria" w:cs="Cambria"/>
          <w:sz w:val="20"/>
          <w:szCs w:val="20"/>
        </w:rPr>
        <w:t> </w:t>
      </w:r>
      <w:r w:rsidRPr="0005629E">
        <w:rPr>
          <w:rFonts w:ascii="Cambria" w:eastAsia="Cambria" w:hAnsi="Cambria" w:cs="Cambria"/>
          <w:sz w:val="20"/>
          <w:szCs w:val="20"/>
        </w:rPr>
        <w:t>23. Revised farming management plans, if appropriate, shall be submitted to the Secretariat by 1 June each year. The Commission shall ensure that the total farming and input capacity in the eastern Atlantic and Mediterranean is commensurate with the total amount of bluefin tuna available for farming in the area.</w:t>
      </w:r>
    </w:p>
    <w:p w14:paraId="0000001E" w14:textId="77777777" w:rsidR="00D555E3" w:rsidRPr="0005629E" w:rsidRDefault="00D555E3">
      <w:pPr>
        <w:tabs>
          <w:tab w:val="left" w:pos="426"/>
        </w:tabs>
        <w:spacing w:after="0" w:line="240" w:lineRule="auto"/>
        <w:ind w:left="426" w:hanging="426"/>
        <w:jc w:val="both"/>
        <w:rPr>
          <w:rFonts w:ascii="Cambria" w:eastAsia="Cambria" w:hAnsi="Cambria" w:cs="Cambria"/>
          <w:sz w:val="20"/>
          <w:szCs w:val="20"/>
        </w:rPr>
      </w:pPr>
    </w:p>
    <w:p w14:paraId="0000001F" w14:textId="77777777" w:rsidR="00D555E3" w:rsidRPr="0005629E" w:rsidRDefault="002605A2">
      <w:pPr>
        <w:tabs>
          <w:tab w:val="left" w:pos="851"/>
        </w:tabs>
        <w:spacing w:after="0" w:line="240" w:lineRule="auto"/>
        <w:ind w:left="851" w:hanging="425"/>
        <w:jc w:val="both"/>
        <w:rPr>
          <w:rFonts w:ascii="Cambria" w:eastAsia="Cambria" w:hAnsi="Cambria" w:cs="Cambria"/>
          <w:sz w:val="20"/>
          <w:szCs w:val="20"/>
        </w:rPr>
      </w:pPr>
      <w:r w:rsidRPr="0005629E">
        <w:rPr>
          <w:rFonts w:ascii="Cambria" w:eastAsia="Cambria" w:hAnsi="Cambria" w:cs="Cambria"/>
          <w:sz w:val="20"/>
          <w:szCs w:val="20"/>
        </w:rPr>
        <w:t>23.</w:t>
      </w:r>
      <w:r w:rsidRPr="0005629E">
        <w:rPr>
          <w:rFonts w:ascii="Cambria" w:eastAsia="Cambria" w:hAnsi="Cambria" w:cs="Cambria"/>
          <w:sz w:val="20"/>
          <w:szCs w:val="20"/>
        </w:rPr>
        <w:tab/>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00000020" w14:textId="77777777" w:rsidR="00D555E3" w:rsidRPr="0005629E" w:rsidRDefault="00D555E3">
      <w:pPr>
        <w:spacing w:after="0" w:line="240" w:lineRule="auto"/>
        <w:jc w:val="both"/>
        <w:rPr>
          <w:rFonts w:ascii="Cambria" w:eastAsia="Cambria" w:hAnsi="Cambria" w:cs="Cambria"/>
          <w:sz w:val="20"/>
          <w:szCs w:val="20"/>
        </w:rPr>
      </w:pPr>
    </w:p>
    <w:p w14:paraId="00000021" w14:textId="77777777" w:rsidR="00D555E3" w:rsidRPr="0005629E" w:rsidRDefault="002605A2">
      <w:pPr>
        <w:tabs>
          <w:tab w:val="left" w:pos="851"/>
        </w:tabs>
        <w:spacing w:after="0" w:line="240" w:lineRule="auto"/>
        <w:ind w:left="851" w:hanging="425"/>
        <w:jc w:val="both"/>
        <w:rPr>
          <w:rFonts w:ascii="Cambria" w:eastAsia="Cambria" w:hAnsi="Cambria" w:cs="Cambria"/>
          <w:sz w:val="20"/>
          <w:szCs w:val="20"/>
        </w:rPr>
      </w:pPr>
      <w:r w:rsidRPr="0005629E">
        <w:rPr>
          <w:rFonts w:ascii="Cambria" w:eastAsia="Cambria" w:hAnsi="Cambria" w:cs="Cambria"/>
          <w:sz w:val="20"/>
          <w:szCs w:val="20"/>
        </w:rPr>
        <w:t>24.</w:t>
      </w:r>
      <w:r w:rsidRPr="0005629E">
        <w:rPr>
          <w:rFonts w:ascii="Cambria" w:eastAsia="Cambria" w:hAnsi="Cambria" w:cs="Cambria"/>
          <w:sz w:val="20"/>
          <w:szCs w:val="20"/>
        </w:rPr>
        <w:tab/>
        <w:t>The ICCAT Secretariat shall compile statistics on the annual amount of caging (input of wild caught fish), harvesting,</w:t>
      </w:r>
      <w:r w:rsidRPr="0005629E">
        <w:rPr>
          <w:rFonts w:ascii="Cambria" w:eastAsia="Cambria" w:hAnsi="Cambria" w:cs="Cambria"/>
          <w:b/>
          <w:sz w:val="20"/>
          <w:szCs w:val="20"/>
        </w:rPr>
        <w:t xml:space="preserve"> </w:t>
      </w:r>
      <w:r w:rsidRPr="0005629E">
        <w:rPr>
          <w:rFonts w:ascii="Cambria" w:eastAsia="Cambria" w:hAnsi="Cambria" w:cs="Cambria"/>
          <w:sz w:val="20"/>
          <w:szCs w:val="20"/>
        </w:rPr>
        <w:t>and export, by farm CPC, using the data in the eBCD system. The Standing Catch Document Scheme Working Group (CDS WG) shall consider the development of such a data extraction functionality, and until such functionality becomes available each farm CPC shall report these statistics to the ICCAT Secretariat. These statistics shall be made available on the ICCAT website subject to confidentiality requirements.”</w:t>
      </w:r>
    </w:p>
    <w:p w14:paraId="00000022" w14:textId="77777777" w:rsidR="00D555E3" w:rsidRPr="0005629E" w:rsidRDefault="00D555E3">
      <w:pPr>
        <w:spacing w:after="0" w:line="240" w:lineRule="auto"/>
        <w:jc w:val="both"/>
        <w:rPr>
          <w:rFonts w:ascii="Cambria" w:eastAsia="Cambria" w:hAnsi="Cambria" w:cs="Cambria"/>
          <w:sz w:val="20"/>
          <w:szCs w:val="20"/>
        </w:rPr>
      </w:pPr>
    </w:p>
    <w:p w14:paraId="00000023" w14:textId="77777777" w:rsidR="00D555E3" w:rsidRPr="0005629E" w:rsidRDefault="00D555E3">
      <w:pPr>
        <w:spacing w:after="0" w:line="240" w:lineRule="auto"/>
        <w:jc w:val="both"/>
        <w:rPr>
          <w:rFonts w:ascii="Cambria" w:eastAsia="Cambria" w:hAnsi="Cambria" w:cs="Cambria"/>
          <w:sz w:val="28"/>
          <w:szCs w:val="28"/>
        </w:rPr>
      </w:pPr>
    </w:p>
    <w:p w14:paraId="00000024" w14:textId="74CFE766" w:rsidR="00D555E3" w:rsidRPr="0005629E" w:rsidRDefault="002605A2">
      <w:pPr>
        <w:tabs>
          <w:tab w:val="left" w:pos="426"/>
        </w:tabs>
        <w:spacing w:after="0" w:line="240" w:lineRule="auto"/>
        <w:jc w:val="both"/>
        <w:rPr>
          <w:rFonts w:ascii="Cambria" w:eastAsia="Cambria" w:hAnsi="Cambria" w:cs="Cambria"/>
          <w:sz w:val="20"/>
          <w:szCs w:val="20"/>
        </w:rPr>
      </w:pPr>
      <w:r w:rsidRPr="0005629E">
        <w:rPr>
          <w:rFonts w:ascii="Cambria" w:eastAsia="Cambria" w:hAnsi="Cambria" w:cs="Cambria"/>
          <w:sz w:val="20"/>
          <w:szCs w:val="20"/>
        </w:rPr>
        <w:lastRenderedPageBreak/>
        <w:t xml:space="preserve">Paragraph </w:t>
      </w:r>
      <w:r w:rsidRPr="00EB285B">
        <w:rPr>
          <w:rFonts w:ascii="Cambria" w:eastAsia="Cambria" w:hAnsi="Cambria" w:cs="Cambria"/>
          <w:sz w:val="20"/>
          <w:szCs w:val="20"/>
        </w:rPr>
        <w:t>120(a)</w:t>
      </w:r>
      <w:r w:rsidRPr="0005629E">
        <w:rPr>
          <w:rFonts w:ascii="Cambria" w:eastAsia="Cambria" w:hAnsi="Cambria" w:cs="Cambria"/>
          <w:sz w:val="20"/>
          <w:szCs w:val="20"/>
        </w:rPr>
        <w:t xml:space="preserve"> shall read as follows:</w:t>
      </w:r>
    </w:p>
    <w:p w14:paraId="00000025" w14:textId="77777777" w:rsidR="00D555E3" w:rsidRPr="0005629E" w:rsidRDefault="00D555E3">
      <w:pPr>
        <w:tabs>
          <w:tab w:val="left" w:pos="426"/>
        </w:tabs>
        <w:spacing w:after="0" w:line="240" w:lineRule="auto"/>
        <w:jc w:val="both"/>
        <w:rPr>
          <w:rFonts w:ascii="Cambria" w:eastAsia="Cambria" w:hAnsi="Cambria" w:cs="Cambria"/>
          <w:sz w:val="20"/>
          <w:szCs w:val="20"/>
        </w:rPr>
      </w:pPr>
    </w:p>
    <w:p w14:paraId="00000026" w14:textId="77777777" w:rsidR="00D555E3" w:rsidRPr="0005629E" w:rsidRDefault="002605A2">
      <w:pPr>
        <w:tabs>
          <w:tab w:val="left" w:pos="993"/>
        </w:tabs>
        <w:spacing w:after="0" w:line="240" w:lineRule="auto"/>
        <w:ind w:left="993" w:hanging="567"/>
        <w:jc w:val="both"/>
        <w:rPr>
          <w:rFonts w:ascii="Cambria" w:eastAsia="Cambria" w:hAnsi="Cambria" w:cs="Cambria"/>
          <w:sz w:val="20"/>
          <w:szCs w:val="20"/>
        </w:rPr>
      </w:pPr>
      <w:r w:rsidRPr="0005629E">
        <w:rPr>
          <w:rFonts w:ascii="Cambria" w:eastAsia="Cambria" w:hAnsi="Cambria" w:cs="Cambria"/>
          <w:sz w:val="20"/>
          <w:szCs w:val="20"/>
        </w:rPr>
        <w:t>“120.</w:t>
      </w:r>
      <w:r w:rsidRPr="0005629E">
        <w:rPr>
          <w:rFonts w:ascii="Cambria" w:eastAsia="Cambria" w:hAnsi="Cambria" w:cs="Cambria"/>
          <w:sz w:val="20"/>
          <w:szCs w:val="20"/>
        </w:rPr>
        <w:tab/>
        <w:t xml:space="preserve">Each donor operator CPC shall take the necessary measures to ensure that identical copies of the relevant video records are provided without delay by the donor operator: </w:t>
      </w:r>
    </w:p>
    <w:p w14:paraId="00000027" w14:textId="77777777" w:rsidR="00D555E3" w:rsidRPr="0005629E" w:rsidRDefault="00D555E3">
      <w:pPr>
        <w:tabs>
          <w:tab w:val="left" w:pos="993"/>
        </w:tabs>
        <w:spacing w:after="0" w:line="240" w:lineRule="auto"/>
        <w:ind w:left="993" w:hanging="567"/>
        <w:jc w:val="both"/>
        <w:rPr>
          <w:rFonts w:ascii="Cambria" w:eastAsia="Cambria" w:hAnsi="Cambria" w:cs="Cambria"/>
          <w:sz w:val="20"/>
          <w:szCs w:val="20"/>
        </w:rPr>
      </w:pPr>
    </w:p>
    <w:p w14:paraId="00000028" w14:textId="77777777" w:rsidR="00D555E3" w:rsidRPr="0005629E" w:rsidRDefault="002605A2">
      <w:pPr>
        <w:tabs>
          <w:tab w:val="left" w:pos="1418"/>
        </w:tabs>
        <w:spacing w:after="0" w:line="240" w:lineRule="auto"/>
        <w:ind w:left="1418" w:hanging="425"/>
        <w:jc w:val="both"/>
        <w:rPr>
          <w:rFonts w:ascii="Cambria" w:eastAsia="Cambria" w:hAnsi="Cambria" w:cs="Cambria"/>
          <w:sz w:val="20"/>
          <w:szCs w:val="20"/>
        </w:rPr>
      </w:pPr>
      <w:r w:rsidRPr="0005629E">
        <w:rPr>
          <w:rFonts w:ascii="Cambria" w:eastAsia="Cambria" w:hAnsi="Cambria" w:cs="Cambria"/>
          <w:sz w:val="20"/>
          <w:szCs w:val="20"/>
        </w:rPr>
        <w:t>a)</w:t>
      </w:r>
      <w:r w:rsidRPr="0005629E">
        <w:rPr>
          <w:rFonts w:ascii="Cambria" w:eastAsia="Cambria" w:hAnsi="Cambria" w:cs="Cambria"/>
          <w:sz w:val="20"/>
          <w:szCs w:val="20"/>
        </w:rPr>
        <w:tab/>
        <w:t>for the first transfer operation and the eventual voluntary or control transfer, to the ICCAT regional observer and to the receiving towing vessel and, at the end of the fishing trip, to the flag or trap CPC competent authority of the donor operator;”</w:t>
      </w:r>
    </w:p>
    <w:p w14:paraId="00000029" w14:textId="77777777" w:rsidR="00D555E3" w:rsidRPr="0005629E" w:rsidRDefault="00D555E3">
      <w:pPr>
        <w:spacing w:after="0" w:line="240" w:lineRule="auto"/>
        <w:jc w:val="both"/>
        <w:rPr>
          <w:rFonts w:ascii="Cambria" w:eastAsia="Cambria" w:hAnsi="Cambria" w:cs="Cambria"/>
          <w:sz w:val="20"/>
          <w:szCs w:val="20"/>
        </w:rPr>
      </w:pPr>
    </w:p>
    <w:p w14:paraId="0000002A" w14:textId="77777777" w:rsidR="00D555E3" w:rsidRPr="0005629E" w:rsidRDefault="002605A2">
      <w:pPr>
        <w:tabs>
          <w:tab w:val="left" w:pos="426"/>
        </w:tabs>
        <w:spacing w:after="0" w:line="240" w:lineRule="auto"/>
        <w:jc w:val="both"/>
        <w:rPr>
          <w:rFonts w:ascii="Cambria" w:eastAsia="Cambria" w:hAnsi="Cambria" w:cs="Cambria"/>
          <w:sz w:val="20"/>
          <w:szCs w:val="20"/>
        </w:rPr>
      </w:pPr>
      <w:r w:rsidRPr="0005629E">
        <w:rPr>
          <w:rFonts w:ascii="Cambria" w:eastAsia="Cambria" w:hAnsi="Cambria" w:cs="Cambria"/>
          <w:sz w:val="20"/>
          <w:szCs w:val="20"/>
        </w:rPr>
        <w:t xml:space="preserve">A new paragraph (paragraph 12) shall be added to Annex 10. </w:t>
      </w:r>
    </w:p>
    <w:p w14:paraId="0000002B" w14:textId="77777777" w:rsidR="00D555E3" w:rsidRPr="0005629E" w:rsidRDefault="00D555E3">
      <w:pPr>
        <w:tabs>
          <w:tab w:val="left" w:pos="426"/>
        </w:tabs>
        <w:spacing w:after="0" w:line="240" w:lineRule="auto"/>
        <w:jc w:val="both"/>
        <w:rPr>
          <w:rFonts w:ascii="Cambria" w:eastAsia="Cambria" w:hAnsi="Cambria" w:cs="Cambria"/>
          <w:sz w:val="20"/>
          <w:szCs w:val="20"/>
        </w:rPr>
      </w:pPr>
    </w:p>
    <w:p w14:paraId="0000002C" w14:textId="77777777" w:rsidR="00D555E3" w:rsidRPr="0005629E" w:rsidRDefault="002605A2">
      <w:pPr>
        <w:tabs>
          <w:tab w:val="left" w:pos="993"/>
        </w:tabs>
        <w:spacing w:after="0" w:line="240" w:lineRule="auto"/>
        <w:ind w:left="993" w:hanging="567"/>
        <w:jc w:val="both"/>
        <w:rPr>
          <w:rFonts w:ascii="Cambria" w:eastAsia="Cambria" w:hAnsi="Cambria" w:cs="Cambria"/>
          <w:sz w:val="20"/>
          <w:szCs w:val="20"/>
        </w:rPr>
      </w:pPr>
      <w:r w:rsidRPr="0005629E">
        <w:rPr>
          <w:rFonts w:ascii="Cambria" w:eastAsia="Cambria" w:hAnsi="Cambria" w:cs="Cambria"/>
          <w:sz w:val="20"/>
          <w:szCs w:val="20"/>
        </w:rPr>
        <w:t xml:space="preserve">“12. </w:t>
      </w:r>
      <w:r w:rsidRPr="0005629E">
        <w:rPr>
          <w:rFonts w:ascii="Cambria" w:eastAsia="Cambria" w:hAnsi="Cambria" w:cs="Cambria"/>
          <w:sz w:val="20"/>
          <w:szCs w:val="20"/>
        </w:rPr>
        <w:tab/>
        <w:t xml:space="preserve">The provisions of this </w:t>
      </w:r>
      <w:r w:rsidRPr="0005629E">
        <w:rPr>
          <w:rFonts w:ascii="Cambria" w:eastAsia="Cambria" w:hAnsi="Cambria" w:cs="Cambria"/>
          <w:b/>
          <w:sz w:val="20"/>
          <w:szCs w:val="20"/>
        </w:rPr>
        <w:t>Annex</w:t>
      </w:r>
      <w:r w:rsidRPr="0005629E">
        <w:rPr>
          <w:rFonts w:ascii="Cambria" w:eastAsia="Cambria" w:hAnsi="Cambria" w:cs="Cambria"/>
          <w:sz w:val="20"/>
          <w:szCs w:val="20"/>
        </w:rPr>
        <w:t xml:space="preserve"> shall not apply to release of bluefin tuna from traps </w:t>
      </w:r>
      <w:proofErr w:type="gramStart"/>
      <w:r w:rsidRPr="0005629E">
        <w:rPr>
          <w:rFonts w:ascii="Cambria" w:eastAsia="Cambria" w:hAnsi="Cambria" w:cs="Cambria"/>
          <w:sz w:val="20"/>
          <w:szCs w:val="20"/>
        </w:rPr>
        <w:t>as a result of</w:t>
      </w:r>
      <w:proofErr w:type="gramEnd"/>
      <w:r w:rsidRPr="0005629E">
        <w:rPr>
          <w:rFonts w:ascii="Cambria" w:eastAsia="Cambria" w:hAnsi="Cambria" w:cs="Cambria"/>
          <w:sz w:val="20"/>
          <w:szCs w:val="20"/>
        </w:rPr>
        <w:t xml:space="preserve"> lifting of the gear at the end of the activity.”</w:t>
      </w:r>
    </w:p>
    <w:p w14:paraId="0000002D" w14:textId="77777777" w:rsidR="00D555E3" w:rsidRPr="0005629E" w:rsidRDefault="00D555E3">
      <w:pPr>
        <w:spacing w:after="0" w:line="240" w:lineRule="auto"/>
        <w:jc w:val="both"/>
        <w:rPr>
          <w:rFonts w:ascii="Cambria" w:eastAsia="Cambria" w:hAnsi="Cambria" w:cs="Cambria"/>
          <w:sz w:val="20"/>
          <w:szCs w:val="20"/>
        </w:rPr>
      </w:pPr>
    </w:p>
    <w:p w14:paraId="0000002E" w14:textId="77777777" w:rsidR="00D555E3" w:rsidRPr="0005629E" w:rsidRDefault="002605A2">
      <w:pPr>
        <w:tabs>
          <w:tab w:val="left" w:pos="0"/>
        </w:tabs>
        <w:spacing w:after="0" w:line="240" w:lineRule="auto"/>
        <w:jc w:val="both"/>
        <w:rPr>
          <w:rFonts w:ascii="Cambria" w:eastAsia="Cambria" w:hAnsi="Cambria" w:cs="Cambria"/>
          <w:sz w:val="20"/>
          <w:szCs w:val="20"/>
        </w:rPr>
      </w:pPr>
      <w:r w:rsidRPr="0005629E">
        <w:rPr>
          <w:rFonts w:ascii="Cambria" w:eastAsia="Cambria" w:hAnsi="Cambria" w:cs="Cambria"/>
          <w:sz w:val="20"/>
          <w:szCs w:val="20"/>
        </w:rPr>
        <w:t xml:space="preserve">In Annex 11, a new column “Destination of dead fish (discarded or landed)” shall be added between the columns “N° of dead BFT” and “Master’s signature” in the template to Annex 11 (Reporting of fish that die during further transfers and towing operations). </w:t>
      </w:r>
    </w:p>
    <w:p w14:paraId="0000002F" w14:textId="77777777" w:rsidR="00D555E3" w:rsidRPr="0005629E" w:rsidRDefault="00D555E3">
      <w:pPr>
        <w:spacing w:after="0" w:line="240" w:lineRule="auto"/>
        <w:jc w:val="both"/>
        <w:rPr>
          <w:rFonts w:ascii="Cambria" w:eastAsia="Cambria" w:hAnsi="Cambria" w:cs="Cambria"/>
          <w:sz w:val="20"/>
          <w:szCs w:val="20"/>
        </w:rPr>
      </w:pPr>
    </w:p>
    <w:p w14:paraId="00000030" w14:textId="77777777" w:rsidR="00D555E3" w:rsidRPr="0005629E" w:rsidRDefault="002605A2">
      <w:pPr>
        <w:tabs>
          <w:tab w:val="left" w:pos="426"/>
        </w:tabs>
        <w:spacing w:after="0" w:line="240" w:lineRule="auto"/>
        <w:jc w:val="both"/>
        <w:rPr>
          <w:rFonts w:ascii="Cambria" w:eastAsia="Cambria" w:hAnsi="Cambria" w:cs="Cambria"/>
          <w:sz w:val="20"/>
          <w:szCs w:val="20"/>
        </w:rPr>
      </w:pPr>
      <w:r w:rsidRPr="0005629E">
        <w:rPr>
          <w:rFonts w:ascii="Cambria" w:eastAsia="Cambria" w:hAnsi="Cambria" w:cs="Cambria"/>
          <w:sz w:val="20"/>
          <w:szCs w:val="20"/>
        </w:rPr>
        <w:t>The first paragraph in Annex 14 shall read as follows:</w:t>
      </w:r>
    </w:p>
    <w:p w14:paraId="00000031" w14:textId="77777777" w:rsidR="00D555E3" w:rsidRPr="0005629E" w:rsidRDefault="00D555E3">
      <w:pPr>
        <w:spacing w:after="0" w:line="240" w:lineRule="auto"/>
        <w:jc w:val="both"/>
        <w:rPr>
          <w:rFonts w:ascii="Cambria" w:eastAsia="Cambria" w:hAnsi="Cambria" w:cs="Cambria"/>
          <w:sz w:val="20"/>
          <w:szCs w:val="20"/>
        </w:rPr>
      </w:pPr>
    </w:p>
    <w:p w14:paraId="00000032" w14:textId="77777777" w:rsidR="00D555E3" w:rsidRPr="0005629E" w:rsidRDefault="002605A2">
      <w:pPr>
        <w:tabs>
          <w:tab w:val="left" w:pos="426"/>
        </w:tabs>
        <w:spacing w:after="0" w:line="240" w:lineRule="auto"/>
        <w:ind w:left="426"/>
        <w:jc w:val="both"/>
        <w:rPr>
          <w:rFonts w:ascii="Cambria" w:eastAsia="Cambria" w:hAnsi="Cambria" w:cs="Cambria"/>
          <w:sz w:val="20"/>
          <w:szCs w:val="20"/>
        </w:rPr>
      </w:pPr>
      <w:r w:rsidRPr="0005629E">
        <w:rPr>
          <w:rFonts w:ascii="Cambria" w:eastAsia="Cambria" w:hAnsi="Cambria" w:cs="Cambria"/>
          <w:sz w:val="20"/>
          <w:szCs w:val="20"/>
        </w:rPr>
        <w:t>“Prior to their deployment on a purse seine vessel, a trap, or a towing vessel, the provider responsible for the ROP shall provide a minimum of 25 ICCAT seals to each ICCAT regional observer under their responsibility and maintain a record of the seals provided and used.”</w:t>
      </w:r>
    </w:p>
    <w:p w14:paraId="00000033" w14:textId="77777777" w:rsidR="00D555E3" w:rsidRPr="0005629E" w:rsidRDefault="00D555E3">
      <w:pPr>
        <w:spacing w:after="0" w:line="240" w:lineRule="auto"/>
        <w:jc w:val="both"/>
        <w:rPr>
          <w:rFonts w:ascii="Cambria" w:eastAsia="Cambria" w:hAnsi="Cambria" w:cs="Cambria"/>
          <w:sz w:val="20"/>
          <w:szCs w:val="20"/>
        </w:rPr>
      </w:pPr>
    </w:p>
    <w:sectPr w:rsidR="00D555E3" w:rsidRPr="0005629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14A2" w14:textId="77777777" w:rsidR="00336C19" w:rsidRDefault="00336C19">
      <w:pPr>
        <w:spacing w:after="0" w:line="240" w:lineRule="auto"/>
      </w:pPr>
      <w:r>
        <w:separator/>
      </w:r>
    </w:p>
  </w:endnote>
  <w:endnote w:type="continuationSeparator" w:id="0">
    <w:p w14:paraId="4CAB37DF" w14:textId="77777777" w:rsidR="00336C19" w:rsidRDefault="0033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1284" w14:textId="77777777" w:rsidR="00D86239" w:rsidRDefault="00D86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32DE4C4D" w:rsidR="00D555E3" w:rsidRDefault="002605A2">
    <w:pPr>
      <w:tabs>
        <w:tab w:val="center" w:pos="4535"/>
        <w:tab w:val="center" w:pos="4680"/>
        <w:tab w:val="left" w:pos="6150"/>
        <w:tab w:val="right" w:pos="9360"/>
      </w:tabs>
      <w:spacing w:after="200" w:line="276" w:lineRule="auto"/>
      <w:jc w:val="center"/>
      <w:rPr>
        <w:rFonts w:ascii="Cambria" w:eastAsia="Cambria" w:hAnsi="Cambria" w:cs="Cambria"/>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D86239">
      <w:rPr>
        <w:rFonts w:ascii="Cambria" w:eastAsia="Cambria" w:hAnsi="Cambria" w:cs="Cambria"/>
        <w:noProof/>
        <w:sz w:val="20"/>
        <w:szCs w:val="20"/>
      </w:rPr>
      <w:t>1</w:t>
    </w:r>
    <w:r>
      <w:rPr>
        <w:rFonts w:ascii="Cambria" w:eastAsia="Cambria" w:hAnsi="Cambria" w:cs="Cambri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9A45" w14:textId="77777777" w:rsidR="00D86239" w:rsidRDefault="00D8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9BFE" w14:textId="77777777" w:rsidR="00336C19" w:rsidRDefault="00336C19">
      <w:pPr>
        <w:spacing w:after="0" w:line="240" w:lineRule="auto"/>
      </w:pPr>
      <w:r>
        <w:separator/>
      </w:r>
    </w:p>
  </w:footnote>
  <w:footnote w:type="continuationSeparator" w:id="0">
    <w:p w14:paraId="53A9D2CA" w14:textId="77777777" w:rsidR="00336C19" w:rsidRDefault="00336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A5F5" w14:textId="77777777" w:rsidR="00D86239" w:rsidRDefault="00D86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176F" w14:textId="77777777" w:rsidR="00D86239" w:rsidRDefault="00D86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5392" w14:textId="77777777" w:rsidR="00D86239" w:rsidRDefault="00D86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5E3"/>
    <w:rsid w:val="0005629E"/>
    <w:rsid w:val="002605A2"/>
    <w:rsid w:val="00336C19"/>
    <w:rsid w:val="003A7880"/>
    <w:rsid w:val="008C5D7B"/>
    <w:rsid w:val="00910D75"/>
    <w:rsid w:val="009A15A3"/>
    <w:rsid w:val="00A24DEE"/>
    <w:rsid w:val="00D555E3"/>
    <w:rsid w:val="00D86239"/>
    <w:rsid w:val="00E86CFA"/>
    <w:rsid w:val="00EB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5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5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D7B"/>
    <w:rPr>
      <w:rFonts w:ascii="Segoe UI" w:hAnsi="Segoe UI" w:cs="Segoe UI"/>
      <w:sz w:val="18"/>
      <w:szCs w:val="18"/>
    </w:rPr>
  </w:style>
  <w:style w:type="paragraph" w:styleId="Header">
    <w:name w:val="header"/>
    <w:basedOn w:val="Normal"/>
    <w:link w:val="HeaderChar"/>
    <w:uiPriority w:val="99"/>
    <w:unhideWhenUsed/>
    <w:rsid w:val="00D86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239"/>
  </w:style>
  <w:style w:type="paragraph" w:styleId="Footer">
    <w:name w:val="footer"/>
    <w:basedOn w:val="Normal"/>
    <w:link w:val="FooterChar"/>
    <w:uiPriority w:val="99"/>
    <w:unhideWhenUsed/>
    <w:rsid w:val="00D86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Z8sSzWl6gwvtKGv1pIPz/LW1mw==">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2023-12-13T21:22:00Z</dcterms:created>
  <dcterms:modified xsi:type="dcterms:W3CDTF">2023-12-15T08:58:00Z</dcterms:modified>
</cp:coreProperties>
</file>