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F82D" w14:textId="002A8AD3" w:rsidR="000507F6" w:rsidRPr="007A5E90" w:rsidRDefault="0066230D" w:rsidP="00E90962">
      <w:pPr>
        <w:pStyle w:val="Heading5"/>
        <w:keepLines w:val="0"/>
        <w:pBdr>
          <w:top w:val="double" w:sz="4" w:space="7" w:color="auto"/>
          <w:left w:val="double" w:sz="4" w:space="4" w:color="auto"/>
          <w:bottom w:val="double" w:sz="4" w:space="11" w:color="auto"/>
          <w:right w:val="double" w:sz="4" w:space="4" w:color="auto"/>
        </w:pBdr>
        <w:tabs>
          <w:tab w:val="right" w:pos="8931"/>
        </w:tabs>
        <w:spacing w:before="0" w:after="0" w:line="240" w:lineRule="auto"/>
        <w:jc w:val="center"/>
        <w:rPr>
          <w:rFonts w:ascii="Cambria" w:eastAsia="Times New Roman" w:hAnsi="Cambria" w:cs="Times New Roman"/>
          <w:bCs/>
          <w:sz w:val="20"/>
          <w:szCs w:val="20"/>
        </w:rPr>
      </w:pPr>
      <w:r w:rsidRPr="007A5E90">
        <w:rPr>
          <w:rFonts w:ascii="Cambria" w:eastAsia="Times New Roman" w:hAnsi="Cambria" w:cs="Times New Roman"/>
          <w:bCs/>
          <w:sz w:val="20"/>
          <w:szCs w:val="20"/>
        </w:rPr>
        <w:t>23-</w:t>
      </w:r>
      <w:r w:rsidR="005934A3" w:rsidRPr="007A5E90">
        <w:rPr>
          <w:rFonts w:ascii="Cambria" w:eastAsia="Times New Roman" w:hAnsi="Cambria" w:cs="Times New Roman"/>
          <w:bCs/>
          <w:sz w:val="20"/>
          <w:szCs w:val="20"/>
        </w:rPr>
        <w:t>05</w:t>
      </w:r>
      <w:r w:rsidRPr="007A5E90">
        <w:rPr>
          <w:rFonts w:ascii="Cambria" w:eastAsia="Times New Roman" w:hAnsi="Cambria" w:cs="Times New Roman"/>
          <w:bCs/>
          <w:sz w:val="20"/>
          <w:szCs w:val="20"/>
        </w:rPr>
        <w:tab/>
        <w:t>ALB</w:t>
      </w:r>
    </w:p>
    <w:p w14:paraId="54C04443" w14:textId="1A03CE4C" w:rsidR="00D1670C" w:rsidRPr="007A5E90" w:rsidRDefault="00D1670C" w:rsidP="0066230D">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7A5E90">
        <w:rPr>
          <w:rFonts w:ascii="Cambria" w:eastAsia="Times New Roman" w:hAnsi="Cambria" w:cs="Times New Roman"/>
          <w:bCs/>
          <w:sz w:val="20"/>
          <w:szCs w:val="20"/>
        </w:rPr>
        <w:t xml:space="preserve">RECOMENDACIÓN DE ICCAT QUE ENMIENDA LA RECOMENDACIÓN 21-04 </w:t>
      </w:r>
    </w:p>
    <w:p w14:paraId="0DCEFC0F" w14:textId="351F3096" w:rsidR="00D1670C" w:rsidRPr="007A5E90" w:rsidRDefault="00D1670C" w:rsidP="0066230D">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7A5E90">
        <w:rPr>
          <w:rFonts w:ascii="Cambria" w:eastAsia="Times New Roman" w:hAnsi="Cambria" w:cs="Times New Roman"/>
          <w:bCs/>
          <w:sz w:val="20"/>
          <w:szCs w:val="20"/>
        </w:rPr>
        <w:t xml:space="preserve">SOBRE MEDIDAS DE CONSERVACIÓN Y ORDENACIÓN, </w:t>
      </w:r>
      <w:r w:rsidR="00B27F3E" w:rsidRPr="007A5E90">
        <w:rPr>
          <w:rFonts w:ascii="Cambria" w:eastAsia="Times New Roman" w:hAnsi="Cambria" w:cs="Times New Roman"/>
          <w:bCs/>
          <w:sz w:val="20"/>
          <w:szCs w:val="20"/>
        </w:rPr>
        <w:t>INCLUIDO</w:t>
      </w:r>
      <w:r w:rsidRPr="007A5E90">
        <w:rPr>
          <w:rFonts w:ascii="Cambria" w:eastAsia="Times New Roman" w:hAnsi="Cambria" w:cs="Times New Roman"/>
          <w:bCs/>
          <w:sz w:val="20"/>
          <w:szCs w:val="20"/>
        </w:rPr>
        <w:t xml:space="preserve"> UN PROCEDIMIENTO DE ORDENACIÓN Y UN PROTOCOLO DE CIRCUNSTANCIAS EXCEPCIONALES, </w:t>
      </w:r>
    </w:p>
    <w:p w14:paraId="22A605A4" w14:textId="15D45509" w:rsidR="007008A8" w:rsidRPr="007A5E90" w:rsidRDefault="00D1670C" w:rsidP="0066230D">
      <w:pPr>
        <w:pStyle w:val="Heading5"/>
        <w:keepLines w:val="0"/>
        <w:pBdr>
          <w:top w:val="double" w:sz="4" w:space="7"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7A5E90">
        <w:rPr>
          <w:rFonts w:ascii="Cambria" w:eastAsia="Times New Roman" w:hAnsi="Cambria" w:cs="Times New Roman"/>
          <w:bCs/>
          <w:sz w:val="20"/>
          <w:szCs w:val="20"/>
        </w:rPr>
        <w:t xml:space="preserve">PARA EL ATÚN BLANCO DEL ATLÁNTICO NORTE </w:t>
      </w:r>
    </w:p>
    <w:p w14:paraId="5188BF51" w14:textId="77777777" w:rsidR="00F2605B" w:rsidRPr="007A5E90" w:rsidRDefault="00F2605B" w:rsidP="00C10FDE">
      <w:pPr>
        <w:spacing w:after="0" w:line="240" w:lineRule="auto"/>
        <w:jc w:val="center"/>
        <w:rPr>
          <w:rFonts w:ascii="Cambria" w:hAnsi="Cambria"/>
          <w:i/>
          <w:iCs/>
          <w:sz w:val="20"/>
          <w:szCs w:val="20"/>
        </w:rPr>
      </w:pPr>
    </w:p>
    <w:p w14:paraId="55DD3BF4" w14:textId="77777777" w:rsidR="00D1670C" w:rsidRPr="007A5E90" w:rsidRDefault="00D1670C" w:rsidP="00C10FDE">
      <w:pPr>
        <w:spacing w:after="0" w:line="240" w:lineRule="auto"/>
        <w:jc w:val="center"/>
        <w:rPr>
          <w:rFonts w:ascii="Cambria" w:hAnsi="Cambria"/>
          <w:i/>
          <w:iCs/>
          <w:sz w:val="20"/>
          <w:szCs w:val="20"/>
        </w:rPr>
      </w:pPr>
    </w:p>
    <w:p w14:paraId="4BFAC0A7" w14:textId="2EA0C6EF" w:rsidR="00544CE3" w:rsidRPr="007A5E90" w:rsidRDefault="00544CE3" w:rsidP="00434037">
      <w:pPr>
        <w:spacing w:after="0" w:line="240" w:lineRule="auto"/>
        <w:ind w:firstLine="426"/>
        <w:jc w:val="both"/>
        <w:rPr>
          <w:rFonts w:ascii="Cambria" w:hAnsi="Cambria"/>
          <w:sz w:val="20"/>
          <w:szCs w:val="20"/>
        </w:rPr>
      </w:pPr>
      <w:r w:rsidRPr="007A5E90">
        <w:rPr>
          <w:rFonts w:ascii="Cambria" w:hAnsi="Cambria"/>
          <w:i/>
          <w:iCs/>
          <w:sz w:val="20"/>
        </w:rPr>
        <w:t>OBSERVANDO</w:t>
      </w:r>
      <w:r w:rsidRPr="007A5E90">
        <w:rPr>
          <w:rFonts w:ascii="Cambria" w:hAnsi="Cambria"/>
          <w:sz w:val="20"/>
        </w:rPr>
        <w:t xml:space="preserve"> que, en 2021, la Comisión adoptó un procedimiento de ordenación</w:t>
      </w:r>
      <w:r w:rsidR="009864D5" w:rsidRPr="007A5E90">
        <w:rPr>
          <w:rFonts w:ascii="Cambria" w:hAnsi="Cambria"/>
          <w:sz w:val="20"/>
        </w:rPr>
        <w:t xml:space="preserve"> </w:t>
      </w:r>
      <w:r w:rsidRPr="007A5E90">
        <w:rPr>
          <w:rFonts w:ascii="Cambria" w:hAnsi="Cambria"/>
          <w:sz w:val="20"/>
        </w:rPr>
        <w:t>(MP),</w:t>
      </w:r>
      <w:r w:rsidR="00654C57" w:rsidRPr="007A5E90">
        <w:rPr>
          <w:rFonts w:ascii="Cambria" w:hAnsi="Cambria"/>
          <w:sz w:val="20"/>
        </w:rPr>
        <w:t xml:space="preserve"> mediante</w:t>
      </w:r>
      <w:r w:rsidRPr="007A5E90">
        <w:rPr>
          <w:rFonts w:ascii="Cambria" w:hAnsi="Cambria"/>
          <w:sz w:val="20"/>
        </w:rPr>
        <w:t xml:space="preserve"> la Recomendación 21</w:t>
      </w:r>
      <w:r w:rsidRPr="007A5E90">
        <w:rPr>
          <w:rFonts w:ascii="Cambria" w:hAnsi="Cambria"/>
          <w:sz w:val="20"/>
        </w:rPr>
        <w:noBreakHyphen/>
        <w:t>04, que establece el procedimiento de ordenación para alcanzar el objetivo de ordenación de mantener al stock en la zona verde del diagrama de Kobe con una probabilidad de al menos un 60 %, maximizando al mismo tiempo el rendimiento a largo plazo</w:t>
      </w:r>
      <w:r w:rsidR="009864D5" w:rsidRPr="007A5E90">
        <w:rPr>
          <w:rFonts w:ascii="Cambria" w:hAnsi="Cambria"/>
          <w:sz w:val="20"/>
        </w:rPr>
        <w:t>;</w:t>
      </w:r>
    </w:p>
    <w:p w14:paraId="6F8B8873" w14:textId="77777777" w:rsidR="00434037" w:rsidRPr="007A5E90" w:rsidRDefault="00434037" w:rsidP="00C10FDE">
      <w:pPr>
        <w:spacing w:after="0" w:line="240" w:lineRule="auto"/>
        <w:jc w:val="both"/>
        <w:rPr>
          <w:rFonts w:ascii="Cambria" w:hAnsi="Cambria"/>
          <w:sz w:val="20"/>
          <w:szCs w:val="20"/>
        </w:rPr>
      </w:pPr>
    </w:p>
    <w:p w14:paraId="53321ADC" w14:textId="526E0F39" w:rsidR="00544CE3" w:rsidRPr="007A5E90" w:rsidRDefault="00544CE3" w:rsidP="00434037">
      <w:pPr>
        <w:spacing w:after="0" w:line="240" w:lineRule="auto"/>
        <w:ind w:firstLine="426"/>
        <w:jc w:val="both"/>
        <w:rPr>
          <w:rFonts w:ascii="Cambria" w:hAnsi="Cambria"/>
          <w:sz w:val="20"/>
          <w:szCs w:val="20"/>
        </w:rPr>
      </w:pPr>
      <w:r w:rsidRPr="007A5E90">
        <w:rPr>
          <w:rFonts w:ascii="Cambria" w:hAnsi="Cambria"/>
          <w:i/>
          <w:iCs/>
          <w:sz w:val="20"/>
        </w:rPr>
        <w:t>OBSERVANDO ADEMÁS</w:t>
      </w:r>
      <w:r w:rsidRPr="007A5E90">
        <w:rPr>
          <w:rFonts w:ascii="Cambria" w:hAnsi="Cambria"/>
          <w:sz w:val="20"/>
        </w:rPr>
        <w:t xml:space="preserve"> que </w:t>
      </w:r>
      <w:r w:rsidR="009C48DD" w:rsidRPr="007A5E90">
        <w:rPr>
          <w:rFonts w:ascii="Cambria" w:hAnsi="Cambria"/>
          <w:sz w:val="20"/>
        </w:rPr>
        <w:t>el</w:t>
      </w:r>
      <w:r w:rsidRPr="007A5E90">
        <w:rPr>
          <w:rFonts w:ascii="Cambria" w:hAnsi="Cambria"/>
          <w:sz w:val="20"/>
        </w:rPr>
        <w:t xml:space="preserve"> actual MP integra una </w:t>
      </w:r>
      <w:r w:rsidR="009C48DD" w:rsidRPr="007A5E90">
        <w:rPr>
          <w:rFonts w:ascii="Cambria" w:hAnsi="Cambria"/>
          <w:sz w:val="20"/>
        </w:rPr>
        <w:t>n</w:t>
      </w:r>
      <w:r w:rsidRPr="007A5E90">
        <w:rPr>
          <w:rFonts w:ascii="Cambria" w:hAnsi="Cambria"/>
          <w:sz w:val="20"/>
        </w:rPr>
        <w:t xml:space="preserve">orma de control de la captura (HCR) para fijar los </w:t>
      </w:r>
      <w:r w:rsidR="00654C57" w:rsidRPr="007A5E90">
        <w:rPr>
          <w:rFonts w:ascii="Cambria" w:hAnsi="Cambria"/>
          <w:sz w:val="20"/>
        </w:rPr>
        <w:t>totales admisibles de capturas (</w:t>
      </w:r>
      <w:r w:rsidRPr="007A5E90">
        <w:rPr>
          <w:rFonts w:ascii="Cambria" w:hAnsi="Cambria"/>
          <w:sz w:val="20"/>
        </w:rPr>
        <w:t>TAC</w:t>
      </w:r>
      <w:r w:rsidR="00654C57" w:rsidRPr="007A5E90">
        <w:rPr>
          <w:rFonts w:ascii="Cambria" w:hAnsi="Cambria"/>
          <w:sz w:val="20"/>
        </w:rPr>
        <w:t xml:space="preserve">) </w:t>
      </w:r>
      <w:r w:rsidRPr="007A5E90">
        <w:rPr>
          <w:rFonts w:ascii="Cambria" w:hAnsi="Cambria"/>
          <w:sz w:val="20"/>
        </w:rPr>
        <w:t>cada tres años. El periodo actual de tres años termina a finales de 2023, por lo que debe establecerse un nuevo ciclo trienal del TAC para 2024-2026</w:t>
      </w:r>
      <w:r w:rsidR="009864D5" w:rsidRPr="007A5E90">
        <w:rPr>
          <w:rFonts w:ascii="Cambria" w:hAnsi="Cambria"/>
          <w:sz w:val="20"/>
        </w:rPr>
        <w:t>;</w:t>
      </w:r>
    </w:p>
    <w:p w14:paraId="7D9B9754" w14:textId="77777777" w:rsidR="00434037" w:rsidRPr="007A5E90" w:rsidRDefault="00434037" w:rsidP="00C10FDE">
      <w:pPr>
        <w:spacing w:after="0" w:line="240" w:lineRule="auto"/>
        <w:jc w:val="both"/>
        <w:rPr>
          <w:rFonts w:ascii="Cambria" w:hAnsi="Cambria"/>
          <w:sz w:val="20"/>
          <w:szCs w:val="20"/>
        </w:rPr>
      </w:pPr>
    </w:p>
    <w:p w14:paraId="24FB4CBB" w14:textId="7CBD5267" w:rsidR="001809D1" w:rsidRPr="007A5E90" w:rsidRDefault="00544CE3" w:rsidP="00434037">
      <w:pPr>
        <w:spacing w:after="0" w:line="240" w:lineRule="auto"/>
        <w:ind w:firstLine="426"/>
        <w:jc w:val="both"/>
        <w:rPr>
          <w:rFonts w:ascii="Cambria" w:hAnsi="Cambria"/>
          <w:sz w:val="20"/>
          <w:szCs w:val="20"/>
        </w:rPr>
      </w:pPr>
      <w:r w:rsidRPr="007A5E90">
        <w:rPr>
          <w:rFonts w:ascii="Cambria" w:hAnsi="Cambria"/>
          <w:i/>
          <w:iCs/>
          <w:sz w:val="20"/>
        </w:rPr>
        <w:t>CONSIDERANDO</w:t>
      </w:r>
      <w:r w:rsidRPr="007A5E90">
        <w:rPr>
          <w:rFonts w:ascii="Cambria" w:hAnsi="Cambria"/>
          <w:sz w:val="20"/>
        </w:rPr>
        <w:t xml:space="preserve"> que el SCRS evaluó el procedimiento de ordenación actual, que da como resultado un TAC de 47.251</w:t>
      </w:r>
      <w:r w:rsidR="009C48DD" w:rsidRPr="007A5E90">
        <w:rPr>
          <w:rFonts w:ascii="Cambria" w:hAnsi="Cambria"/>
          <w:sz w:val="20"/>
        </w:rPr>
        <w:t> </w:t>
      </w:r>
      <w:r w:rsidRPr="007A5E90">
        <w:rPr>
          <w:rFonts w:ascii="Cambria" w:hAnsi="Cambria"/>
          <w:sz w:val="20"/>
        </w:rPr>
        <w:t>t para 2024-2026. Cualquiera de las variantes de MP solicitadas en la Recomendación 21-04 daría lugar al mismo TAC debido al aumento máximo del TAC del 25 %, que puede mantenerse a corto plazo</w:t>
      </w:r>
      <w:r w:rsidR="009864D5" w:rsidRPr="007A5E90">
        <w:rPr>
          <w:rFonts w:ascii="Cambria" w:hAnsi="Cambria"/>
          <w:sz w:val="20"/>
        </w:rPr>
        <w:t>;</w:t>
      </w:r>
    </w:p>
    <w:p w14:paraId="678A43EF" w14:textId="77777777" w:rsidR="00434037" w:rsidRPr="007A5E90" w:rsidRDefault="00434037" w:rsidP="00C10FDE">
      <w:pPr>
        <w:spacing w:after="0" w:line="240" w:lineRule="auto"/>
        <w:jc w:val="both"/>
        <w:rPr>
          <w:rFonts w:ascii="Cambria" w:hAnsi="Cambria"/>
          <w:sz w:val="20"/>
          <w:szCs w:val="20"/>
        </w:rPr>
      </w:pPr>
    </w:p>
    <w:p w14:paraId="64B121EB" w14:textId="10E03D69" w:rsidR="00544CE3" w:rsidRPr="007A5E90" w:rsidRDefault="00544CE3" w:rsidP="00434037">
      <w:pPr>
        <w:spacing w:after="0" w:line="240" w:lineRule="auto"/>
        <w:ind w:firstLine="426"/>
        <w:jc w:val="both"/>
        <w:rPr>
          <w:rFonts w:ascii="Cambria" w:hAnsi="Cambria"/>
          <w:sz w:val="20"/>
          <w:szCs w:val="20"/>
        </w:rPr>
      </w:pPr>
      <w:r w:rsidRPr="007A5E90">
        <w:rPr>
          <w:rFonts w:ascii="Cambria" w:hAnsi="Cambria"/>
          <w:i/>
          <w:iCs/>
          <w:sz w:val="20"/>
        </w:rPr>
        <w:t>CONSIDERANDO ADEMÁS</w:t>
      </w:r>
      <w:r w:rsidRPr="007A5E90">
        <w:rPr>
          <w:rFonts w:ascii="Cambria" w:hAnsi="Cambria"/>
          <w:sz w:val="20"/>
        </w:rPr>
        <w:t xml:space="preserve"> que no se han detectado circunstancias excepcionales que impidan la aplicación del MP</w:t>
      </w:r>
      <w:r w:rsidR="009C48DD" w:rsidRPr="007A5E90">
        <w:rPr>
          <w:rFonts w:ascii="Cambria" w:hAnsi="Cambria"/>
          <w:sz w:val="20"/>
        </w:rPr>
        <w:t>;</w:t>
      </w:r>
    </w:p>
    <w:p w14:paraId="1529197D" w14:textId="77777777" w:rsidR="00434037" w:rsidRPr="007A5E90" w:rsidRDefault="00434037" w:rsidP="00C10FDE">
      <w:pPr>
        <w:spacing w:after="0" w:line="240" w:lineRule="auto"/>
        <w:jc w:val="both"/>
        <w:rPr>
          <w:rFonts w:ascii="Cambria" w:hAnsi="Cambria"/>
          <w:sz w:val="20"/>
          <w:szCs w:val="20"/>
        </w:rPr>
      </w:pPr>
    </w:p>
    <w:p w14:paraId="3DB98B19" w14:textId="14277C16" w:rsidR="00544CE3" w:rsidRPr="007A5E90" w:rsidRDefault="00662048" w:rsidP="00434037">
      <w:pPr>
        <w:spacing w:after="0" w:line="240" w:lineRule="auto"/>
        <w:ind w:firstLine="426"/>
        <w:jc w:val="both"/>
        <w:rPr>
          <w:rFonts w:ascii="Cambria" w:hAnsi="Cambria"/>
          <w:sz w:val="20"/>
          <w:szCs w:val="20"/>
        </w:rPr>
      </w:pPr>
      <w:r w:rsidRPr="007A5E90">
        <w:rPr>
          <w:rFonts w:ascii="Cambria" w:hAnsi="Cambria"/>
          <w:i/>
          <w:iCs/>
          <w:sz w:val="20"/>
        </w:rPr>
        <w:t>CONSCIENTE</w:t>
      </w:r>
      <w:r w:rsidRPr="007A5E90">
        <w:rPr>
          <w:rFonts w:ascii="Cambria" w:hAnsi="Cambria"/>
          <w:sz w:val="20"/>
        </w:rPr>
        <w:t xml:space="preserve"> de que en 2020 se acordó aplicar el aumento del TAC de forma proporcional a los límites de capturas y de otro tipo. Este planteamiento se seguirá de nuevo; sin embargo, no sentará precedente</w:t>
      </w:r>
      <w:r w:rsidR="00654C57" w:rsidRPr="007A5E90">
        <w:rPr>
          <w:rFonts w:ascii="Cambria" w:hAnsi="Cambria"/>
          <w:sz w:val="20"/>
        </w:rPr>
        <w:t>;</w:t>
      </w:r>
    </w:p>
    <w:p w14:paraId="350840EB" w14:textId="77777777" w:rsidR="008012DD" w:rsidRPr="007A5E90" w:rsidRDefault="008012DD" w:rsidP="00C10FDE">
      <w:pPr>
        <w:spacing w:after="0" w:line="240" w:lineRule="auto"/>
        <w:jc w:val="both"/>
        <w:rPr>
          <w:rFonts w:ascii="Cambria" w:hAnsi="Cambria"/>
          <w:sz w:val="20"/>
          <w:szCs w:val="20"/>
        </w:rPr>
      </w:pPr>
    </w:p>
    <w:p w14:paraId="5946ED0E" w14:textId="77777777" w:rsidR="005E2000" w:rsidRPr="007A5E90" w:rsidRDefault="007008A8" w:rsidP="00434037">
      <w:pPr>
        <w:spacing w:after="0" w:line="240" w:lineRule="auto"/>
        <w:jc w:val="center"/>
        <w:rPr>
          <w:rFonts w:ascii="Cambria" w:hAnsi="Cambria"/>
          <w:sz w:val="20"/>
        </w:rPr>
      </w:pPr>
      <w:r w:rsidRPr="007A5E90">
        <w:rPr>
          <w:rFonts w:ascii="Cambria" w:hAnsi="Cambria"/>
          <w:sz w:val="20"/>
        </w:rPr>
        <w:t xml:space="preserve">LA COMISIÓN INTERNACIONAL PARA LA CONSERVACIÓN DEL </w:t>
      </w:r>
    </w:p>
    <w:p w14:paraId="319EE12F" w14:textId="4C3646CC" w:rsidR="005469B6" w:rsidRPr="007A5E90" w:rsidRDefault="007008A8" w:rsidP="00434037">
      <w:pPr>
        <w:spacing w:after="0" w:line="240" w:lineRule="auto"/>
        <w:jc w:val="center"/>
        <w:rPr>
          <w:rFonts w:ascii="Cambria" w:hAnsi="Cambria"/>
          <w:sz w:val="20"/>
          <w:szCs w:val="20"/>
        </w:rPr>
      </w:pPr>
      <w:r w:rsidRPr="007A5E90">
        <w:rPr>
          <w:rFonts w:ascii="Cambria" w:hAnsi="Cambria"/>
          <w:sz w:val="20"/>
        </w:rPr>
        <w:t>ATÚN ATLÁNTICO (ICCAT) RECOMIENDA LO SIGUIENTE:</w:t>
      </w:r>
    </w:p>
    <w:p w14:paraId="770F4384" w14:textId="77777777" w:rsidR="00741034" w:rsidRPr="007A5E90" w:rsidRDefault="00741034" w:rsidP="00C10FDE">
      <w:pPr>
        <w:spacing w:after="0" w:line="240" w:lineRule="auto"/>
        <w:rPr>
          <w:rFonts w:ascii="Cambria" w:hAnsi="Cambria"/>
          <w:sz w:val="20"/>
          <w:szCs w:val="20"/>
        </w:rPr>
      </w:pPr>
    </w:p>
    <w:p w14:paraId="27A8517B" w14:textId="5D6F2C5E" w:rsidR="00741034" w:rsidRPr="007A5E90" w:rsidRDefault="00741034" w:rsidP="00C10FDE">
      <w:pPr>
        <w:spacing w:after="0" w:line="240" w:lineRule="auto"/>
        <w:rPr>
          <w:rFonts w:ascii="Cambria" w:hAnsi="Cambria"/>
          <w:sz w:val="20"/>
          <w:szCs w:val="20"/>
        </w:rPr>
      </w:pPr>
      <w:r w:rsidRPr="007A5E90">
        <w:rPr>
          <w:rFonts w:ascii="Cambria" w:hAnsi="Cambria"/>
          <w:sz w:val="20"/>
          <w:szCs w:val="20"/>
        </w:rPr>
        <w:t>Los párrafos 6, 7, 8 y 9 de la Recomendación 21-04 se modificarán del siguiente modo:</w:t>
      </w:r>
    </w:p>
    <w:p w14:paraId="18103015" w14:textId="77777777" w:rsidR="00741034" w:rsidRPr="007A5E90" w:rsidRDefault="00741034" w:rsidP="00C10FDE">
      <w:pPr>
        <w:spacing w:after="0" w:line="240" w:lineRule="auto"/>
        <w:rPr>
          <w:rFonts w:ascii="Cambria" w:hAnsi="Cambria"/>
          <w:sz w:val="20"/>
          <w:szCs w:val="20"/>
        </w:rPr>
      </w:pPr>
    </w:p>
    <w:p w14:paraId="5443C765" w14:textId="057C10BD" w:rsidR="007008A8" w:rsidRPr="007A5E90" w:rsidRDefault="00654C57" w:rsidP="00654C57">
      <w:pPr>
        <w:autoSpaceDE w:val="0"/>
        <w:autoSpaceDN w:val="0"/>
        <w:adjustRightInd w:val="0"/>
        <w:spacing w:after="0" w:line="240" w:lineRule="auto"/>
        <w:ind w:left="568" w:hanging="284"/>
        <w:jc w:val="both"/>
        <w:rPr>
          <w:rFonts w:ascii="Cambria" w:hAnsi="Cambria" w:cs="Cambria"/>
          <w:sz w:val="20"/>
          <w:szCs w:val="20"/>
        </w:rPr>
      </w:pPr>
      <w:r w:rsidRPr="007A5E90">
        <w:rPr>
          <w:rFonts w:ascii="Cambria" w:hAnsi="Cambria"/>
          <w:sz w:val="20"/>
        </w:rPr>
        <w:t>“6.</w:t>
      </w:r>
      <w:r w:rsidRPr="007A5E90">
        <w:rPr>
          <w:rFonts w:ascii="Cambria" w:hAnsi="Cambria"/>
          <w:sz w:val="20"/>
        </w:rPr>
        <w:tab/>
      </w:r>
      <w:r w:rsidR="007008A8" w:rsidRPr="007A5E90">
        <w:rPr>
          <w:rFonts w:ascii="Cambria" w:hAnsi="Cambria"/>
          <w:sz w:val="20"/>
        </w:rPr>
        <w:t>De conformidad con la aplicación de los procedimientos establecidos en el</w:t>
      </w:r>
      <w:r w:rsidR="007008A8" w:rsidRPr="007A5E90">
        <w:rPr>
          <w:rFonts w:ascii="Cambria" w:hAnsi="Cambria"/>
          <w:b/>
          <w:bCs/>
          <w:sz w:val="20"/>
        </w:rPr>
        <w:t xml:space="preserve"> Anexo 1</w:t>
      </w:r>
      <w:r w:rsidR="007008A8" w:rsidRPr="007A5E90">
        <w:rPr>
          <w:rFonts w:ascii="Cambria" w:hAnsi="Cambria"/>
          <w:sz w:val="20"/>
        </w:rPr>
        <w:t xml:space="preserve"> y en el </w:t>
      </w:r>
      <w:r w:rsidR="007008A8" w:rsidRPr="007A5E90">
        <w:rPr>
          <w:rFonts w:ascii="Cambria" w:hAnsi="Cambria"/>
          <w:b/>
          <w:bCs/>
          <w:sz w:val="20"/>
        </w:rPr>
        <w:t>Anexo</w:t>
      </w:r>
      <w:r w:rsidR="00EE5FD9" w:rsidRPr="007A5E90">
        <w:rPr>
          <w:rFonts w:ascii="Cambria" w:hAnsi="Cambria"/>
          <w:b/>
          <w:bCs/>
          <w:sz w:val="20"/>
        </w:rPr>
        <w:t> </w:t>
      </w:r>
      <w:r w:rsidR="007008A8" w:rsidRPr="007A5E90">
        <w:rPr>
          <w:rFonts w:ascii="Cambria" w:hAnsi="Cambria"/>
          <w:b/>
          <w:bCs/>
          <w:sz w:val="20"/>
        </w:rPr>
        <w:t>3</w:t>
      </w:r>
      <w:r w:rsidR="007008A8" w:rsidRPr="007A5E90">
        <w:rPr>
          <w:rFonts w:ascii="Cambria" w:hAnsi="Cambria"/>
          <w:sz w:val="20"/>
        </w:rPr>
        <w:t>, se establece un TAC anual constante de 47.251</w:t>
      </w:r>
      <w:r w:rsidR="00B660FF" w:rsidRPr="007A5E90">
        <w:rPr>
          <w:rFonts w:ascii="Cambria" w:hAnsi="Cambria"/>
          <w:sz w:val="20"/>
        </w:rPr>
        <w:t> </w:t>
      </w:r>
      <w:r w:rsidR="007008A8" w:rsidRPr="007A5E90">
        <w:rPr>
          <w:rFonts w:ascii="Cambria" w:hAnsi="Cambria"/>
          <w:sz w:val="20"/>
        </w:rPr>
        <w:t>t para el periodo de ordenación 2024-2026. El TAC anual se asignará del siguiente modo:</w:t>
      </w:r>
    </w:p>
    <w:p w14:paraId="47455850" w14:textId="77777777" w:rsidR="007008A8" w:rsidRPr="007A5E90" w:rsidRDefault="007008A8" w:rsidP="00C10FDE">
      <w:pPr>
        <w:pStyle w:val="ListParagraph"/>
        <w:autoSpaceDE w:val="0"/>
        <w:autoSpaceDN w:val="0"/>
        <w:adjustRightInd w:val="0"/>
        <w:spacing w:after="0" w:line="240" w:lineRule="auto"/>
        <w:rPr>
          <w:rFonts w:ascii="Cambria" w:hAnsi="Cambria" w:cs="Cambria"/>
          <w:sz w:val="20"/>
          <w:szCs w:val="20"/>
        </w:rPr>
      </w:pPr>
      <w:r w:rsidRPr="007A5E90">
        <w:rPr>
          <w:rFonts w:ascii="Cambria" w:hAnsi="Cambria"/>
          <w:sz w:val="20"/>
        </w:rPr>
        <w:t xml:space="preserve"> </w:t>
      </w:r>
    </w:p>
    <w:tbl>
      <w:tblPr>
        <w:tblStyle w:val="TableGrid"/>
        <w:tblW w:w="0" w:type="auto"/>
        <w:tblInd w:w="1695" w:type="dxa"/>
        <w:tblLook w:val="04A0" w:firstRow="1" w:lastRow="0" w:firstColumn="1" w:lastColumn="0" w:noHBand="0" w:noVBand="1"/>
      </w:tblPr>
      <w:tblGrid>
        <w:gridCol w:w="1871"/>
        <w:gridCol w:w="3517"/>
      </w:tblGrid>
      <w:tr w:rsidR="007008A8" w:rsidRPr="007A5E90" w14:paraId="12480EAE" w14:textId="77777777" w:rsidTr="00654C57">
        <w:trPr>
          <w:trHeight w:val="519"/>
        </w:trPr>
        <w:tc>
          <w:tcPr>
            <w:tcW w:w="1871" w:type="dxa"/>
            <w:tcBorders>
              <w:top w:val="single" w:sz="4" w:space="0" w:color="auto"/>
              <w:left w:val="single" w:sz="4" w:space="0" w:color="auto"/>
              <w:bottom w:val="single" w:sz="4" w:space="0" w:color="auto"/>
              <w:right w:val="single" w:sz="4" w:space="0" w:color="auto"/>
            </w:tcBorders>
            <w:vAlign w:val="center"/>
            <w:hideMark/>
          </w:tcPr>
          <w:p w14:paraId="4A59E11C" w14:textId="77777777" w:rsidR="007008A8" w:rsidRPr="007A5E90" w:rsidRDefault="007008A8" w:rsidP="009D6F16">
            <w:pPr>
              <w:autoSpaceDE w:val="0"/>
              <w:autoSpaceDN w:val="0"/>
              <w:adjustRightInd w:val="0"/>
              <w:jc w:val="center"/>
              <w:rPr>
                <w:rFonts w:ascii="Cambria" w:hAnsi="Cambria" w:cs="Cambria"/>
                <w:i/>
                <w:iCs/>
                <w:sz w:val="20"/>
                <w:szCs w:val="20"/>
              </w:rPr>
            </w:pPr>
            <w:r w:rsidRPr="007A5E90">
              <w:rPr>
                <w:rFonts w:ascii="Cambria" w:hAnsi="Cambria"/>
                <w:i/>
                <w:sz w:val="20"/>
              </w:rPr>
              <w:t>CPC</w:t>
            </w:r>
          </w:p>
        </w:tc>
        <w:tc>
          <w:tcPr>
            <w:tcW w:w="3517" w:type="dxa"/>
            <w:tcBorders>
              <w:top w:val="single" w:sz="4" w:space="0" w:color="auto"/>
              <w:left w:val="single" w:sz="4" w:space="0" w:color="auto"/>
              <w:bottom w:val="single" w:sz="4" w:space="0" w:color="auto"/>
              <w:right w:val="single" w:sz="4" w:space="0" w:color="auto"/>
            </w:tcBorders>
            <w:vAlign w:val="center"/>
            <w:hideMark/>
          </w:tcPr>
          <w:p w14:paraId="751DC629" w14:textId="6392DC88" w:rsidR="007008A8" w:rsidRPr="007A5E90" w:rsidRDefault="007008A8" w:rsidP="009D6F16">
            <w:pPr>
              <w:autoSpaceDE w:val="0"/>
              <w:autoSpaceDN w:val="0"/>
              <w:adjustRightInd w:val="0"/>
              <w:jc w:val="center"/>
              <w:rPr>
                <w:rFonts w:ascii="Cambria" w:hAnsi="Cambria" w:cs="Cambria"/>
                <w:i/>
                <w:iCs/>
                <w:sz w:val="20"/>
                <w:szCs w:val="20"/>
              </w:rPr>
            </w:pPr>
            <w:r w:rsidRPr="007A5E90">
              <w:rPr>
                <w:rFonts w:ascii="Cambria" w:hAnsi="Cambria"/>
                <w:i/>
                <w:sz w:val="20"/>
              </w:rPr>
              <w:t xml:space="preserve">Cuota (t) para el periodo </w:t>
            </w:r>
            <w:r w:rsidR="00741034" w:rsidRPr="007A5E90">
              <w:rPr>
                <w:rFonts w:ascii="Cambria" w:hAnsi="Cambria"/>
                <w:i/>
                <w:sz w:val="20"/>
              </w:rPr>
              <w:t>2024-2026</w:t>
            </w:r>
          </w:p>
        </w:tc>
      </w:tr>
      <w:tr w:rsidR="007008A8" w:rsidRPr="007A5E90" w14:paraId="2785A747" w14:textId="77777777" w:rsidTr="00654C57">
        <w:trPr>
          <w:trHeight w:val="253"/>
        </w:trPr>
        <w:tc>
          <w:tcPr>
            <w:tcW w:w="1871" w:type="dxa"/>
            <w:tcBorders>
              <w:top w:val="single" w:sz="4" w:space="0" w:color="auto"/>
              <w:left w:val="single" w:sz="4" w:space="0" w:color="auto"/>
              <w:bottom w:val="single" w:sz="4" w:space="0" w:color="auto"/>
              <w:right w:val="single" w:sz="4" w:space="0" w:color="auto"/>
            </w:tcBorders>
            <w:hideMark/>
          </w:tcPr>
          <w:p w14:paraId="7167DF62" w14:textId="77777777" w:rsidR="007008A8" w:rsidRPr="007A5E90" w:rsidRDefault="007008A8" w:rsidP="00C10FDE">
            <w:pPr>
              <w:autoSpaceDE w:val="0"/>
              <w:autoSpaceDN w:val="0"/>
              <w:adjustRightInd w:val="0"/>
              <w:rPr>
                <w:rFonts w:ascii="Cambria" w:hAnsi="Cambria" w:cs="Cambria"/>
                <w:sz w:val="20"/>
                <w:szCs w:val="20"/>
              </w:rPr>
            </w:pPr>
            <w:r w:rsidRPr="007A5E90">
              <w:rPr>
                <w:rFonts w:ascii="Cambria" w:hAnsi="Cambria"/>
                <w:sz w:val="20"/>
              </w:rPr>
              <w:t>Unión Europea</w:t>
            </w:r>
          </w:p>
        </w:tc>
        <w:tc>
          <w:tcPr>
            <w:tcW w:w="3517" w:type="dxa"/>
            <w:tcBorders>
              <w:top w:val="single" w:sz="4" w:space="0" w:color="auto"/>
              <w:left w:val="single" w:sz="4" w:space="0" w:color="auto"/>
              <w:bottom w:val="single" w:sz="4" w:space="0" w:color="auto"/>
              <w:right w:val="single" w:sz="4" w:space="0" w:color="auto"/>
            </w:tcBorders>
            <w:hideMark/>
          </w:tcPr>
          <w:p w14:paraId="38F198F4" w14:textId="7FEB02A9" w:rsidR="007008A8" w:rsidRPr="007A5E90" w:rsidRDefault="0070639F" w:rsidP="00C10FDE">
            <w:pPr>
              <w:autoSpaceDE w:val="0"/>
              <w:autoSpaceDN w:val="0"/>
              <w:adjustRightInd w:val="0"/>
              <w:jc w:val="center"/>
              <w:rPr>
                <w:rFonts w:ascii="Cambria" w:hAnsi="Cambria" w:cs="Cambria"/>
                <w:sz w:val="20"/>
                <w:szCs w:val="20"/>
              </w:rPr>
            </w:pPr>
            <w:r w:rsidRPr="007A5E90">
              <w:rPr>
                <w:rFonts w:ascii="Cambria" w:hAnsi="Cambria"/>
                <w:sz w:val="20"/>
              </w:rPr>
              <w:t>35.815,9</w:t>
            </w:r>
          </w:p>
        </w:tc>
      </w:tr>
      <w:tr w:rsidR="007008A8" w:rsidRPr="007A5E90" w14:paraId="052E8CFC" w14:textId="77777777" w:rsidTr="00654C57">
        <w:trPr>
          <w:trHeight w:val="253"/>
        </w:trPr>
        <w:tc>
          <w:tcPr>
            <w:tcW w:w="1871" w:type="dxa"/>
            <w:tcBorders>
              <w:top w:val="single" w:sz="4" w:space="0" w:color="auto"/>
              <w:left w:val="single" w:sz="4" w:space="0" w:color="auto"/>
              <w:bottom w:val="single" w:sz="4" w:space="0" w:color="auto"/>
              <w:right w:val="single" w:sz="4" w:space="0" w:color="auto"/>
            </w:tcBorders>
            <w:hideMark/>
          </w:tcPr>
          <w:p w14:paraId="4D6F1214" w14:textId="77777777" w:rsidR="007008A8" w:rsidRPr="007A5E90" w:rsidRDefault="007008A8" w:rsidP="00C10FDE">
            <w:pPr>
              <w:autoSpaceDE w:val="0"/>
              <w:autoSpaceDN w:val="0"/>
              <w:adjustRightInd w:val="0"/>
              <w:rPr>
                <w:rFonts w:ascii="Cambria" w:hAnsi="Cambria" w:cs="Cambria"/>
                <w:sz w:val="20"/>
                <w:szCs w:val="20"/>
              </w:rPr>
            </w:pPr>
            <w:r w:rsidRPr="007A5E90">
              <w:rPr>
                <w:rFonts w:ascii="Cambria" w:hAnsi="Cambria"/>
                <w:sz w:val="20"/>
              </w:rPr>
              <w:t>Taipei Chino</w:t>
            </w:r>
          </w:p>
        </w:tc>
        <w:tc>
          <w:tcPr>
            <w:tcW w:w="3517" w:type="dxa"/>
            <w:tcBorders>
              <w:top w:val="single" w:sz="4" w:space="0" w:color="auto"/>
              <w:left w:val="single" w:sz="4" w:space="0" w:color="auto"/>
              <w:bottom w:val="single" w:sz="4" w:space="0" w:color="auto"/>
              <w:right w:val="single" w:sz="4" w:space="0" w:color="auto"/>
            </w:tcBorders>
            <w:hideMark/>
          </w:tcPr>
          <w:p w14:paraId="39156774" w14:textId="34BA08B6" w:rsidR="007008A8" w:rsidRPr="007A5E90" w:rsidRDefault="0070639F" w:rsidP="00C10FDE">
            <w:pPr>
              <w:autoSpaceDE w:val="0"/>
              <w:autoSpaceDN w:val="0"/>
              <w:adjustRightInd w:val="0"/>
              <w:jc w:val="center"/>
              <w:rPr>
                <w:rFonts w:ascii="Cambria" w:hAnsi="Cambria" w:cs="Cambria"/>
                <w:sz w:val="20"/>
                <w:szCs w:val="20"/>
              </w:rPr>
            </w:pPr>
            <w:r w:rsidRPr="007A5E90">
              <w:rPr>
                <w:rFonts w:ascii="Cambria" w:hAnsi="Cambria"/>
                <w:sz w:val="20"/>
              </w:rPr>
              <w:t>5.521,1</w:t>
            </w:r>
          </w:p>
        </w:tc>
      </w:tr>
      <w:tr w:rsidR="00EA151A" w:rsidRPr="007A5E90" w14:paraId="75EC50BA" w14:textId="77777777" w:rsidTr="00654C57">
        <w:trPr>
          <w:trHeight w:val="253"/>
        </w:trPr>
        <w:tc>
          <w:tcPr>
            <w:tcW w:w="1871" w:type="dxa"/>
            <w:tcBorders>
              <w:top w:val="single" w:sz="4" w:space="0" w:color="auto"/>
              <w:left w:val="single" w:sz="4" w:space="0" w:color="auto"/>
              <w:bottom w:val="single" w:sz="4" w:space="0" w:color="auto"/>
              <w:right w:val="single" w:sz="4" w:space="0" w:color="auto"/>
            </w:tcBorders>
          </w:tcPr>
          <w:p w14:paraId="296ACD3A" w14:textId="27E09A38" w:rsidR="00EA151A" w:rsidRPr="007A5E90" w:rsidRDefault="00EA151A" w:rsidP="00EA151A">
            <w:pPr>
              <w:autoSpaceDE w:val="0"/>
              <w:autoSpaceDN w:val="0"/>
              <w:adjustRightInd w:val="0"/>
              <w:rPr>
                <w:rFonts w:ascii="Cambria" w:hAnsi="Cambria"/>
                <w:sz w:val="20"/>
              </w:rPr>
            </w:pPr>
            <w:r w:rsidRPr="007A5E90">
              <w:rPr>
                <w:rFonts w:ascii="Cambria" w:hAnsi="Cambria"/>
                <w:sz w:val="20"/>
              </w:rPr>
              <w:t>Estados Unidos</w:t>
            </w:r>
          </w:p>
        </w:tc>
        <w:tc>
          <w:tcPr>
            <w:tcW w:w="3517" w:type="dxa"/>
            <w:tcBorders>
              <w:top w:val="single" w:sz="4" w:space="0" w:color="auto"/>
              <w:left w:val="single" w:sz="4" w:space="0" w:color="auto"/>
              <w:bottom w:val="single" w:sz="4" w:space="0" w:color="auto"/>
              <w:right w:val="single" w:sz="4" w:space="0" w:color="auto"/>
            </w:tcBorders>
          </w:tcPr>
          <w:p w14:paraId="01500569" w14:textId="6E892A30" w:rsidR="00EA151A" w:rsidRPr="007A5E90" w:rsidRDefault="00EA151A" w:rsidP="00EA151A">
            <w:pPr>
              <w:autoSpaceDE w:val="0"/>
              <w:autoSpaceDN w:val="0"/>
              <w:adjustRightInd w:val="0"/>
              <w:jc w:val="center"/>
              <w:rPr>
                <w:rFonts w:ascii="Cambria" w:hAnsi="Cambria"/>
                <w:sz w:val="20"/>
              </w:rPr>
            </w:pPr>
            <w:r w:rsidRPr="007A5E90">
              <w:rPr>
                <w:rFonts w:ascii="Cambria" w:hAnsi="Cambria"/>
                <w:sz w:val="20"/>
              </w:rPr>
              <w:t>889,4</w:t>
            </w:r>
          </w:p>
        </w:tc>
      </w:tr>
      <w:tr w:rsidR="00EA151A" w:rsidRPr="007A5E90" w14:paraId="6E25515A" w14:textId="77777777" w:rsidTr="00654C57">
        <w:trPr>
          <w:trHeight w:val="253"/>
        </w:trPr>
        <w:tc>
          <w:tcPr>
            <w:tcW w:w="1871" w:type="dxa"/>
            <w:tcBorders>
              <w:top w:val="single" w:sz="4" w:space="0" w:color="auto"/>
              <w:left w:val="single" w:sz="4" w:space="0" w:color="auto"/>
              <w:bottom w:val="single" w:sz="4" w:space="0" w:color="auto"/>
              <w:right w:val="single" w:sz="4" w:space="0" w:color="auto"/>
            </w:tcBorders>
          </w:tcPr>
          <w:p w14:paraId="3C2169D9" w14:textId="3DB6EE48" w:rsidR="00EA151A" w:rsidRPr="007A5E90" w:rsidRDefault="00EA151A" w:rsidP="00EA151A">
            <w:pPr>
              <w:autoSpaceDE w:val="0"/>
              <w:autoSpaceDN w:val="0"/>
              <w:adjustRightInd w:val="0"/>
              <w:rPr>
                <w:rFonts w:ascii="Cambria" w:hAnsi="Cambria" w:cs="Cambria"/>
                <w:sz w:val="20"/>
                <w:szCs w:val="20"/>
              </w:rPr>
            </w:pPr>
            <w:r w:rsidRPr="007A5E90">
              <w:rPr>
                <w:rFonts w:ascii="Cambria" w:hAnsi="Cambria"/>
                <w:sz w:val="20"/>
              </w:rPr>
              <w:t>Reino Unido*</w:t>
            </w:r>
          </w:p>
        </w:tc>
        <w:tc>
          <w:tcPr>
            <w:tcW w:w="3517" w:type="dxa"/>
            <w:tcBorders>
              <w:top w:val="single" w:sz="4" w:space="0" w:color="auto"/>
              <w:left w:val="single" w:sz="4" w:space="0" w:color="auto"/>
              <w:bottom w:val="single" w:sz="4" w:space="0" w:color="auto"/>
              <w:right w:val="single" w:sz="4" w:space="0" w:color="auto"/>
            </w:tcBorders>
          </w:tcPr>
          <w:p w14:paraId="68E68265" w14:textId="488D4770" w:rsidR="00EA151A" w:rsidRPr="007A5E90" w:rsidRDefault="00EA151A" w:rsidP="00EA151A">
            <w:pPr>
              <w:autoSpaceDE w:val="0"/>
              <w:autoSpaceDN w:val="0"/>
              <w:adjustRightInd w:val="0"/>
              <w:jc w:val="center"/>
              <w:rPr>
                <w:rFonts w:ascii="Cambria" w:hAnsi="Cambria" w:cs="Cambria"/>
                <w:sz w:val="20"/>
                <w:szCs w:val="20"/>
              </w:rPr>
            </w:pPr>
            <w:r w:rsidRPr="007A5E90">
              <w:rPr>
                <w:rFonts w:ascii="Cambria" w:hAnsi="Cambria"/>
                <w:sz w:val="20"/>
              </w:rPr>
              <w:t>752,8</w:t>
            </w:r>
          </w:p>
        </w:tc>
      </w:tr>
      <w:tr w:rsidR="00EA151A" w:rsidRPr="007A5E90" w14:paraId="0453D12A" w14:textId="77777777" w:rsidTr="00654C57">
        <w:trPr>
          <w:trHeight w:val="266"/>
        </w:trPr>
        <w:tc>
          <w:tcPr>
            <w:tcW w:w="1871" w:type="dxa"/>
            <w:tcBorders>
              <w:top w:val="single" w:sz="4" w:space="0" w:color="auto"/>
              <w:left w:val="single" w:sz="4" w:space="0" w:color="auto"/>
              <w:bottom w:val="single" w:sz="4" w:space="0" w:color="auto"/>
              <w:right w:val="single" w:sz="4" w:space="0" w:color="auto"/>
            </w:tcBorders>
            <w:hideMark/>
          </w:tcPr>
          <w:p w14:paraId="0975B194" w14:textId="77777777" w:rsidR="00EA151A" w:rsidRPr="007A5E90" w:rsidRDefault="00EA151A" w:rsidP="00EA151A">
            <w:pPr>
              <w:autoSpaceDE w:val="0"/>
              <w:autoSpaceDN w:val="0"/>
              <w:adjustRightInd w:val="0"/>
              <w:rPr>
                <w:rFonts w:ascii="Cambria" w:hAnsi="Cambria" w:cs="Cambria"/>
                <w:sz w:val="20"/>
                <w:szCs w:val="20"/>
              </w:rPr>
            </w:pPr>
            <w:r w:rsidRPr="007A5E90">
              <w:rPr>
                <w:rFonts w:ascii="Cambria" w:hAnsi="Cambria"/>
                <w:sz w:val="20"/>
              </w:rPr>
              <w:t>Venezuela</w:t>
            </w:r>
          </w:p>
        </w:tc>
        <w:tc>
          <w:tcPr>
            <w:tcW w:w="3517" w:type="dxa"/>
            <w:tcBorders>
              <w:top w:val="single" w:sz="4" w:space="0" w:color="auto"/>
              <w:left w:val="single" w:sz="4" w:space="0" w:color="auto"/>
              <w:bottom w:val="single" w:sz="4" w:space="0" w:color="auto"/>
              <w:right w:val="single" w:sz="4" w:space="0" w:color="auto"/>
            </w:tcBorders>
            <w:hideMark/>
          </w:tcPr>
          <w:p w14:paraId="032A2ED8" w14:textId="22E51694" w:rsidR="00EA151A" w:rsidRPr="007A5E90" w:rsidRDefault="00EA151A" w:rsidP="00EA151A">
            <w:pPr>
              <w:autoSpaceDE w:val="0"/>
              <w:autoSpaceDN w:val="0"/>
              <w:adjustRightInd w:val="0"/>
              <w:jc w:val="center"/>
              <w:rPr>
                <w:rFonts w:ascii="Cambria" w:hAnsi="Cambria" w:cs="Cambria"/>
                <w:sz w:val="20"/>
                <w:szCs w:val="20"/>
              </w:rPr>
            </w:pPr>
            <w:r w:rsidRPr="007A5E90">
              <w:rPr>
                <w:rFonts w:ascii="Cambria" w:hAnsi="Cambria"/>
                <w:sz w:val="20"/>
              </w:rPr>
              <w:t>421,9</w:t>
            </w:r>
          </w:p>
        </w:tc>
      </w:tr>
    </w:tbl>
    <w:p w14:paraId="294EF03F" w14:textId="1A42C349" w:rsidR="00741034" w:rsidRPr="007A5E90" w:rsidRDefault="004F77C3" w:rsidP="00654C57">
      <w:pPr>
        <w:pStyle w:val="Default"/>
        <w:tabs>
          <w:tab w:val="left" w:pos="1701"/>
          <w:tab w:val="left" w:pos="5103"/>
        </w:tabs>
        <w:ind w:left="1701" w:right="1558"/>
        <w:jc w:val="both"/>
        <w:rPr>
          <w:color w:val="auto"/>
          <w:sz w:val="16"/>
          <w:szCs w:val="16"/>
        </w:rPr>
      </w:pPr>
      <w:r w:rsidRPr="007A5E90">
        <w:rPr>
          <w:color w:val="auto"/>
          <w:sz w:val="16"/>
          <w:szCs w:val="16"/>
        </w:rPr>
        <w:t>*</w:t>
      </w:r>
      <w:r w:rsidR="00741034" w:rsidRPr="007A5E90">
        <w:rPr>
          <w:color w:val="auto"/>
          <w:sz w:val="16"/>
          <w:szCs w:val="16"/>
        </w:rPr>
        <w:t>Esto incluye 200 t destinadas exclusivamente a las capturas de los territorios de ultramar del Reino Unido cubierto</w:t>
      </w:r>
      <w:r w:rsidR="009533FF" w:rsidRPr="007A5E90">
        <w:rPr>
          <w:color w:val="auto"/>
          <w:sz w:val="16"/>
          <w:szCs w:val="16"/>
        </w:rPr>
        <w:t>s</w:t>
      </w:r>
      <w:r w:rsidR="00741034" w:rsidRPr="007A5E90">
        <w:rPr>
          <w:color w:val="auto"/>
          <w:sz w:val="16"/>
          <w:szCs w:val="16"/>
        </w:rPr>
        <w:t xml:space="preserve"> por el Convenio de ICCAT.</w:t>
      </w:r>
    </w:p>
    <w:p w14:paraId="1C7377CA" w14:textId="77777777" w:rsidR="00D84C54" w:rsidRPr="007A5E90" w:rsidRDefault="00D84C54" w:rsidP="00202F7D">
      <w:pPr>
        <w:pStyle w:val="Default"/>
        <w:tabs>
          <w:tab w:val="left" w:pos="1701"/>
        </w:tabs>
        <w:ind w:left="1701" w:right="3684"/>
        <w:jc w:val="both"/>
        <w:rPr>
          <w:color w:val="auto"/>
          <w:sz w:val="20"/>
        </w:rPr>
      </w:pPr>
    </w:p>
    <w:p w14:paraId="1E8BF0AF" w14:textId="398E75EE" w:rsidR="007008A8" w:rsidRPr="007A5E90" w:rsidRDefault="007008A8" w:rsidP="00654C57">
      <w:pPr>
        <w:autoSpaceDE w:val="0"/>
        <w:autoSpaceDN w:val="0"/>
        <w:adjustRightInd w:val="0"/>
        <w:spacing w:after="0" w:line="240" w:lineRule="auto"/>
        <w:ind w:left="568" w:hanging="284"/>
        <w:jc w:val="both"/>
        <w:rPr>
          <w:sz w:val="20"/>
        </w:rPr>
      </w:pPr>
      <w:r w:rsidRPr="007A5E90">
        <w:rPr>
          <w:rFonts w:ascii="Cambria" w:hAnsi="Cambria"/>
          <w:sz w:val="20"/>
        </w:rPr>
        <w:t>Transferencias</w:t>
      </w:r>
      <w:r w:rsidR="004F77C3" w:rsidRPr="007A5E90">
        <w:rPr>
          <w:sz w:val="20"/>
        </w:rPr>
        <w:t>:</w:t>
      </w:r>
    </w:p>
    <w:p w14:paraId="223C434E" w14:textId="77777777" w:rsidR="004F77C3" w:rsidRPr="007A5E90" w:rsidRDefault="004F77C3" w:rsidP="004F77C3">
      <w:pPr>
        <w:pStyle w:val="Default"/>
        <w:tabs>
          <w:tab w:val="left" w:pos="1843"/>
        </w:tabs>
        <w:ind w:left="502"/>
        <w:jc w:val="both"/>
        <w:rPr>
          <w:color w:val="auto"/>
          <w:sz w:val="20"/>
          <w:szCs w:val="20"/>
        </w:rPr>
      </w:pPr>
    </w:p>
    <w:p w14:paraId="1D97D898" w14:textId="3D999F3B" w:rsidR="007008A8" w:rsidRPr="007A5E90" w:rsidRDefault="007008A8" w:rsidP="00654C57">
      <w:pPr>
        <w:pStyle w:val="Default"/>
        <w:numPr>
          <w:ilvl w:val="0"/>
          <w:numId w:val="2"/>
        </w:numPr>
        <w:tabs>
          <w:tab w:val="left" w:pos="1843"/>
        </w:tabs>
        <w:ind w:left="709" w:hanging="283"/>
        <w:jc w:val="both"/>
        <w:rPr>
          <w:color w:val="auto"/>
          <w:sz w:val="20"/>
          <w:szCs w:val="20"/>
        </w:rPr>
      </w:pPr>
      <w:r w:rsidRPr="007A5E90">
        <w:rPr>
          <w:color w:val="auto"/>
          <w:sz w:val="20"/>
        </w:rPr>
        <w:t>Se autoriza a Taipei Chino a transferir a Belice 200 t de atún blanco del Atlántico norte para 2024</w:t>
      </w:r>
      <w:r w:rsidR="00D84C54" w:rsidRPr="007A5E90">
        <w:rPr>
          <w:color w:val="auto"/>
          <w:sz w:val="20"/>
        </w:rPr>
        <w:t>, 2025</w:t>
      </w:r>
      <w:r w:rsidRPr="007A5E90">
        <w:rPr>
          <w:color w:val="auto"/>
          <w:sz w:val="20"/>
        </w:rPr>
        <w:t xml:space="preserve"> y </w:t>
      </w:r>
      <w:r w:rsidR="00D84C54" w:rsidRPr="007A5E90">
        <w:rPr>
          <w:color w:val="auto"/>
          <w:sz w:val="20"/>
        </w:rPr>
        <w:t>2026</w:t>
      </w:r>
      <w:r w:rsidRPr="007A5E90">
        <w:rPr>
          <w:color w:val="auto"/>
          <w:sz w:val="20"/>
        </w:rPr>
        <w:t>.</w:t>
      </w:r>
    </w:p>
    <w:p w14:paraId="091BD449" w14:textId="77777777" w:rsidR="000E583C" w:rsidRPr="007A5E90" w:rsidRDefault="000E583C" w:rsidP="000E583C">
      <w:pPr>
        <w:pStyle w:val="Default"/>
        <w:tabs>
          <w:tab w:val="left" w:pos="1843"/>
        </w:tabs>
        <w:ind w:left="502"/>
        <w:jc w:val="both"/>
        <w:rPr>
          <w:color w:val="auto"/>
          <w:sz w:val="20"/>
          <w:szCs w:val="20"/>
        </w:rPr>
      </w:pPr>
    </w:p>
    <w:p w14:paraId="3947AECE" w14:textId="1661CDE1" w:rsidR="007008A8" w:rsidRPr="007A5E90" w:rsidRDefault="00654C57" w:rsidP="00654C57">
      <w:pPr>
        <w:autoSpaceDE w:val="0"/>
        <w:autoSpaceDN w:val="0"/>
        <w:adjustRightInd w:val="0"/>
        <w:spacing w:after="0" w:line="240" w:lineRule="auto"/>
        <w:ind w:left="568" w:hanging="284"/>
        <w:jc w:val="both"/>
        <w:rPr>
          <w:rFonts w:ascii="Cambria" w:hAnsi="Cambria" w:cs="Cambria"/>
          <w:sz w:val="20"/>
          <w:szCs w:val="20"/>
        </w:rPr>
      </w:pPr>
      <w:r w:rsidRPr="007A5E90">
        <w:rPr>
          <w:rFonts w:ascii="Cambria" w:hAnsi="Cambria"/>
          <w:sz w:val="20"/>
        </w:rPr>
        <w:t>7.</w:t>
      </w:r>
      <w:r w:rsidRPr="007A5E90">
        <w:rPr>
          <w:rFonts w:ascii="Cambria" w:hAnsi="Cambria"/>
          <w:sz w:val="20"/>
        </w:rPr>
        <w:tab/>
      </w:r>
      <w:r w:rsidR="007008A8" w:rsidRPr="007A5E90">
        <w:rPr>
          <w:rFonts w:ascii="Cambria" w:hAnsi="Cambria"/>
          <w:sz w:val="20"/>
        </w:rPr>
        <w:t xml:space="preserve">Las CPC no mencionadas en el párrafo 6 limitarán sus capturas anuales a </w:t>
      </w:r>
      <w:r w:rsidR="00D84C54" w:rsidRPr="007A5E90">
        <w:rPr>
          <w:rFonts w:ascii="Cambria" w:hAnsi="Cambria"/>
          <w:sz w:val="20"/>
        </w:rPr>
        <w:t>302</w:t>
      </w:r>
      <w:r w:rsidR="007008A8" w:rsidRPr="007A5E90">
        <w:rPr>
          <w:rFonts w:ascii="Cambria" w:hAnsi="Cambria"/>
          <w:sz w:val="20"/>
        </w:rPr>
        <w:t xml:space="preserve"> t.</w:t>
      </w:r>
    </w:p>
    <w:p w14:paraId="0E09D61A" w14:textId="77777777" w:rsidR="007008A8" w:rsidRPr="007A5E90" w:rsidRDefault="007008A8" w:rsidP="00C10FDE">
      <w:pPr>
        <w:pStyle w:val="ListParagraph"/>
        <w:autoSpaceDE w:val="0"/>
        <w:autoSpaceDN w:val="0"/>
        <w:adjustRightInd w:val="0"/>
        <w:spacing w:after="0" w:line="240" w:lineRule="auto"/>
        <w:rPr>
          <w:rFonts w:ascii="Cambria" w:hAnsi="Cambria" w:cs="Cambria"/>
          <w:sz w:val="20"/>
          <w:szCs w:val="20"/>
        </w:rPr>
      </w:pPr>
    </w:p>
    <w:p w14:paraId="2A675EF1" w14:textId="68C1DB8F" w:rsidR="007008A8" w:rsidRPr="007A5E90" w:rsidRDefault="00654C57" w:rsidP="00654C57">
      <w:pPr>
        <w:autoSpaceDE w:val="0"/>
        <w:autoSpaceDN w:val="0"/>
        <w:adjustRightInd w:val="0"/>
        <w:spacing w:after="0" w:line="240" w:lineRule="auto"/>
        <w:ind w:left="568" w:hanging="284"/>
        <w:jc w:val="both"/>
        <w:rPr>
          <w:rFonts w:ascii="Cambria" w:hAnsi="Cambria" w:cs="Cambria"/>
          <w:sz w:val="20"/>
          <w:szCs w:val="20"/>
        </w:rPr>
      </w:pPr>
      <w:r w:rsidRPr="007A5E90">
        <w:rPr>
          <w:rFonts w:ascii="Cambria" w:hAnsi="Cambria"/>
          <w:sz w:val="20"/>
        </w:rPr>
        <w:t>8.</w:t>
      </w:r>
      <w:r w:rsidRPr="007A5E90">
        <w:rPr>
          <w:rFonts w:ascii="Cambria" w:hAnsi="Cambria"/>
          <w:sz w:val="20"/>
        </w:rPr>
        <w:tab/>
      </w:r>
      <w:r w:rsidR="007008A8" w:rsidRPr="007A5E90">
        <w:rPr>
          <w:rFonts w:ascii="Cambria" w:hAnsi="Cambria"/>
          <w:sz w:val="20"/>
        </w:rPr>
        <w:t>Por derogación de los párrafos 6 y 7, Japón se esforzará por limitar el peso total de su captura anual de atún blanco del Atlántico norte a un máximo del 4,5 % del peso de su captura palangrera total de patudo en el océano Atlántico en 2024</w:t>
      </w:r>
      <w:r w:rsidR="00D84C54" w:rsidRPr="007A5E90">
        <w:rPr>
          <w:rFonts w:ascii="Cambria" w:hAnsi="Cambria"/>
          <w:sz w:val="20"/>
        </w:rPr>
        <w:t>, 2025</w:t>
      </w:r>
      <w:r w:rsidR="007008A8" w:rsidRPr="007A5E90">
        <w:rPr>
          <w:rFonts w:ascii="Cambria" w:hAnsi="Cambria"/>
          <w:sz w:val="20"/>
        </w:rPr>
        <w:t xml:space="preserve"> y 202</w:t>
      </w:r>
      <w:r w:rsidR="00D84C54" w:rsidRPr="007A5E90">
        <w:rPr>
          <w:rFonts w:ascii="Cambria" w:hAnsi="Cambria"/>
          <w:sz w:val="20"/>
        </w:rPr>
        <w:t>6</w:t>
      </w:r>
      <w:r w:rsidR="007008A8" w:rsidRPr="007A5E90">
        <w:rPr>
          <w:rFonts w:ascii="Cambria" w:hAnsi="Cambria"/>
          <w:sz w:val="20"/>
        </w:rPr>
        <w:t>.</w:t>
      </w:r>
    </w:p>
    <w:p w14:paraId="677D6A60" w14:textId="77777777" w:rsidR="00325856" w:rsidRPr="007A5E90" w:rsidRDefault="00325856" w:rsidP="00C10FDE">
      <w:pPr>
        <w:autoSpaceDE w:val="0"/>
        <w:autoSpaceDN w:val="0"/>
        <w:adjustRightInd w:val="0"/>
        <w:spacing w:after="0" w:line="240" w:lineRule="auto"/>
        <w:rPr>
          <w:rFonts w:ascii="Cambria" w:hAnsi="Cambria" w:cs="Cambria"/>
          <w:sz w:val="20"/>
          <w:szCs w:val="20"/>
        </w:rPr>
      </w:pPr>
    </w:p>
    <w:p w14:paraId="0B653DEE" w14:textId="17F0A1CE" w:rsidR="007008A8" w:rsidRPr="007A5E90" w:rsidRDefault="00654C57" w:rsidP="00654C57">
      <w:pPr>
        <w:autoSpaceDE w:val="0"/>
        <w:autoSpaceDN w:val="0"/>
        <w:adjustRightInd w:val="0"/>
        <w:spacing w:after="0" w:line="240" w:lineRule="auto"/>
        <w:ind w:left="568" w:hanging="284"/>
        <w:jc w:val="both"/>
        <w:rPr>
          <w:rFonts w:ascii="Cambria" w:hAnsi="Cambria" w:cs="Cambria"/>
          <w:sz w:val="20"/>
          <w:szCs w:val="20"/>
        </w:rPr>
      </w:pPr>
      <w:r w:rsidRPr="007A5E90">
        <w:rPr>
          <w:rFonts w:ascii="Cambria" w:hAnsi="Cambria"/>
          <w:sz w:val="20"/>
        </w:rPr>
        <w:lastRenderedPageBreak/>
        <w:t>9.</w:t>
      </w:r>
      <w:r w:rsidRPr="007A5E90">
        <w:rPr>
          <w:rFonts w:ascii="Cambria" w:hAnsi="Cambria"/>
          <w:sz w:val="20"/>
        </w:rPr>
        <w:tab/>
      </w:r>
      <w:r w:rsidR="007008A8" w:rsidRPr="007A5E90">
        <w:rPr>
          <w:rFonts w:ascii="Cambria" w:hAnsi="Cambria"/>
          <w:sz w:val="20"/>
        </w:rPr>
        <w:t xml:space="preserve">Cualquier parte no utilizada o exceso de captura de la cuota/límite de captura anual de una CPC podrá añadirse a/se deducirá de, según el caso, la cuota/límite de captura </w:t>
      </w:r>
      <w:r w:rsidR="00F81C8A" w:rsidRPr="007A5E90">
        <w:rPr>
          <w:rFonts w:ascii="Cambria" w:hAnsi="Cambria"/>
          <w:sz w:val="20"/>
        </w:rPr>
        <w:t xml:space="preserve">correspondiente </w:t>
      </w:r>
      <w:r w:rsidR="007008A8" w:rsidRPr="007A5E90">
        <w:rPr>
          <w:rFonts w:ascii="Cambria" w:hAnsi="Cambria"/>
          <w:sz w:val="20"/>
        </w:rPr>
        <w:t>antes o durante el año de ajuste, de la siguiente manera:</w:t>
      </w:r>
    </w:p>
    <w:p w14:paraId="4605946C" w14:textId="77777777" w:rsidR="007008A8" w:rsidRPr="007A5E90" w:rsidRDefault="007008A8" w:rsidP="00C10FDE">
      <w:pPr>
        <w:pStyle w:val="ListParagraph"/>
        <w:autoSpaceDE w:val="0"/>
        <w:autoSpaceDN w:val="0"/>
        <w:adjustRightInd w:val="0"/>
        <w:spacing w:after="0" w:line="240" w:lineRule="auto"/>
        <w:jc w:val="both"/>
        <w:rPr>
          <w:rFonts w:ascii="Cambria" w:hAnsi="Cambria" w:cs="Cambria"/>
          <w:sz w:val="20"/>
          <w:szCs w:val="20"/>
        </w:rPr>
      </w:pPr>
    </w:p>
    <w:tbl>
      <w:tblPr>
        <w:tblStyle w:val="TableGrid"/>
        <w:tblW w:w="0" w:type="auto"/>
        <w:tblInd w:w="2115" w:type="dxa"/>
        <w:tblLook w:val="04A0" w:firstRow="1" w:lastRow="0" w:firstColumn="1" w:lastColumn="0" w:noHBand="0" w:noVBand="1"/>
      </w:tblPr>
      <w:tblGrid>
        <w:gridCol w:w="1728"/>
        <w:gridCol w:w="1890"/>
      </w:tblGrid>
      <w:tr w:rsidR="007008A8" w:rsidRPr="007A5E90" w14:paraId="4F2CC2C9" w14:textId="77777777" w:rsidTr="007008A8">
        <w:tc>
          <w:tcPr>
            <w:tcW w:w="1728" w:type="dxa"/>
            <w:tcBorders>
              <w:top w:val="single" w:sz="4" w:space="0" w:color="auto"/>
              <w:left w:val="single" w:sz="4" w:space="0" w:color="auto"/>
              <w:bottom w:val="single" w:sz="4" w:space="0" w:color="auto"/>
              <w:right w:val="single" w:sz="4" w:space="0" w:color="auto"/>
            </w:tcBorders>
            <w:hideMark/>
          </w:tcPr>
          <w:p w14:paraId="5F1BDF94" w14:textId="77777777" w:rsidR="007008A8" w:rsidRPr="007A5E90" w:rsidRDefault="007008A8" w:rsidP="00C10FDE">
            <w:pPr>
              <w:autoSpaceDE w:val="0"/>
              <w:autoSpaceDN w:val="0"/>
              <w:adjustRightInd w:val="0"/>
              <w:jc w:val="center"/>
              <w:rPr>
                <w:rFonts w:ascii="Cambria" w:hAnsi="Cambria" w:cs="Cambria"/>
                <w:sz w:val="20"/>
                <w:szCs w:val="20"/>
              </w:rPr>
            </w:pPr>
            <w:r w:rsidRPr="007A5E90">
              <w:rPr>
                <w:rFonts w:ascii="Cambria" w:hAnsi="Cambria"/>
                <w:i/>
                <w:sz w:val="20"/>
              </w:rPr>
              <w:t>Año de captura</w:t>
            </w:r>
          </w:p>
        </w:tc>
        <w:tc>
          <w:tcPr>
            <w:tcW w:w="1890" w:type="dxa"/>
            <w:tcBorders>
              <w:top w:val="single" w:sz="4" w:space="0" w:color="auto"/>
              <w:left w:val="single" w:sz="4" w:space="0" w:color="auto"/>
              <w:bottom w:val="single" w:sz="4" w:space="0" w:color="auto"/>
              <w:right w:val="single" w:sz="4" w:space="0" w:color="auto"/>
            </w:tcBorders>
            <w:hideMark/>
          </w:tcPr>
          <w:p w14:paraId="4B5D23A1" w14:textId="77777777" w:rsidR="007008A8" w:rsidRPr="007A5E90" w:rsidRDefault="007008A8" w:rsidP="00C10FDE">
            <w:pPr>
              <w:autoSpaceDE w:val="0"/>
              <w:autoSpaceDN w:val="0"/>
              <w:adjustRightInd w:val="0"/>
              <w:jc w:val="center"/>
              <w:rPr>
                <w:rFonts w:ascii="Cambria" w:hAnsi="Cambria" w:cs="Cambria"/>
                <w:sz w:val="20"/>
                <w:szCs w:val="20"/>
              </w:rPr>
            </w:pPr>
            <w:r w:rsidRPr="007A5E90">
              <w:rPr>
                <w:rFonts w:ascii="Cambria" w:hAnsi="Cambria"/>
                <w:i/>
                <w:sz w:val="20"/>
              </w:rPr>
              <w:t>Año de ajuste</w:t>
            </w:r>
          </w:p>
        </w:tc>
      </w:tr>
      <w:tr w:rsidR="007008A8" w:rsidRPr="007A5E90" w14:paraId="2621DF4F" w14:textId="77777777" w:rsidTr="007008A8">
        <w:tc>
          <w:tcPr>
            <w:tcW w:w="1728" w:type="dxa"/>
            <w:tcBorders>
              <w:top w:val="single" w:sz="4" w:space="0" w:color="auto"/>
              <w:left w:val="single" w:sz="4" w:space="0" w:color="auto"/>
              <w:bottom w:val="single" w:sz="4" w:space="0" w:color="auto"/>
              <w:right w:val="single" w:sz="4" w:space="0" w:color="auto"/>
            </w:tcBorders>
            <w:hideMark/>
          </w:tcPr>
          <w:p w14:paraId="6D0AE2E0" w14:textId="77777777" w:rsidR="007008A8" w:rsidRPr="007A5E90" w:rsidRDefault="007008A8" w:rsidP="00C10FDE">
            <w:pPr>
              <w:autoSpaceDE w:val="0"/>
              <w:autoSpaceDN w:val="0"/>
              <w:adjustRightInd w:val="0"/>
              <w:jc w:val="center"/>
              <w:rPr>
                <w:rFonts w:ascii="Cambria" w:hAnsi="Cambria" w:cs="Cambria"/>
                <w:sz w:val="20"/>
                <w:szCs w:val="20"/>
              </w:rPr>
            </w:pPr>
            <w:r w:rsidRPr="007A5E90">
              <w:rPr>
                <w:rFonts w:ascii="Cambria" w:hAnsi="Cambria"/>
                <w:sz w:val="20"/>
              </w:rPr>
              <w:t>2022</w:t>
            </w:r>
          </w:p>
        </w:tc>
        <w:tc>
          <w:tcPr>
            <w:tcW w:w="1890" w:type="dxa"/>
            <w:tcBorders>
              <w:top w:val="single" w:sz="4" w:space="0" w:color="auto"/>
              <w:left w:val="single" w:sz="4" w:space="0" w:color="auto"/>
              <w:bottom w:val="single" w:sz="4" w:space="0" w:color="auto"/>
              <w:right w:val="single" w:sz="4" w:space="0" w:color="auto"/>
            </w:tcBorders>
            <w:hideMark/>
          </w:tcPr>
          <w:p w14:paraId="55AE989F" w14:textId="77777777" w:rsidR="007008A8" w:rsidRPr="007A5E90" w:rsidRDefault="007008A8" w:rsidP="00C10FDE">
            <w:pPr>
              <w:autoSpaceDE w:val="0"/>
              <w:autoSpaceDN w:val="0"/>
              <w:adjustRightInd w:val="0"/>
              <w:jc w:val="center"/>
              <w:rPr>
                <w:rFonts w:ascii="Cambria" w:hAnsi="Cambria" w:cs="Cambria"/>
                <w:sz w:val="20"/>
                <w:szCs w:val="20"/>
              </w:rPr>
            </w:pPr>
            <w:r w:rsidRPr="007A5E90">
              <w:rPr>
                <w:rFonts w:ascii="Cambria" w:hAnsi="Cambria"/>
                <w:sz w:val="20"/>
              </w:rPr>
              <w:t>2024</w:t>
            </w:r>
          </w:p>
        </w:tc>
      </w:tr>
      <w:tr w:rsidR="007008A8" w:rsidRPr="007A5E90" w14:paraId="711AB6A6" w14:textId="77777777" w:rsidTr="007008A8">
        <w:tc>
          <w:tcPr>
            <w:tcW w:w="1728" w:type="dxa"/>
            <w:tcBorders>
              <w:top w:val="single" w:sz="4" w:space="0" w:color="auto"/>
              <w:left w:val="single" w:sz="4" w:space="0" w:color="auto"/>
              <w:bottom w:val="single" w:sz="4" w:space="0" w:color="auto"/>
              <w:right w:val="single" w:sz="4" w:space="0" w:color="auto"/>
            </w:tcBorders>
            <w:hideMark/>
          </w:tcPr>
          <w:p w14:paraId="7C80A17A" w14:textId="77777777" w:rsidR="007008A8" w:rsidRPr="007A5E90" w:rsidRDefault="007008A8" w:rsidP="00C10FDE">
            <w:pPr>
              <w:autoSpaceDE w:val="0"/>
              <w:autoSpaceDN w:val="0"/>
              <w:adjustRightInd w:val="0"/>
              <w:jc w:val="center"/>
              <w:rPr>
                <w:rFonts w:ascii="Cambria" w:hAnsi="Cambria" w:cs="Cambria"/>
                <w:sz w:val="20"/>
                <w:szCs w:val="20"/>
              </w:rPr>
            </w:pPr>
            <w:r w:rsidRPr="007A5E90">
              <w:rPr>
                <w:rFonts w:ascii="Cambria" w:hAnsi="Cambria"/>
                <w:sz w:val="20"/>
              </w:rPr>
              <w:t>2023</w:t>
            </w:r>
          </w:p>
        </w:tc>
        <w:tc>
          <w:tcPr>
            <w:tcW w:w="1890" w:type="dxa"/>
            <w:tcBorders>
              <w:top w:val="single" w:sz="4" w:space="0" w:color="auto"/>
              <w:left w:val="single" w:sz="4" w:space="0" w:color="auto"/>
              <w:bottom w:val="single" w:sz="4" w:space="0" w:color="auto"/>
              <w:right w:val="single" w:sz="4" w:space="0" w:color="auto"/>
            </w:tcBorders>
            <w:hideMark/>
          </w:tcPr>
          <w:p w14:paraId="6DBFC5F8" w14:textId="77777777" w:rsidR="007008A8" w:rsidRPr="007A5E90" w:rsidRDefault="007008A8" w:rsidP="00C10FDE">
            <w:pPr>
              <w:autoSpaceDE w:val="0"/>
              <w:autoSpaceDN w:val="0"/>
              <w:adjustRightInd w:val="0"/>
              <w:jc w:val="center"/>
              <w:rPr>
                <w:rFonts w:ascii="Cambria" w:hAnsi="Cambria" w:cs="Cambria"/>
                <w:sz w:val="20"/>
                <w:szCs w:val="20"/>
              </w:rPr>
            </w:pPr>
            <w:r w:rsidRPr="007A5E90">
              <w:rPr>
                <w:rFonts w:ascii="Cambria" w:hAnsi="Cambria"/>
                <w:sz w:val="20"/>
              </w:rPr>
              <w:t>2025</w:t>
            </w:r>
          </w:p>
        </w:tc>
      </w:tr>
      <w:tr w:rsidR="006D6988" w:rsidRPr="007A5E90" w14:paraId="2C9DA7BA" w14:textId="77777777" w:rsidTr="007008A8">
        <w:tc>
          <w:tcPr>
            <w:tcW w:w="1728" w:type="dxa"/>
            <w:tcBorders>
              <w:top w:val="single" w:sz="4" w:space="0" w:color="auto"/>
              <w:left w:val="single" w:sz="4" w:space="0" w:color="auto"/>
              <w:bottom w:val="single" w:sz="4" w:space="0" w:color="auto"/>
              <w:right w:val="single" w:sz="4" w:space="0" w:color="auto"/>
            </w:tcBorders>
          </w:tcPr>
          <w:p w14:paraId="0064E0B0" w14:textId="543CD060" w:rsidR="006D6988" w:rsidRPr="007A5E90" w:rsidRDefault="006D6988" w:rsidP="00C10FDE">
            <w:pPr>
              <w:autoSpaceDE w:val="0"/>
              <w:autoSpaceDN w:val="0"/>
              <w:adjustRightInd w:val="0"/>
              <w:jc w:val="center"/>
              <w:rPr>
                <w:rFonts w:ascii="Cambria" w:hAnsi="Cambria" w:cs="Cambria"/>
                <w:sz w:val="20"/>
                <w:szCs w:val="20"/>
              </w:rPr>
            </w:pPr>
            <w:r w:rsidRPr="007A5E90">
              <w:rPr>
                <w:rFonts w:ascii="Cambria" w:hAnsi="Cambria"/>
                <w:sz w:val="20"/>
              </w:rPr>
              <w:t>2024</w:t>
            </w:r>
          </w:p>
        </w:tc>
        <w:tc>
          <w:tcPr>
            <w:tcW w:w="1890" w:type="dxa"/>
            <w:tcBorders>
              <w:top w:val="single" w:sz="4" w:space="0" w:color="auto"/>
              <w:left w:val="single" w:sz="4" w:space="0" w:color="auto"/>
              <w:bottom w:val="single" w:sz="4" w:space="0" w:color="auto"/>
              <w:right w:val="single" w:sz="4" w:space="0" w:color="auto"/>
            </w:tcBorders>
          </w:tcPr>
          <w:p w14:paraId="390C6C25" w14:textId="7E72DDC1" w:rsidR="006D6988" w:rsidRPr="007A5E90" w:rsidRDefault="006D6988" w:rsidP="00C10FDE">
            <w:pPr>
              <w:autoSpaceDE w:val="0"/>
              <w:autoSpaceDN w:val="0"/>
              <w:adjustRightInd w:val="0"/>
              <w:jc w:val="center"/>
              <w:rPr>
                <w:rFonts w:ascii="Cambria" w:hAnsi="Cambria" w:cs="Cambria"/>
                <w:sz w:val="20"/>
                <w:szCs w:val="20"/>
              </w:rPr>
            </w:pPr>
            <w:r w:rsidRPr="007A5E90">
              <w:rPr>
                <w:rFonts w:ascii="Cambria" w:hAnsi="Cambria"/>
                <w:sz w:val="20"/>
              </w:rPr>
              <w:t>2026</w:t>
            </w:r>
          </w:p>
        </w:tc>
      </w:tr>
      <w:tr w:rsidR="006D6988" w:rsidRPr="007A5E90" w14:paraId="0C97EDFB" w14:textId="77777777" w:rsidTr="007008A8">
        <w:tc>
          <w:tcPr>
            <w:tcW w:w="1728" w:type="dxa"/>
            <w:tcBorders>
              <w:top w:val="single" w:sz="4" w:space="0" w:color="auto"/>
              <w:left w:val="single" w:sz="4" w:space="0" w:color="auto"/>
              <w:bottom w:val="single" w:sz="4" w:space="0" w:color="auto"/>
              <w:right w:val="single" w:sz="4" w:space="0" w:color="auto"/>
            </w:tcBorders>
          </w:tcPr>
          <w:p w14:paraId="341C22B9" w14:textId="7FD4476C" w:rsidR="006D6988" w:rsidRPr="007A5E90" w:rsidRDefault="006D6988" w:rsidP="00C10FDE">
            <w:pPr>
              <w:autoSpaceDE w:val="0"/>
              <w:autoSpaceDN w:val="0"/>
              <w:adjustRightInd w:val="0"/>
              <w:jc w:val="center"/>
              <w:rPr>
                <w:rFonts w:ascii="Cambria" w:hAnsi="Cambria" w:cs="Cambria"/>
                <w:sz w:val="20"/>
                <w:szCs w:val="20"/>
              </w:rPr>
            </w:pPr>
            <w:r w:rsidRPr="007A5E90">
              <w:rPr>
                <w:rFonts w:ascii="Cambria" w:hAnsi="Cambria"/>
                <w:sz w:val="20"/>
              </w:rPr>
              <w:t>2025</w:t>
            </w:r>
          </w:p>
        </w:tc>
        <w:tc>
          <w:tcPr>
            <w:tcW w:w="1890" w:type="dxa"/>
            <w:tcBorders>
              <w:top w:val="single" w:sz="4" w:space="0" w:color="auto"/>
              <w:left w:val="single" w:sz="4" w:space="0" w:color="auto"/>
              <w:bottom w:val="single" w:sz="4" w:space="0" w:color="auto"/>
              <w:right w:val="single" w:sz="4" w:space="0" w:color="auto"/>
            </w:tcBorders>
          </w:tcPr>
          <w:p w14:paraId="366CF24B" w14:textId="6AFEC904" w:rsidR="006D6988" w:rsidRPr="007A5E90" w:rsidRDefault="006D6988" w:rsidP="00C10FDE">
            <w:pPr>
              <w:autoSpaceDE w:val="0"/>
              <w:autoSpaceDN w:val="0"/>
              <w:adjustRightInd w:val="0"/>
              <w:jc w:val="center"/>
              <w:rPr>
                <w:rFonts w:ascii="Cambria" w:hAnsi="Cambria" w:cs="Cambria"/>
                <w:sz w:val="20"/>
                <w:szCs w:val="20"/>
              </w:rPr>
            </w:pPr>
            <w:r w:rsidRPr="007A5E90">
              <w:rPr>
                <w:rFonts w:ascii="Cambria" w:hAnsi="Cambria"/>
                <w:sz w:val="20"/>
              </w:rPr>
              <w:t>2027</w:t>
            </w:r>
          </w:p>
        </w:tc>
      </w:tr>
      <w:tr w:rsidR="006D6988" w:rsidRPr="007A5E90" w14:paraId="5B7C9A3D" w14:textId="77777777" w:rsidTr="007008A8">
        <w:tc>
          <w:tcPr>
            <w:tcW w:w="1728" w:type="dxa"/>
            <w:tcBorders>
              <w:top w:val="single" w:sz="4" w:space="0" w:color="auto"/>
              <w:left w:val="single" w:sz="4" w:space="0" w:color="auto"/>
              <w:bottom w:val="single" w:sz="4" w:space="0" w:color="auto"/>
              <w:right w:val="single" w:sz="4" w:space="0" w:color="auto"/>
            </w:tcBorders>
          </w:tcPr>
          <w:p w14:paraId="425B883D" w14:textId="68973568" w:rsidR="006D6988" w:rsidRPr="007A5E90" w:rsidRDefault="006D6988" w:rsidP="00C10FDE">
            <w:pPr>
              <w:autoSpaceDE w:val="0"/>
              <w:autoSpaceDN w:val="0"/>
              <w:adjustRightInd w:val="0"/>
              <w:jc w:val="center"/>
              <w:rPr>
                <w:rFonts w:ascii="Cambria" w:hAnsi="Cambria" w:cs="Cambria"/>
                <w:sz w:val="20"/>
                <w:szCs w:val="20"/>
              </w:rPr>
            </w:pPr>
            <w:r w:rsidRPr="007A5E90">
              <w:rPr>
                <w:rFonts w:ascii="Cambria" w:hAnsi="Cambria"/>
                <w:sz w:val="20"/>
              </w:rPr>
              <w:t>2026</w:t>
            </w:r>
          </w:p>
        </w:tc>
        <w:tc>
          <w:tcPr>
            <w:tcW w:w="1890" w:type="dxa"/>
            <w:tcBorders>
              <w:top w:val="single" w:sz="4" w:space="0" w:color="auto"/>
              <w:left w:val="single" w:sz="4" w:space="0" w:color="auto"/>
              <w:bottom w:val="single" w:sz="4" w:space="0" w:color="auto"/>
              <w:right w:val="single" w:sz="4" w:space="0" w:color="auto"/>
            </w:tcBorders>
          </w:tcPr>
          <w:p w14:paraId="4C866925" w14:textId="4BA55842" w:rsidR="006D6988" w:rsidRPr="007A5E90" w:rsidRDefault="006D6988" w:rsidP="00C10FDE">
            <w:pPr>
              <w:autoSpaceDE w:val="0"/>
              <w:autoSpaceDN w:val="0"/>
              <w:adjustRightInd w:val="0"/>
              <w:jc w:val="center"/>
              <w:rPr>
                <w:rFonts w:ascii="Cambria" w:hAnsi="Cambria" w:cs="Cambria"/>
                <w:sz w:val="20"/>
                <w:szCs w:val="20"/>
              </w:rPr>
            </w:pPr>
            <w:r w:rsidRPr="007A5E90">
              <w:rPr>
                <w:rFonts w:ascii="Cambria" w:hAnsi="Cambria"/>
                <w:sz w:val="20"/>
              </w:rPr>
              <w:t>2028</w:t>
            </w:r>
          </w:p>
        </w:tc>
      </w:tr>
    </w:tbl>
    <w:p w14:paraId="28DDEC60" w14:textId="77777777" w:rsidR="007008A8" w:rsidRPr="007A5E90" w:rsidRDefault="007008A8" w:rsidP="00C10FDE">
      <w:pPr>
        <w:pStyle w:val="ListParagraph"/>
        <w:autoSpaceDE w:val="0"/>
        <w:autoSpaceDN w:val="0"/>
        <w:adjustRightInd w:val="0"/>
        <w:spacing w:after="0" w:line="240" w:lineRule="auto"/>
        <w:rPr>
          <w:rFonts w:ascii="Cambria" w:hAnsi="Cambria" w:cs="Cambria"/>
          <w:sz w:val="20"/>
          <w:szCs w:val="20"/>
        </w:rPr>
      </w:pPr>
    </w:p>
    <w:p w14:paraId="64C1F245" w14:textId="230B1FB3" w:rsidR="007008A8" w:rsidRPr="007A5E90" w:rsidRDefault="007008A8" w:rsidP="00C943ED">
      <w:pPr>
        <w:autoSpaceDE w:val="0"/>
        <w:autoSpaceDN w:val="0"/>
        <w:adjustRightInd w:val="0"/>
        <w:spacing w:after="0" w:line="240" w:lineRule="auto"/>
        <w:ind w:left="568" w:hanging="1"/>
        <w:jc w:val="both"/>
        <w:rPr>
          <w:rFonts w:ascii="Cambria" w:hAnsi="Cambria" w:cs="Cambria"/>
          <w:sz w:val="20"/>
          <w:szCs w:val="20"/>
        </w:rPr>
      </w:pPr>
      <w:r w:rsidRPr="007A5E90">
        <w:rPr>
          <w:rFonts w:ascii="Cambria" w:hAnsi="Cambria"/>
          <w:sz w:val="20"/>
        </w:rPr>
        <w:t>Sin embargo, el máximo remanente de captura que puede traspasar una CPC en un año determinado no superará el 25</w:t>
      </w:r>
      <w:r w:rsidR="00C943ED" w:rsidRPr="007A5E90">
        <w:rPr>
          <w:rFonts w:ascii="Cambria" w:hAnsi="Cambria"/>
          <w:sz w:val="20"/>
        </w:rPr>
        <w:t xml:space="preserve"> </w:t>
      </w:r>
      <w:r w:rsidRPr="007A5E90">
        <w:rPr>
          <w:rFonts w:ascii="Cambria" w:hAnsi="Cambria"/>
          <w:sz w:val="20"/>
        </w:rPr>
        <w:t>% de su cuota inicial de captura.</w:t>
      </w:r>
    </w:p>
    <w:p w14:paraId="7F782145" w14:textId="77777777" w:rsidR="007008A8" w:rsidRPr="007A5E90" w:rsidRDefault="007008A8" w:rsidP="00C10FDE">
      <w:pPr>
        <w:pStyle w:val="ListParagraph"/>
        <w:autoSpaceDE w:val="0"/>
        <w:autoSpaceDN w:val="0"/>
        <w:adjustRightInd w:val="0"/>
        <w:spacing w:after="0" w:line="240" w:lineRule="auto"/>
        <w:rPr>
          <w:rFonts w:ascii="Cambria" w:hAnsi="Cambria" w:cs="Cambria"/>
          <w:sz w:val="20"/>
          <w:szCs w:val="20"/>
        </w:rPr>
      </w:pPr>
    </w:p>
    <w:p w14:paraId="3EA15CF6" w14:textId="6BF5329E" w:rsidR="007008A8" w:rsidRPr="007A5E90" w:rsidRDefault="007008A8" w:rsidP="00C943ED">
      <w:pPr>
        <w:autoSpaceDE w:val="0"/>
        <w:autoSpaceDN w:val="0"/>
        <w:adjustRightInd w:val="0"/>
        <w:spacing w:after="0" w:line="240" w:lineRule="auto"/>
        <w:ind w:left="568" w:hanging="1"/>
        <w:jc w:val="both"/>
        <w:rPr>
          <w:rFonts w:ascii="Cambria" w:hAnsi="Cambria" w:cs="Cambria"/>
          <w:sz w:val="20"/>
          <w:szCs w:val="20"/>
        </w:rPr>
      </w:pPr>
      <w:r w:rsidRPr="007A5E90">
        <w:rPr>
          <w:rFonts w:ascii="Cambria" w:hAnsi="Cambria"/>
          <w:sz w:val="20"/>
        </w:rPr>
        <w:t>Si, en cualquier año, los desembarques combinados de</w:t>
      </w:r>
      <w:r w:rsidR="00C943ED" w:rsidRPr="007A5E90">
        <w:rPr>
          <w:rFonts w:ascii="Cambria" w:hAnsi="Cambria"/>
          <w:sz w:val="20"/>
        </w:rPr>
        <w:t xml:space="preserve"> las</w:t>
      </w:r>
      <w:r w:rsidRPr="007A5E90">
        <w:rPr>
          <w:rFonts w:ascii="Cambria" w:hAnsi="Cambria"/>
          <w:sz w:val="20"/>
        </w:rPr>
        <w:t xml:space="preserve"> CPC superan el TAC en más del 20 %, la Comisión reevaluará esta Recomendación en su siguiente reunión, teniendo en cuenta cualquier asesoramiento del SCRS de conformidad con su evaluación de existencia de circunstancias excepcionales</w:t>
      </w:r>
      <w:r w:rsidR="00C943ED" w:rsidRPr="007A5E90">
        <w:rPr>
          <w:rFonts w:ascii="Cambria" w:hAnsi="Cambria"/>
          <w:sz w:val="20"/>
        </w:rPr>
        <w:t>,</w:t>
      </w:r>
      <w:r w:rsidRPr="007A5E90">
        <w:rPr>
          <w:rFonts w:ascii="Cambria" w:hAnsi="Cambria"/>
          <w:sz w:val="20"/>
        </w:rPr>
        <w:t xml:space="preserve"> tal y como se refleja en el </w:t>
      </w:r>
      <w:r w:rsidRPr="007A5E90">
        <w:rPr>
          <w:rFonts w:ascii="Cambria" w:hAnsi="Cambria"/>
          <w:b/>
          <w:bCs/>
          <w:sz w:val="20"/>
        </w:rPr>
        <w:t>Anexo 2,</w:t>
      </w:r>
      <w:r w:rsidRPr="007A5E90">
        <w:rPr>
          <w:rFonts w:ascii="Cambria" w:hAnsi="Cambria"/>
          <w:sz w:val="20"/>
        </w:rPr>
        <w:t xml:space="preserve"> y podrá, si procede, recomendar nuevas medidas.</w:t>
      </w:r>
      <w:r w:rsidR="00C943ED" w:rsidRPr="007A5E90">
        <w:rPr>
          <w:rFonts w:ascii="Cambria" w:hAnsi="Cambria"/>
          <w:sz w:val="20"/>
        </w:rPr>
        <w:t>”</w:t>
      </w:r>
    </w:p>
    <w:p w14:paraId="4F781DD0" w14:textId="77777777" w:rsidR="007008A8" w:rsidRPr="007A5E90" w:rsidRDefault="007008A8" w:rsidP="00C10FDE">
      <w:pPr>
        <w:pStyle w:val="ListParagraph"/>
        <w:autoSpaceDE w:val="0"/>
        <w:autoSpaceDN w:val="0"/>
        <w:adjustRightInd w:val="0"/>
        <w:spacing w:after="0" w:line="240" w:lineRule="auto"/>
        <w:rPr>
          <w:rFonts w:ascii="Cambria" w:hAnsi="Cambria" w:cs="Cambria"/>
          <w:sz w:val="20"/>
          <w:szCs w:val="20"/>
        </w:rPr>
      </w:pPr>
    </w:p>
    <w:p w14:paraId="5F38D919" w14:textId="77777777" w:rsidR="007008A8" w:rsidRPr="007A5E90" w:rsidRDefault="007008A8" w:rsidP="00C10FDE">
      <w:pPr>
        <w:spacing w:after="0" w:line="240" w:lineRule="auto"/>
        <w:rPr>
          <w:rFonts w:ascii="Cambria" w:hAnsi="Cambria"/>
          <w:sz w:val="20"/>
          <w:szCs w:val="20"/>
        </w:rPr>
      </w:pPr>
    </w:p>
    <w:sectPr w:rsidR="007008A8" w:rsidRPr="007A5E90" w:rsidSect="00D1670C">
      <w:footerReference w:type="default" r:id="rId7"/>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A1AB" w14:textId="77777777" w:rsidR="00B106B4" w:rsidRDefault="00B106B4" w:rsidP="003E0703">
      <w:pPr>
        <w:spacing w:after="0" w:line="240" w:lineRule="auto"/>
      </w:pPr>
      <w:r>
        <w:separator/>
      </w:r>
    </w:p>
  </w:endnote>
  <w:endnote w:type="continuationSeparator" w:id="0">
    <w:p w14:paraId="6764F743" w14:textId="77777777" w:rsidR="00B106B4" w:rsidRDefault="00B106B4" w:rsidP="003E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7382" w14:textId="51824B08" w:rsidR="000507F6" w:rsidRPr="000507F6" w:rsidRDefault="000507F6" w:rsidP="000507F6">
    <w:pPr>
      <w:tabs>
        <w:tab w:val="center" w:pos="4535"/>
        <w:tab w:val="center" w:pos="4680"/>
        <w:tab w:val="left" w:pos="6150"/>
        <w:tab w:val="right" w:pos="9360"/>
      </w:tabs>
      <w:spacing w:after="200" w:line="276" w:lineRule="auto"/>
      <w:jc w:val="center"/>
      <w:rPr>
        <w:rFonts w:ascii="Cambria" w:eastAsia="Calibri" w:hAnsi="Cambria" w:cs="Calibri"/>
        <w:kern w:val="2"/>
        <w:sz w:val="20"/>
        <w14:ligatures w14:val="standardContextual"/>
      </w:rPr>
    </w:pPr>
    <w:r w:rsidRPr="000507F6">
      <w:rPr>
        <w:rFonts w:ascii="Cambria" w:eastAsia="Calibri" w:hAnsi="Cambria" w:cs="Calibri"/>
        <w:sz w:val="20"/>
      </w:rPr>
      <w:fldChar w:fldCharType="begin"/>
    </w:r>
    <w:r w:rsidRPr="000507F6">
      <w:rPr>
        <w:rFonts w:ascii="Cambria" w:eastAsia="Calibri" w:hAnsi="Cambria" w:cs="Calibri"/>
        <w:sz w:val="20"/>
      </w:rPr>
      <w:instrText xml:space="preserve"> PAGE </w:instrText>
    </w:r>
    <w:r w:rsidRPr="000507F6">
      <w:rPr>
        <w:rFonts w:ascii="Cambria" w:eastAsia="Calibri" w:hAnsi="Cambria" w:cs="Calibri"/>
        <w:sz w:val="20"/>
      </w:rPr>
      <w:fldChar w:fldCharType="separate"/>
    </w:r>
    <w:r w:rsidRPr="000507F6">
      <w:rPr>
        <w:rFonts w:ascii="Cambria" w:eastAsia="Calibri" w:hAnsi="Cambria" w:cs="Calibri"/>
        <w:sz w:val="20"/>
      </w:rPr>
      <w:t>1</w:t>
    </w:r>
    <w:r w:rsidRPr="000507F6">
      <w:rPr>
        <w:rFonts w:ascii="Cambria" w:eastAsia="Calibri" w:hAnsi="Cambria" w:cs="Calibri"/>
        <w:sz w:val="20"/>
      </w:rPr>
      <w:fldChar w:fldCharType="end"/>
    </w:r>
    <w:r>
      <w:rPr>
        <w:rFonts w:ascii="Cambria" w:hAnsi="Cambr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67E5" w14:textId="77777777" w:rsidR="00B106B4" w:rsidRDefault="00B106B4" w:rsidP="003E0703">
      <w:pPr>
        <w:spacing w:after="0" w:line="240" w:lineRule="auto"/>
      </w:pPr>
      <w:r>
        <w:separator/>
      </w:r>
    </w:p>
  </w:footnote>
  <w:footnote w:type="continuationSeparator" w:id="0">
    <w:p w14:paraId="3E849D89" w14:textId="77777777" w:rsidR="00B106B4" w:rsidRDefault="00B106B4" w:rsidP="003E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57E3F"/>
    <w:multiLevelType w:val="hybridMultilevel"/>
    <w:tmpl w:val="2AA08662"/>
    <w:lvl w:ilvl="0" w:tplc="08E6DF58">
      <w:start w:val="1"/>
      <w:numFmt w:val="bullet"/>
      <w:lvlText w:val="-"/>
      <w:lvlJc w:val="left"/>
      <w:pPr>
        <w:ind w:left="502" w:hanging="360"/>
      </w:pPr>
      <w:rPr>
        <w:rFonts w:ascii="Calibri" w:eastAsiaTheme="minorHAnsi" w:hAnsi="Calibri" w:cstheme="minorBidi"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 w15:restartNumberingAfterBreak="0">
    <w:nsid w:val="48F52A0A"/>
    <w:multiLevelType w:val="hybridMultilevel"/>
    <w:tmpl w:val="B31253DC"/>
    <w:lvl w:ilvl="0" w:tplc="8F1E17C6">
      <w:start w:val="6"/>
      <w:numFmt w:val="decimal"/>
      <w:lvlText w:val="%1."/>
      <w:lvlJc w:val="left"/>
      <w:pPr>
        <w:ind w:left="928" w:hanging="360"/>
      </w:pPr>
      <w:rPr>
        <w:rFonts w:hint="default"/>
      </w:rPr>
    </w:lvl>
    <w:lvl w:ilvl="1" w:tplc="76287224">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5308296">
    <w:abstractNumId w:val="1"/>
  </w:num>
  <w:num w:numId="2" w16cid:durableId="961956215">
    <w:abstractNumId w:val="0"/>
  </w:num>
  <w:num w:numId="3" w16cid:durableId="102624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A8"/>
    <w:rsid w:val="000477CC"/>
    <w:rsid w:val="000507F6"/>
    <w:rsid w:val="000E583C"/>
    <w:rsid w:val="0014135A"/>
    <w:rsid w:val="00172FBB"/>
    <w:rsid w:val="001809D1"/>
    <w:rsid w:val="001F3739"/>
    <w:rsid w:val="001F49B8"/>
    <w:rsid w:val="00202F7D"/>
    <w:rsid w:val="00222AC0"/>
    <w:rsid w:val="00237509"/>
    <w:rsid w:val="002A376E"/>
    <w:rsid w:val="002C667B"/>
    <w:rsid w:val="002E37ED"/>
    <w:rsid w:val="002F2BE6"/>
    <w:rsid w:val="00325856"/>
    <w:rsid w:val="00366D8C"/>
    <w:rsid w:val="003E0703"/>
    <w:rsid w:val="0042508C"/>
    <w:rsid w:val="00434037"/>
    <w:rsid w:val="004918EB"/>
    <w:rsid w:val="00497A7F"/>
    <w:rsid w:val="004B3E77"/>
    <w:rsid w:val="004F77C3"/>
    <w:rsid w:val="00544CE3"/>
    <w:rsid w:val="005469B6"/>
    <w:rsid w:val="00587BB2"/>
    <w:rsid w:val="005934A3"/>
    <w:rsid w:val="00594701"/>
    <w:rsid w:val="005E2000"/>
    <w:rsid w:val="005E4317"/>
    <w:rsid w:val="00607120"/>
    <w:rsid w:val="0062503D"/>
    <w:rsid w:val="00654C57"/>
    <w:rsid w:val="00662048"/>
    <w:rsid w:val="0066230D"/>
    <w:rsid w:val="006870F4"/>
    <w:rsid w:val="006D6988"/>
    <w:rsid w:val="007008A8"/>
    <w:rsid w:val="0070639F"/>
    <w:rsid w:val="00741034"/>
    <w:rsid w:val="007A5E90"/>
    <w:rsid w:val="007C54FC"/>
    <w:rsid w:val="008012DD"/>
    <w:rsid w:val="00900FE2"/>
    <w:rsid w:val="00903BA3"/>
    <w:rsid w:val="00921377"/>
    <w:rsid w:val="0094192E"/>
    <w:rsid w:val="009462C3"/>
    <w:rsid w:val="009533FF"/>
    <w:rsid w:val="009545D3"/>
    <w:rsid w:val="00957573"/>
    <w:rsid w:val="009864D5"/>
    <w:rsid w:val="009B349E"/>
    <w:rsid w:val="009B7B7E"/>
    <w:rsid w:val="009C48DD"/>
    <w:rsid w:val="009D6F16"/>
    <w:rsid w:val="00A022FD"/>
    <w:rsid w:val="00A13A56"/>
    <w:rsid w:val="00B106B4"/>
    <w:rsid w:val="00B27999"/>
    <w:rsid w:val="00B27F3E"/>
    <w:rsid w:val="00B40419"/>
    <w:rsid w:val="00B660FF"/>
    <w:rsid w:val="00C10FDE"/>
    <w:rsid w:val="00C84F3D"/>
    <w:rsid w:val="00C943ED"/>
    <w:rsid w:val="00D1670C"/>
    <w:rsid w:val="00D57DED"/>
    <w:rsid w:val="00D768AA"/>
    <w:rsid w:val="00D84C54"/>
    <w:rsid w:val="00DD2FA6"/>
    <w:rsid w:val="00E90962"/>
    <w:rsid w:val="00EA151A"/>
    <w:rsid w:val="00EE5FD9"/>
    <w:rsid w:val="00F2605B"/>
    <w:rsid w:val="00F81C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E8A7"/>
  <w15:chartTrackingRefBased/>
  <w15:docId w15:val="{6C5B8D72-302D-4803-9451-3B48A2CB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D1670C"/>
    <w:pPr>
      <w:keepNext/>
      <w:keepLines/>
      <w:spacing w:before="220" w:after="40"/>
      <w:outlineLvl w:val="4"/>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8A8"/>
    <w:pPr>
      <w:spacing w:after="200" w:line="276" w:lineRule="auto"/>
      <w:ind w:left="720"/>
      <w:contextualSpacing/>
    </w:pPr>
  </w:style>
  <w:style w:type="paragraph" w:customStyle="1" w:styleId="Default">
    <w:name w:val="Default"/>
    <w:rsid w:val="007008A8"/>
    <w:pPr>
      <w:autoSpaceDE w:val="0"/>
      <w:autoSpaceDN w:val="0"/>
      <w:adjustRightInd w:val="0"/>
      <w:spacing w:after="0" w:line="240" w:lineRule="auto"/>
    </w:pPr>
    <w:rPr>
      <w:rFonts w:ascii="Cambria" w:hAnsi="Cambria" w:cs="Cambria"/>
      <w:color w:val="000000"/>
      <w:sz w:val="24"/>
      <w:szCs w:val="24"/>
    </w:rPr>
  </w:style>
  <w:style w:type="character" w:customStyle="1" w:styleId="markedcontent">
    <w:name w:val="markedcontent"/>
    <w:basedOn w:val="DefaultParagraphFont"/>
    <w:rsid w:val="007008A8"/>
  </w:style>
  <w:style w:type="table" w:styleId="TableGrid">
    <w:name w:val="Table Grid"/>
    <w:basedOn w:val="TableNormal"/>
    <w:uiPriority w:val="39"/>
    <w:rsid w:val="007008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639F"/>
    <w:pPr>
      <w:spacing w:after="0" w:line="240" w:lineRule="auto"/>
    </w:pPr>
  </w:style>
  <w:style w:type="paragraph" w:styleId="Header">
    <w:name w:val="header"/>
    <w:basedOn w:val="Normal"/>
    <w:link w:val="HeaderChar"/>
    <w:uiPriority w:val="99"/>
    <w:unhideWhenUsed/>
    <w:rsid w:val="003E0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703"/>
  </w:style>
  <w:style w:type="paragraph" w:styleId="Footer">
    <w:name w:val="footer"/>
    <w:basedOn w:val="Normal"/>
    <w:link w:val="FooterChar"/>
    <w:uiPriority w:val="99"/>
    <w:unhideWhenUsed/>
    <w:rsid w:val="003E0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703"/>
  </w:style>
  <w:style w:type="character" w:customStyle="1" w:styleId="Heading5Char">
    <w:name w:val="Heading 5 Char"/>
    <w:basedOn w:val="DefaultParagraphFont"/>
    <w:link w:val="Heading5"/>
    <w:rsid w:val="00D1670C"/>
    <w:rPr>
      <w:rFonts w:ascii="Calibri" w:eastAsia="Calibri"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548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Cristina (MARE)</dc:creator>
  <cp:keywords/>
  <dc:description/>
  <cp:lastModifiedBy>autor</cp:lastModifiedBy>
  <cp:revision>47</cp:revision>
  <dcterms:created xsi:type="dcterms:W3CDTF">2023-11-06T18:57:00Z</dcterms:created>
  <dcterms:modified xsi:type="dcterms:W3CDTF">2023-12-15T09:16:00Z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2023-11-03T14:39:44Z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d12b5f7a-f705-43d7-9a8c-fb0d947e67b7</vt:lpwstr>
  </property>
  <property fmtid="{D5CDD505-2E9C-101B-9397-08002B2CF9AE}" pid="8" name="MSIP_Label_6bd9ddd1-4d20-43f6-abfa-fc3c07406f94_ContentBits">
    <vt:lpwstr>0</vt:lpwstr>
  </property>
</Properties>
</file>