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8152" w14:textId="3A13EDFD" w:rsidR="00A45910" w:rsidRPr="00DD0A76" w:rsidRDefault="00A45910" w:rsidP="00A45910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r w:rsidRPr="00DD0A76">
        <w:rPr>
          <w:rFonts w:ascii="Cambria" w:eastAsia="Times New Roman" w:hAnsi="Cambria" w:cs="Times New Roman"/>
          <w:bCs/>
          <w:sz w:val="20"/>
          <w:szCs w:val="20"/>
          <w:lang w:val="fr-FR"/>
        </w:rPr>
        <w:t>23-</w:t>
      </w:r>
      <w:r w:rsidR="004750F2" w:rsidRPr="00DD0A76">
        <w:rPr>
          <w:rFonts w:ascii="Cambria" w:eastAsia="Times New Roman" w:hAnsi="Cambria" w:cs="Times New Roman"/>
          <w:bCs/>
          <w:sz w:val="20"/>
          <w:szCs w:val="20"/>
          <w:lang w:val="fr-FR"/>
        </w:rPr>
        <w:t>05</w:t>
      </w:r>
      <w:r w:rsidRPr="00DD0A76">
        <w:rPr>
          <w:rFonts w:ascii="Cambria" w:eastAsia="Times New Roman" w:hAnsi="Cambria" w:cs="Times New Roman"/>
          <w:bCs/>
          <w:sz w:val="20"/>
          <w:szCs w:val="20"/>
          <w:lang w:val="fr-FR"/>
        </w:rPr>
        <w:tab/>
      </w:r>
      <w:r w:rsidR="004750F2" w:rsidRPr="00DD0A76">
        <w:rPr>
          <w:rFonts w:ascii="Cambria" w:eastAsia="Times New Roman" w:hAnsi="Cambria" w:cs="Times New Roman"/>
          <w:bCs/>
          <w:sz w:val="20"/>
          <w:szCs w:val="20"/>
          <w:lang w:val="fr-FR"/>
        </w:rPr>
        <w:t>ALB</w:t>
      </w:r>
    </w:p>
    <w:p w14:paraId="7C3CBA9F" w14:textId="77777777" w:rsidR="008E6925" w:rsidRPr="00DD0A76" w:rsidRDefault="008E6925" w:rsidP="00A45910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</w:p>
    <w:p w14:paraId="22A605A4" w14:textId="78C6C33C" w:rsidR="007008A8" w:rsidRPr="00DD0A76" w:rsidRDefault="00A45910" w:rsidP="00A45910">
      <w:pPr>
        <w:pStyle w:val="Heading5"/>
        <w:keepLines w:val="0"/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r w:rsidRPr="00DD0A76">
        <w:rPr>
          <w:rFonts w:ascii="Cambria" w:eastAsia="Times New Roman" w:hAnsi="Cambria" w:cs="Times New Roman"/>
          <w:bCs/>
          <w:sz w:val="20"/>
          <w:szCs w:val="20"/>
          <w:lang w:val="fr-FR"/>
        </w:rPr>
        <w:t xml:space="preserve">RECOMMANDATION DE L’ICCAT AMENDANT LA RECOMMANDATION 21-04 SUR DES MESURES DE CONSERVATION ET DE GESTION, INCLUANT UNE PROCÉDURE DE GESTION ET UN PROTOCOLE DE CIRCONSTANCES EXCEPTIONNELLES, POUR LE GERMON DE L’ATLANTIQUE NORD </w:t>
      </w:r>
    </w:p>
    <w:p w14:paraId="2302E369" w14:textId="77777777" w:rsidR="00F2605B" w:rsidRPr="00DD0A76" w:rsidRDefault="00F2605B" w:rsidP="00C10FDE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D3326A0" w14:textId="77777777" w:rsidR="00434037" w:rsidRPr="00DD0A76" w:rsidRDefault="00434037" w:rsidP="00C10FDE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</w:p>
    <w:p w14:paraId="4BFAC0A7" w14:textId="7D14CF58" w:rsidR="00544CE3" w:rsidRPr="00DD0A76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i/>
          <w:iCs/>
          <w:sz w:val="20"/>
        </w:rPr>
        <w:t>NOTANT</w:t>
      </w:r>
      <w:r w:rsidRPr="00DD0A76">
        <w:rPr>
          <w:rFonts w:ascii="Cambria" w:hAnsi="Cambria"/>
          <w:sz w:val="20"/>
        </w:rPr>
        <w:t xml:space="preserve"> qu’en 2021, la Commission a adopté une procédure de gestion (MP)</w:t>
      </w:r>
      <w:r w:rsidR="0005158A" w:rsidRPr="00DD0A76">
        <w:rPr>
          <w:rFonts w:ascii="Cambria" w:hAnsi="Cambria"/>
          <w:sz w:val="20"/>
        </w:rPr>
        <w:t xml:space="preserve"> par le biais de </w:t>
      </w:r>
      <w:r w:rsidRPr="00DD0A76">
        <w:rPr>
          <w:rFonts w:ascii="Cambria" w:hAnsi="Cambria"/>
          <w:sz w:val="20"/>
        </w:rPr>
        <w:t>la Rec. 21-04, qui établit la procédure de gestion pour permettre d'atteindre l'objectif de gestion consistant à maintenir le stock dans le quadrant vert du diagramme de Kobe avec une probabilité d'au moins 60</w:t>
      </w:r>
      <w:r w:rsidR="0005158A" w:rsidRPr="00DD0A76">
        <w:rPr>
          <w:rFonts w:ascii="Cambria" w:hAnsi="Cambria"/>
          <w:sz w:val="20"/>
        </w:rPr>
        <w:t> </w:t>
      </w:r>
      <w:r w:rsidRPr="00DD0A76">
        <w:rPr>
          <w:rFonts w:ascii="Cambria" w:hAnsi="Cambria"/>
          <w:sz w:val="20"/>
        </w:rPr>
        <w:t>% tout en maximisant la production à long terme</w:t>
      </w:r>
      <w:r w:rsidR="0005158A" w:rsidRPr="00DD0A76">
        <w:rPr>
          <w:rFonts w:ascii="Cambria" w:hAnsi="Cambria"/>
          <w:sz w:val="20"/>
        </w:rPr>
        <w:t> ;</w:t>
      </w:r>
    </w:p>
    <w:p w14:paraId="6F8B8873" w14:textId="77777777" w:rsidR="00434037" w:rsidRPr="00DD0A76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321ADC" w14:textId="3ED5089A" w:rsidR="00544CE3" w:rsidRPr="00DD0A76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i/>
          <w:sz w:val="20"/>
        </w:rPr>
        <w:t>NOTANT EN OUTRE</w:t>
      </w:r>
      <w:r w:rsidRPr="00DD0A76">
        <w:rPr>
          <w:rFonts w:ascii="Cambria" w:hAnsi="Cambria"/>
          <w:sz w:val="20"/>
        </w:rPr>
        <w:t xml:space="preserve"> que la MP actuelle intègre une règle de contrôle de l’exploitation (HCR) pour fixer les </w:t>
      </w:r>
      <w:r w:rsidR="0005158A" w:rsidRPr="00DD0A76">
        <w:rPr>
          <w:rFonts w:ascii="Cambria" w:hAnsi="Cambria"/>
          <w:sz w:val="20"/>
        </w:rPr>
        <w:t>totaux admissibles de captures (</w:t>
      </w:r>
      <w:r w:rsidRPr="00DD0A76">
        <w:rPr>
          <w:rFonts w:ascii="Cambria" w:hAnsi="Cambria"/>
          <w:sz w:val="20"/>
        </w:rPr>
        <w:t>TAC</w:t>
      </w:r>
      <w:r w:rsidR="0005158A" w:rsidRPr="00DD0A76">
        <w:rPr>
          <w:rFonts w:ascii="Cambria" w:hAnsi="Cambria"/>
          <w:sz w:val="20"/>
        </w:rPr>
        <w:t>)</w:t>
      </w:r>
      <w:r w:rsidRPr="00DD0A76">
        <w:rPr>
          <w:rFonts w:ascii="Cambria" w:hAnsi="Cambria"/>
          <w:sz w:val="20"/>
        </w:rPr>
        <w:t xml:space="preserve"> tous les trois ans</w:t>
      </w:r>
      <w:r w:rsidR="00E77420" w:rsidRPr="00DD0A76">
        <w:rPr>
          <w:rFonts w:ascii="Cambria" w:hAnsi="Cambria"/>
          <w:sz w:val="20"/>
        </w:rPr>
        <w:t>.</w:t>
      </w:r>
      <w:r w:rsidRPr="00DD0A76">
        <w:rPr>
          <w:rFonts w:ascii="Cambria" w:hAnsi="Cambria"/>
          <w:sz w:val="20"/>
        </w:rPr>
        <w:t xml:space="preserve"> La période </w:t>
      </w:r>
      <w:r w:rsidR="00CD26FB" w:rsidRPr="00DD0A76">
        <w:rPr>
          <w:rFonts w:ascii="Cambria" w:hAnsi="Cambria"/>
          <w:sz w:val="20"/>
        </w:rPr>
        <w:t xml:space="preserve">actuelle </w:t>
      </w:r>
      <w:r w:rsidRPr="00DD0A76">
        <w:rPr>
          <w:rFonts w:ascii="Cambria" w:hAnsi="Cambria"/>
          <w:sz w:val="20"/>
        </w:rPr>
        <w:t>de trois ans s'achève à la fin de 2023, et un nouveau cycle triennal du TAC doit donc être établi pour la période 2024-2026</w:t>
      </w:r>
      <w:r w:rsidR="0005158A" w:rsidRPr="00DD0A76">
        <w:rPr>
          <w:rFonts w:ascii="Cambria" w:hAnsi="Cambria"/>
          <w:sz w:val="20"/>
        </w:rPr>
        <w:t> ;</w:t>
      </w:r>
    </w:p>
    <w:p w14:paraId="7D9B9754" w14:textId="77777777" w:rsidR="00434037" w:rsidRPr="00DD0A76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4FB4CBB" w14:textId="076FE2B7" w:rsidR="001809D1" w:rsidRPr="00DD0A76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i/>
          <w:sz w:val="20"/>
        </w:rPr>
        <w:t>CONSIDÉRANT</w:t>
      </w:r>
      <w:r w:rsidRPr="00DD0A76">
        <w:rPr>
          <w:rFonts w:ascii="Cambria" w:hAnsi="Cambria"/>
          <w:sz w:val="20"/>
        </w:rPr>
        <w:t xml:space="preserve"> que le SCRS a évalué la procédure de gestion actuelle, qui aboutit à un TAC de 47.251</w:t>
      </w:r>
      <w:r w:rsidR="0005158A" w:rsidRPr="00DD0A76">
        <w:rPr>
          <w:rFonts w:ascii="Cambria" w:hAnsi="Cambria"/>
          <w:sz w:val="20"/>
        </w:rPr>
        <w:t> </w:t>
      </w:r>
      <w:r w:rsidRPr="00DD0A76">
        <w:rPr>
          <w:rFonts w:ascii="Cambria" w:hAnsi="Cambria"/>
          <w:sz w:val="20"/>
        </w:rPr>
        <w:t>t pour 2024-2026</w:t>
      </w:r>
      <w:r w:rsidR="00E77420" w:rsidRPr="00DD0A76">
        <w:rPr>
          <w:rFonts w:ascii="Cambria" w:hAnsi="Cambria"/>
          <w:sz w:val="20"/>
        </w:rPr>
        <w:t>.</w:t>
      </w:r>
      <w:r w:rsidRPr="00DD0A76">
        <w:rPr>
          <w:rFonts w:ascii="Cambria" w:hAnsi="Cambria"/>
          <w:sz w:val="20"/>
        </w:rPr>
        <w:t xml:space="preserve"> Toutes les variantes de la MP demandées dans la Rec. 21-04 aboutiraient au même TAC en raison de l'augmentation maximale du TAC de 25</w:t>
      </w:r>
      <w:r w:rsidR="0005158A" w:rsidRPr="00DD0A76">
        <w:rPr>
          <w:rFonts w:ascii="Cambria" w:hAnsi="Cambria"/>
          <w:sz w:val="20"/>
        </w:rPr>
        <w:t> </w:t>
      </w:r>
      <w:r w:rsidRPr="00DD0A76">
        <w:rPr>
          <w:rFonts w:ascii="Cambria" w:hAnsi="Cambria"/>
          <w:sz w:val="20"/>
        </w:rPr>
        <w:t>%, qui peut être maintenue à court terme ;</w:t>
      </w:r>
    </w:p>
    <w:p w14:paraId="678A43EF" w14:textId="77777777" w:rsidR="00434037" w:rsidRPr="00DD0A76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4B121EB" w14:textId="030D71A0" w:rsidR="00544CE3" w:rsidRPr="00DD0A76" w:rsidRDefault="00544CE3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i/>
          <w:iCs/>
          <w:sz w:val="20"/>
        </w:rPr>
        <w:t>CONSIDÉRANT DE SURCROÎT</w:t>
      </w:r>
      <w:r w:rsidRPr="00DD0A76">
        <w:rPr>
          <w:rFonts w:ascii="Cambria" w:hAnsi="Cambria"/>
          <w:sz w:val="20"/>
        </w:rPr>
        <w:t xml:space="preserve"> qu'aucune circonstance exceptionnelle n'a été détectée qui empêcherait l'application de la MP ;</w:t>
      </w:r>
    </w:p>
    <w:p w14:paraId="1529197D" w14:textId="77777777" w:rsidR="00434037" w:rsidRPr="00DD0A76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DB98B19" w14:textId="5018E95E" w:rsidR="00544CE3" w:rsidRPr="00DD0A76" w:rsidRDefault="00662048" w:rsidP="00434037">
      <w:pPr>
        <w:spacing w:after="0" w:line="240" w:lineRule="auto"/>
        <w:ind w:firstLine="426"/>
        <w:jc w:val="both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i/>
          <w:sz w:val="20"/>
        </w:rPr>
        <w:t>SACHANT</w:t>
      </w:r>
      <w:r w:rsidRPr="00DD0A76">
        <w:rPr>
          <w:rFonts w:ascii="Cambria" w:hAnsi="Cambria"/>
          <w:sz w:val="20"/>
        </w:rPr>
        <w:t xml:space="preserve"> qu'en 2020, il a été convenu d'appliquer l'augmentation du TAC au prorata des limites de captures et autres limites. Cette approche sera à nouveau suivie, mais elle ne constituera pas un précédent</w:t>
      </w:r>
      <w:r w:rsidR="0005158A" w:rsidRPr="00DD0A76">
        <w:rPr>
          <w:rFonts w:ascii="Cambria" w:hAnsi="Cambria"/>
          <w:sz w:val="20"/>
        </w:rPr>
        <w:t> ;</w:t>
      </w:r>
    </w:p>
    <w:p w14:paraId="3B9ECD86" w14:textId="77777777" w:rsidR="00434037" w:rsidRPr="00DD0A76" w:rsidRDefault="00434037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50840EB" w14:textId="77777777" w:rsidR="008012DD" w:rsidRPr="00DD0A76" w:rsidRDefault="008012DD" w:rsidP="00C10FD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C3C43CE" w14:textId="77777777" w:rsidR="00434037" w:rsidRPr="00DD0A76" w:rsidRDefault="007008A8" w:rsidP="00434037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sz w:val="20"/>
        </w:rPr>
        <w:t xml:space="preserve">LA COMMISSION INTERNATIONALE POUR LA CONSERVATION </w:t>
      </w:r>
    </w:p>
    <w:p w14:paraId="319EE12F" w14:textId="5012CC81" w:rsidR="005469B6" w:rsidRPr="00DD0A76" w:rsidRDefault="007008A8" w:rsidP="00434037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D0A76">
        <w:rPr>
          <w:rFonts w:ascii="Cambria" w:hAnsi="Cambria"/>
          <w:sz w:val="20"/>
        </w:rPr>
        <w:t>DES THONIDÉS DE L’ATLANTIQUE (ICCAT) RECOMMANDE CE QUI SUIT :</w:t>
      </w:r>
    </w:p>
    <w:p w14:paraId="03500A6A" w14:textId="77777777" w:rsidR="00434037" w:rsidRPr="00DD0A76" w:rsidRDefault="00434037" w:rsidP="00C10FDE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E415729" w14:textId="77777777" w:rsidR="00D22CF4" w:rsidRPr="00DD0A76" w:rsidRDefault="00D22CF4" w:rsidP="00D22CF4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iCs/>
          <w:sz w:val="20"/>
        </w:rPr>
      </w:pPr>
    </w:p>
    <w:p w14:paraId="4B00AAD2" w14:textId="474125A1" w:rsidR="00D22CF4" w:rsidRPr="00DD0A76" w:rsidRDefault="00D22CF4" w:rsidP="00D22CF4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iCs/>
          <w:sz w:val="20"/>
        </w:rPr>
      </w:pPr>
      <w:r w:rsidRPr="00DD0A76">
        <w:rPr>
          <w:rFonts w:ascii="Cambria" w:hAnsi="Cambria"/>
          <w:bCs/>
          <w:iCs/>
          <w:sz w:val="20"/>
        </w:rPr>
        <w:t>Les paragraphes 6, 7, 8 et 9 de la Recommandation 21-04 devront être amendés comme suit :</w:t>
      </w:r>
    </w:p>
    <w:p w14:paraId="3E0155C2" w14:textId="77777777" w:rsidR="007008A8" w:rsidRPr="00DD0A76" w:rsidRDefault="007008A8" w:rsidP="00C10FDE">
      <w:pPr>
        <w:pStyle w:val="ListParagraph"/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14:paraId="5443C765" w14:textId="41D2BBBA" w:rsidR="007008A8" w:rsidRPr="00DD0A76" w:rsidRDefault="0005158A" w:rsidP="0005158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t>« </w:t>
      </w:r>
      <w:r w:rsidR="00D22CF4" w:rsidRPr="00DD0A76">
        <w:rPr>
          <w:rFonts w:ascii="Cambria" w:hAnsi="Cambria"/>
          <w:sz w:val="20"/>
        </w:rPr>
        <w:t>6.</w:t>
      </w:r>
      <w:r w:rsidR="00D22CF4" w:rsidRPr="00DD0A76">
        <w:rPr>
          <w:rFonts w:ascii="Cambria" w:hAnsi="Cambria"/>
          <w:sz w:val="20"/>
        </w:rPr>
        <w:tab/>
      </w:r>
      <w:r w:rsidR="007008A8" w:rsidRPr="00DD0A76">
        <w:rPr>
          <w:rFonts w:ascii="Cambria" w:hAnsi="Cambria"/>
          <w:sz w:val="20"/>
        </w:rPr>
        <w:t>Conformément à l'application des procédures établies à l'</w:t>
      </w:r>
      <w:r w:rsidR="007008A8" w:rsidRPr="00DD0A76">
        <w:rPr>
          <w:rFonts w:ascii="Cambria" w:hAnsi="Cambria"/>
          <w:b/>
          <w:sz w:val="20"/>
        </w:rPr>
        <w:t>annexe 1</w:t>
      </w:r>
      <w:r w:rsidR="007008A8" w:rsidRPr="00DD0A76">
        <w:rPr>
          <w:rFonts w:ascii="Cambria" w:hAnsi="Cambria"/>
          <w:sz w:val="20"/>
        </w:rPr>
        <w:t xml:space="preserve"> et à l'</w:t>
      </w:r>
      <w:r w:rsidR="007008A8" w:rsidRPr="00DD0A76">
        <w:rPr>
          <w:rFonts w:ascii="Cambria" w:hAnsi="Cambria"/>
          <w:b/>
          <w:sz w:val="20"/>
        </w:rPr>
        <w:t>annexe 3</w:t>
      </w:r>
      <w:r w:rsidR="007008A8" w:rsidRPr="00DD0A76">
        <w:rPr>
          <w:rFonts w:ascii="Cambria" w:hAnsi="Cambria"/>
          <w:sz w:val="20"/>
        </w:rPr>
        <w:t>, un TAC annuel constant de 47</w:t>
      </w:r>
      <w:r w:rsidR="003531D7" w:rsidRPr="00DD0A76">
        <w:rPr>
          <w:rFonts w:ascii="Cambria" w:hAnsi="Cambria"/>
          <w:sz w:val="20"/>
        </w:rPr>
        <w:t>.</w:t>
      </w:r>
      <w:r w:rsidR="007008A8" w:rsidRPr="00DD0A76">
        <w:rPr>
          <w:rFonts w:ascii="Cambria" w:hAnsi="Cambria"/>
          <w:sz w:val="20"/>
        </w:rPr>
        <w:t>251 t est établi pour la période de gestion 2024-2026. Ce TAC annuel devra être alloué comme suit :</w:t>
      </w:r>
    </w:p>
    <w:p w14:paraId="47455850" w14:textId="6A59365B" w:rsidR="007008A8" w:rsidRPr="00DD0A76" w:rsidRDefault="007008A8" w:rsidP="0005158A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rPr>
          <w:rFonts w:ascii="Cambria" w:hAnsi="Cambria"/>
          <w:sz w:val="20"/>
        </w:rPr>
      </w:pPr>
    </w:p>
    <w:p w14:paraId="59591C7F" w14:textId="77777777" w:rsidR="00C16314" w:rsidRPr="00DD0A76" w:rsidRDefault="00C16314" w:rsidP="0005158A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rPr>
          <w:rFonts w:ascii="Cambria" w:hAnsi="Cambria" w:cs="Cambria"/>
          <w:sz w:val="20"/>
          <w:szCs w:val="20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550"/>
        <w:gridCol w:w="3403"/>
      </w:tblGrid>
      <w:tr w:rsidR="007008A8" w:rsidRPr="00DD0A76" w14:paraId="12480EAE" w14:textId="77777777" w:rsidTr="0005158A">
        <w:trPr>
          <w:trHeight w:hRule="exact" w:val="43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E11C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DD0A76">
              <w:rPr>
                <w:rFonts w:ascii="Cambria" w:hAnsi="Cambria"/>
                <w:i/>
                <w:sz w:val="20"/>
              </w:rPr>
              <w:t>CPC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C629" w14:textId="100B0506" w:rsidR="007008A8" w:rsidRPr="00DD0A76" w:rsidRDefault="007008A8" w:rsidP="0005158A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DD0A76">
              <w:rPr>
                <w:rFonts w:ascii="Cambria" w:hAnsi="Cambria"/>
                <w:i/>
                <w:sz w:val="20"/>
              </w:rPr>
              <w:t>Quota (t) pour la période 202</w:t>
            </w:r>
            <w:r w:rsidR="00D22CF4" w:rsidRPr="00DD0A76">
              <w:rPr>
                <w:rFonts w:ascii="Cambria" w:hAnsi="Cambria"/>
                <w:i/>
                <w:sz w:val="20"/>
              </w:rPr>
              <w:t>4</w:t>
            </w:r>
            <w:r w:rsidRPr="00DD0A76">
              <w:rPr>
                <w:rFonts w:ascii="Cambria" w:hAnsi="Cambria"/>
                <w:i/>
                <w:sz w:val="20"/>
              </w:rPr>
              <w:t>-202</w:t>
            </w:r>
            <w:r w:rsidR="00D22CF4" w:rsidRPr="00DD0A76">
              <w:rPr>
                <w:rFonts w:ascii="Cambria" w:hAnsi="Cambria"/>
                <w:i/>
                <w:sz w:val="20"/>
              </w:rPr>
              <w:t>6</w:t>
            </w:r>
          </w:p>
        </w:tc>
      </w:tr>
      <w:tr w:rsidR="007008A8" w:rsidRPr="00DD0A76" w14:paraId="2785A747" w14:textId="77777777" w:rsidTr="0005158A">
        <w:trPr>
          <w:trHeight w:hRule="exact"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DF62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Union européenne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8F4" w14:textId="7FEB02A9" w:rsidR="007008A8" w:rsidRPr="00DD0A76" w:rsidRDefault="0070639F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35.815,9</w:t>
            </w:r>
          </w:p>
        </w:tc>
      </w:tr>
      <w:tr w:rsidR="007008A8" w:rsidRPr="00DD0A76" w14:paraId="052E8CFC" w14:textId="77777777" w:rsidTr="0005158A">
        <w:trPr>
          <w:trHeight w:hRule="exact"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1214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Taipei chinois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6774" w14:textId="5005E781" w:rsidR="007008A8" w:rsidRPr="00DD0A76" w:rsidRDefault="0070639F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5</w:t>
            </w:r>
            <w:r w:rsidR="003531D7" w:rsidRPr="00DD0A76">
              <w:rPr>
                <w:rFonts w:ascii="Cambria" w:hAnsi="Cambria"/>
                <w:sz w:val="20"/>
              </w:rPr>
              <w:t>.</w:t>
            </w:r>
            <w:r w:rsidRPr="00DD0A76">
              <w:rPr>
                <w:rFonts w:ascii="Cambria" w:hAnsi="Cambria"/>
                <w:sz w:val="20"/>
              </w:rPr>
              <w:t>521,1</w:t>
            </w:r>
          </w:p>
        </w:tc>
      </w:tr>
      <w:tr w:rsidR="003D4686" w:rsidRPr="00DD0A76" w14:paraId="6E25515A" w14:textId="77777777" w:rsidTr="0005158A">
        <w:trPr>
          <w:trHeight w:hRule="exact"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9D9" w14:textId="1323BADC" w:rsidR="003D4686" w:rsidRPr="00DD0A76" w:rsidRDefault="003D4686" w:rsidP="0005158A">
            <w:pPr>
              <w:autoSpaceDE w:val="0"/>
              <w:autoSpaceDN w:val="0"/>
              <w:adjustRightInd w:val="0"/>
              <w:ind w:left="851" w:hanging="425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États-Unis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265" w14:textId="5CC44125" w:rsidR="003D4686" w:rsidRPr="00DD0A76" w:rsidRDefault="003D4686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889,4</w:t>
            </w:r>
          </w:p>
        </w:tc>
      </w:tr>
      <w:tr w:rsidR="005A4672" w:rsidRPr="00DD0A76" w14:paraId="2F75CFB7" w14:textId="77777777" w:rsidTr="0005158A">
        <w:trPr>
          <w:trHeight w:hRule="exact"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935" w14:textId="21E4D460" w:rsidR="005A4672" w:rsidRPr="00DD0A76" w:rsidRDefault="005A4672" w:rsidP="0005158A">
            <w:pPr>
              <w:autoSpaceDE w:val="0"/>
              <w:autoSpaceDN w:val="0"/>
              <w:adjustRightInd w:val="0"/>
              <w:ind w:left="851" w:hanging="425"/>
              <w:rPr>
                <w:rFonts w:ascii="Cambria" w:hAnsi="Cambria"/>
                <w:sz w:val="20"/>
              </w:rPr>
            </w:pPr>
            <w:r w:rsidRPr="00DD0A76">
              <w:rPr>
                <w:rFonts w:ascii="Cambria" w:hAnsi="Cambria"/>
                <w:sz w:val="20"/>
              </w:rPr>
              <w:t>Royaume-Uni*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B66" w14:textId="62B43792" w:rsidR="005A4672" w:rsidRPr="00DD0A76" w:rsidRDefault="005A4672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/>
                <w:sz w:val="20"/>
              </w:rPr>
            </w:pPr>
            <w:r w:rsidRPr="00DD0A76">
              <w:rPr>
                <w:rFonts w:ascii="Cambria" w:hAnsi="Cambria"/>
                <w:sz w:val="20"/>
              </w:rPr>
              <w:t>752,8</w:t>
            </w:r>
          </w:p>
        </w:tc>
      </w:tr>
      <w:tr w:rsidR="007008A8" w:rsidRPr="00DD0A76" w14:paraId="0453D12A" w14:textId="77777777" w:rsidTr="0005158A">
        <w:trPr>
          <w:trHeight w:hRule="exact"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194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Venezuela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2ED8" w14:textId="22E51694" w:rsidR="007008A8" w:rsidRPr="00DD0A76" w:rsidRDefault="0070639F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421,9</w:t>
            </w:r>
          </w:p>
        </w:tc>
      </w:tr>
    </w:tbl>
    <w:p w14:paraId="3C63D666" w14:textId="5AFA24BF" w:rsidR="00D22CF4" w:rsidRPr="00DD0A76" w:rsidRDefault="007008A8" w:rsidP="00B52A7D">
      <w:pPr>
        <w:pStyle w:val="Default"/>
        <w:ind w:left="1843" w:hanging="283"/>
        <w:jc w:val="both"/>
        <w:rPr>
          <w:color w:val="auto"/>
          <w:sz w:val="16"/>
          <w:szCs w:val="16"/>
        </w:rPr>
      </w:pPr>
      <w:r w:rsidRPr="00DD0A76">
        <w:rPr>
          <w:color w:val="auto"/>
          <w:sz w:val="16"/>
          <w:szCs w:val="16"/>
        </w:rPr>
        <w:t>*</w:t>
      </w:r>
      <w:r w:rsidR="00D22CF4" w:rsidRPr="00DD0A76">
        <w:rPr>
          <w:color w:val="auto"/>
          <w:sz w:val="16"/>
          <w:szCs w:val="16"/>
        </w:rPr>
        <w:t xml:space="preserve"> </w:t>
      </w:r>
      <w:r w:rsidR="0005158A" w:rsidRPr="00DD0A76">
        <w:rPr>
          <w:color w:val="auto"/>
          <w:sz w:val="16"/>
          <w:szCs w:val="16"/>
        </w:rPr>
        <w:tab/>
      </w:r>
      <w:r w:rsidR="00D22CF4" w:rsidRPr="00DD0A76">
        <w:rPr>
          <w:color w:val="auto"/>
          <w:sz w:val="16"/>
          <w:szCs w:val="16"/>
        </w:rPr>
        <w:t>Cela inclut 200 t destinées exclusivement aux captures réalisées par les territoires d’outre-mer du Royaume-Uni couverts par la Convention de l’ICCAT.</w:t>
      </w:r>
    </w:p>
    <w:p w14:paraId="09900D01" w14:textId="77777777" w:rsidR="0005158A" w:rsidRPr="00DD0A76" w:rsidRDefault="0005158A" w:rsidP="0005158A">
      <w:pPr>
        <w:pStyle w:val="Default"/>
        <w:tabs>
          <w:tab w:val="left" w:pos="1843"/>
        </w:tabs>
        <w:ind w:left="851" w:hanging="425"/>
        <w:jc w:val="both"/>
        <w:rPr>
          <w:color w:val="auto"/>
          <w:sz w:val="20"/>
        </w:rPr>
      </w:pPr>
    </w:p>
    <w:p w14:paraId="1E8BF0AF" w14:textId="6CF6EF3A" w:rsidR="007008A8" w:rsidRPr="00DD0A76" w:rsidRDefault="003531D7" w:rsidP="0005158A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sz w:val="20"/>
        </w:rPr>
      </w:pPr>
      <w:r w:rsidRPr="00DD0A76">
        <w:rPr>
          <w:rFonts w:ascii="Cambria" w:hAnsi="Cambria"/>
          <w:sz w:val="20"/>
        </w:rPr>
        <w:t>Transferts</w:t>
      </w:r>
      <w:r w:rsidR="0005158A" w:rsidRPr="00DD0A76">
        <w:rPr>
          <w:rFonts w:ascii="Cambria" w:hAnsi="Cambria"/>
          <w:sz w:val="20"/>
        </w:rPr>
        <w:t> </w:t>
      </w:r>
      <w:r w:rsidR="0005158A" w:rsidRPr="00DD0A76">
        <w:rPr>
          <w:sz w:val="20"/>
        </w:rPr>
        <w:t>:</w:t>
      </w:r>
    </w:p>
    <w:p w14:paraId="72E6BD0E" w14:textId="77777777" w:rsidR="00D22CF4" w:rsidRPr="00DD0A76" w:rsidRDefault="00D22CF4" w:rsidP="0005158A">
      <w:pPr>
        <w:pStyle w:val="Default"/>
        <w:tabs>
          <w:tab w:val="left" w:pos="1843"/>
        </w:tabs>
        <w:ind w:left="1276" w:hanging="425"/>
        <w:jc w:val="both"/>
        <w:rPr>
          <w:color w:val="auto"/>
          <w:sz w:val="20"/>
          <w:szCs w:val="20"/>
        </w:rPr>
      </w:pPr>
    </w:p>
    <w:p w14:paraId="1D97D898" w14:textId="4062A7AF" w:rsidR="007008A8" w:rsidRPr="00DD0A76" w:rsidRDefault="007008A8" w:rsidP="0005158A">
      <w:pPr>
        <w:pStyle w:val="Default"/>
        <w:numPr>
          <w:ilvl w:val="0"/>
          <w:numId w:val="2"/>
        </w:numPr>
        <w:tabs>
          <w:tab w:val="left" w:pos="1843"/>
        </w:tabs>
        <w:ind w:left="1276" w:hanging="425"/>
        <w:jc w:val="both"/>
        <w:rPr>
          <w:color w:val="auto"/>
          <w:sz w:val="20"/>
          <w:szCs w:val="20"/>
        </w:rPr>
      </w:pPr>
      <w:r w:rsidRPr="00DD0A76">
        <w:rPr>
          <w:color w:val="auto"/>
          <w:sz w:val="20"/>
        </w:rPr>
        <w:t>Le Taipei chinois est autorisé à transférer 200 t de germon de l’Atlantique Nord au Belize au titre de 2024</w:t>
      </w:r>
      <w:r w:rsidR="00D22CF4" w:rsidRPr="00DD0A76">
        <w:rPr>
          <w:color w:val="auto"/>
          <w:sz w:val="20"/>
        </w:rPr>
        <w:t>,</w:t>
      </w:r>
      <w:r w:rsidRPr="00DD0A76">
        <w:rPr>
          <w:color w:val="auto"/>
          <w:sz w:val="20"/>
        </w:rPr>
        <w:t xml:space="preserve"> 2025</w:t>
      </w:r>
      <w:r w:rsidR="00D22CF4" w:rsidRPr="00DD0A76">
        <w:rPr>
          <w:color w:val="auto"/>
          <w:sz w:val="20"/>
        </w:rPr>
        <w:t xml:space="preserve"> et 2026</w:t>
      </w:r>
      <w:r w:rsidRPr="00DD0A76">
        <w:rPr>
          <w:color w:val="auto"/>
          <w:sz w:val="20"/>
        </w:rPr>
        <w:t>.</w:t>
      </w:r>
    </w:p>
    <w:p w14:paraId="655CEEF2" w14:textId="77777777" w:rsidR="007008A8" w:rsidRPr="00DD0A76" w:rsidRDefault="007008A8" w:rsidP="0005158A">
      <w:pPr>
        <w:tabs>
          <w:tab w:val="left" w:pos="284"/>
          <w:tab w:val="left" w:pos="567"/>
        </w:tabs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</w:rPr>
      </w:pPr>
    </w:p>
    <w:p w14:paraId="3947AECE" w14:textId="73AA3D26" w:rsidR="007008A8" w:rsidRPr="00DD0A76" w:rsidRDefault="00D22CF4" w:rsidP="0005158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t>7.</w:t>
      </w:r>
      <w:r w:rsidRPr="00DD0A76">
        <w:rPr>
          <w:rFonts w:ascii="Cambria" w:hAnsi="Cambria"/>
          <w:sz w:val="20"/>
        </w:rPr>
        <w:tab/>
      </w:r>
      <w:r w:rsidR="007008A8" w:rsidRPr="00DD0A76">
        <w:rPr>
          <w:rFonts w:ascii="Cambria" w:hAnsi="Cambria"/>
          <w:sz w:val="20"/>
        </w:rPr>
        <w:t xml:space="preserve">Les CPC autres que celles visées au paragraphe 6 devront limiter leurs captures annuelles à </w:t>
      </w:r>
      <w:r w:rsidRPr="00DD0A76">
        <w:rPr>
          <w:rFonts w:ascii="Cambria" w:hAnsi="Cambria"/>
          <w:sz w:val="20"/>
        </w:rPr>
        <w:t>302</w:t>
      </w:r>
      <w:r w:rsidR="0005158A" w:rsidRPr="00DD0A76">
        <w:rPr>
          <w:rFonts w:ascii="Cambria" w:hAnsi="Cambria"/>
          <w:sz w:val="20"/>
        </w:rPr>
        <w:t> </w:t>
      </w:r>
      <w:r w:rsidR="007008A8" w:rsidRPr="00DD0A76">
        <w:rPr>
          <w:rFonts w:ascii="Cambria" w:hAnsi="Cambria"/>
          <w:sz w:val="20"/>
        </w:rPr>
        <w:t>t.</w:t>
      </w:r>
    </w:p>
    <w:p w14:paraId="12406807" w14:textId="77777777" w:rsidR="00B52A7D" w:rsidRPr="00DD0A76" w:rsidRDefault="00B52A7D">
      <w:pPr>
        <w:rPr>
          <w:rFonts w:ascii="Cambria" w:hAnsi="Cambria"/>
          <w:sz w:val="20"/>
        </w:rPr>
      </w:pPr>
      <w:r w:rsidRPr="00DD0A76">
        <w:rPr>
          <w:rFonts w:ascii="Cambria" w:hAnsi="Cambria"/>
          <w:sz w:val="20"/>
        </w:rPr>
        <w:br w:type="page"/>
      </w:r>
    </w:p>
    <w:p w14:paraId="2A675EF1" w14:textId="4BE38AA4" w:rsidR="007008A8" w:rsidRPr="00DD0A76" w:rsidRDefault="00BA37D5" w:rsidP="0005158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lastRenderedPageBreak/>
        <w:t>8.</w:t>
      </w:r>
      <w:r w:rsidRPr="00DD0A76">
        <w:rPr>
          <w:rFonts w:ascii="Cambria" w:hAnsi="Cambria"/>
          <w:sz w:val="20"/>
        </w:rPr>
        <w:tab/>
      </w:r>
      <w:r w:rsidR="007008A8" w:rsidRPr="00DD0A76">
        <w:rPr>
          <w:rFonts w:ascii="Cambria" w:hAnsi="Cambria"/>
          <w:sz w:val="20"/>
        </w:rPr>
        <w:t>Par dérogation aux paragraphes 6 et 7, le Japon devra s’efforcer de limiter le poids total de sa capture annuelle de germon de l'Atlantique Nord à un maximum de 4,5</w:t>
      </w:r>
      <w:r w:rsidR="00B52A7D" w:rsidRPr="00DD0A76">
        <w:rPr>
          <w:rFonts w:ascii="Cambria" w:hAnsi="Cambria"/>
          <w:sz w:val="20"/>
        </w:rPr>
        <w:t> </w:t>
      </w:r>
      <w:r w:rsidR="007008A8" w:rsidRPr="00DD0A76">
        <w:rPr>
          <w:rFonts w:ascii="Cambria" w:hAnsi="Cambria"/>
          <w:sz w:val="20"/>
        </w:rPr>
        <w:t>% en poids de sa prise palangrière totale de thon obèse dans l’océan Atlantique en 2024</w:t>
      </w:r>
      <w:r w:rsidRPr="00DD0A76">
        <w:rPr>
          <w:rFonts w:ascii="Cambria" w:hAnsi="Cambria"/>
          <w:sz w:val="20"/>
        </w:rPr>
        <w:t>,</w:t>
      </w:r>
      <w:r w:rsidR="007008A8" w:rsidRPr="00DD0A76">
        <w:rPr>
          <w:rFonts w:ascii="Cambria" w:hAnsi="Cambria"/>
          <w:sz w:val="20"/>
        </w:rPr>
        <w:t xml:space="preserve"> 2025</w:t>
      </w:r>
      <w:r w:rsidRPr="00DD0A76">
        <w:rPr>
          <w:rFonts w:ascii="Cambria" w:hAnsi="Cambria"/>
          <w:sz w:val="20"/>
        </w:rPr>
        <w:t xml:space="preserve"> et 2026</w:t>
      </w:r>
      <w:r w:rsidR="007008A8" w:rsidRPr="00DD0A76">
        <w:rPr>
          <w:rFonts w:ascii="Cambria" w:hAnsi="Cambria"/>
          <w:sz w:val="20"/>
        </w:rPr>
        <w:t>.</w:t>
      </w:r>
    </w:p>
    <w:p w14:paraId="5C41D7B7" w14:textId="77777777" w:rsidR="00C16314" w:rsidRPr="00DD0A76" w:rsidRDefault="00C16314" w:rsidP="0005158A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Cambria" w:hAnsi="Cambria" w:cs="Cambria"/>
          <w:sz w:val="20"/>
          <w:szCs w:val="20"/>
        </w:rPr>
      </w:pPr>
    </w:p>
    <w:p w14:paraId="0B653DEE" w14:textId="57AA17C3" w:rsidR="007008A8" w:rsidRPr="00DD0A76" w:rsidRDefault="00BA37D5" w:rsidP="0005158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t>9.</w:t>
      </w:r>
      <w:r w:rsidRPr="00DD0A76">
        <w:rPr>
          <w:rFonts w:ascii="Cambria" w:hAnsi="Cambria"/>
          <w:sz w:val="20"/>
        </w:rPr>
        <w:tab/>
      </w:r>
      <w:r w:rsidR="007008A8" w:rsidRPr="00DD0A76">
        <w:rPr>
          <w:rFonts w:ascii="Cambria" w:hAnsi="Cambria"/>
          <w:sz w:val="20"/>
        </w:rPr>
        <w:t>Toute partie non utilisée ou excédentaire du quota/limite de capture annuel d’une CPC pourrait être ajoutée à / devra être déduite, selon le cas, du quota/limite de capture respectif pendant ou avant l’année d’ajustement, comme suit :</w:t>
      </w:r>
    </w:p>
    <w:p w14:paraId="4605946C" w14:textId="77777777" w:rsidR="007008A8" w:rsidRPr="00DD0A76" w:rsidRDefault="007008A8" w:rsidP="0005158A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Cambria"/>
          <w:sz w:val="20"/>
          <w:szCs w:val="20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693"/>
        <w:gridCol w:w="2835"/>
      </w:tblGrid>
      <w:tr w:rsidR="007008A8" w:rsidRPr="00DD0A76" w14:paraId="4F2CC2C9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DF94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i/>
                <w:sz w:val="20"/>
              </w:rPr>
              <w:t>Année de capture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3A1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i/>
                <w:sz w:val="20"/>
              </w:rPr>
              <w:t>Année d'ajustement</w:t>
            </w:r>
          </w:p>
        </w:tc>
      </w:tr>
      <w:tr w:rsidR="007008A8" w:rsidRPr="00DD0A76" w14:paraId="2621DF4F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E2E0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989F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2024</w:t>
            </w:r>
          </w:p>
        </w:tc>
      </w:tr>
      <w:tr w:rsidR="007008A8" w:rsidRPr="00DD0A76" w14:paraId="711AB6A6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A17A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C5F8" w14:textId="77777777" w:rsidR="007008A8" w:rsidRPr="00DD0A76" w:rsidRDefault="007008A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2025</w:t>
            </w:r>
          </w:p>
        </w:tc>
      </w:tr>
      <w:tr w:rsidR="006D6988" w:rsidRPr="00DD0A76" w14:paraId="2C9DA7BA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0B0" w14:textId="543CD060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C25" w14:textId="7E72DDC1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2026</w:t>
            </w:r>
          </w:p>
        </w:tc>
      </w:tr>
      <w:tr w:rsidR="006D6988" w:rsidRPr="00DD0A76" w14:paraId="0C97EDFB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2B9" w14:textId="7FD4476C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24B" w14:textId="6AFEC904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2027</w:t>
            </w:r>
          </w:p>
        </w:tc>
      </w:tr>
      <w:tr w:rsidR="006D6988" w:rsidRPr="00DD0A76" w14:paraId="5B7C9A3D" w14:textId="77777777" w:rsidTr="00B52A7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83D" w14:textId="68973568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925" w14:textId="4BA55842" w:rsidR="006D6988" w:rsidRPr="00DD0A76" w:rsidRDefault="006D6988" w:rsidP="0005158A">
            <w:pPr>
              <w:autoSpaceDE w:val="0"/>
              <w:autoSpaceDN w:val="0"/>
              <w:adjustRightInd w:val="0"/>
              <w:ind w:left="851" w:hanging="425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D0A76">
              <w:rPr>
                <w:rFonts w:ascii="Cambria" w:hAnsi="Cambria"/>
                <w:sz w:val="20"/>
              </w:rPr>
              <w:t>2028</w:t>
            </w:r>
          </w:p>
        </w:tc>
      </w:tr>
    </w:tbl>
    <w:p w14:paraId="28DDEC60" w14:textId="77777777" w:rsidR="007008A8" w:rsidRPr="00DD0A76" w:rsidRDefault="007008A8" w:rsidP="0005158A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rPr>
          <w:rFonts w:ascii="Cambria" w:hAnsi="Cambria" w:cs="Cambria"/>
          <w:sz w:val="20"/>
          <w:szCs w:val="20"/>
        </w:rPr>
      </w:pPr>
    </w:p>
    <w:p w14:paraId="64C1F245" w14:textId="08E89B40" w:rsidR="007008A8" w:rsidRPr="00DD0A76" w:rsidRDefault="007008A8" w:rsidP="00B52A7D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t>Toutefois, la sous-consommation maxim</w:t>
      </w:r>
      <w:r w:rsidR="00B52A7D" w:rsidRPr="00DD0A76">
        <w:rPr>
          <w:rFonts w:ascii="Cambria" w:hAnsi="Cambria"/>
          <w:sz w:val="20"/>
        </w:rPr>
        <w:t>ale</w:t>
      </w:r>
      <w:r w:rsidRPr="00DD0A76">
        <w:rPr>
          <w:rFonts w:ascii="Cambria" w:hAnsi="Cambria"/>
          <w:sz w:val="20"/>
        </w:rPr>
        <w:t xml:space="preserve"> qu’une CPC pourrait reporter au cours de toute année donnée ne devra pas dépasser 25</w:t>
      </w:r>
      <w:r w:rsidR="00B52A7D" w:rsidRPr="00DD0A76">
        <w:rPr>
          <w:rFonts w:ascii="Cambria" w:hAnsi="Cambria"/>
          <w:sz w:val="20"/>
        </w:rPr>
        <w:t> </w:t>
      </w:r>
      <w:r w:rsidRPr="00DD0A76">
        <w:rPr>
          <w:rFonts w:ascii="Cambria" w:hAnsi="Cambria"/>
          <w:sz w:val="20"/>
        </w:rPr>
        <w:t>% de son quota de capture initial.</w:t>
      </w:r>
    </w:p>
    <w:p w14:paraId="7F782145" w14:textId="77777777" w:rsidR="007008A8" w:rsidRPr="00DD0A76" w:rsidRDefault="007008A8" w:rsidP="00B52A7D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Cambria" w:hAnsi="Cambria" w:cs="Cambria"/>
          <w:sz w:val="20"/>
          <w:szCs w:val="20"/>
        </w:rPr>
      </w:pPr>
    </w:p>
    <w:p w14:paraId="5F38D919" w14:textId="555209F6" w:rsidR="007008A8" w:rsidRPr="00DD0A76" w:rsidRDefault="007008A8" w:rsidP="00B52A7D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 w:cs="Cambria"/>
          <w:sz w:val="20"/>
          <w:szCs w:val="20"/>
        </w:rPr>
      </w:pPr>
      <w:r w:rsidRPr="00DD0A76">
        <w:rPr>
          <w:rFonts w:ascii="Cambria" w:hAnsi="Cambria"/>
          <w:sz w:val="20"/>
        </w:rPr>
        <w:t>Si, au cours d’une année donnée, les débarquements combinés des CPC dépassent le TAC de plus de 20</w:t>
      </w:r>
      <w:r w:rsidR="00FC0054" w:rsidRPr="00DD0A76">
        <w:rPr>
          <w:rFonts w:ascii="Cambria" w:hAnsi="Cambria"/>
          <w:sz w:val="20"/>
        </w:rPr>
        <w:t> </w:t>
      </w:r>
      <w:r w:rsidRPr="00DD0A76">
        <w:rPr>
          <w:rFonts w:ascii="Cambria" w:hAnsi="Cambria"/>
          <w:sz w:val="20"/>
        </w:rPr>
        <w:t>%, la Commission réévaluera la présente Recommandation à sa réunion suivante, y compris en tenant compte de tout avis du SCRS conformément à son évaluation de l'existence de circonstances exceptionnelles telles que reflétées à l'</w:t>
      </w:r>
      <w:r w:rsidRPr="00DD0A76">
        <w:rPr>
          <w:rFonts w:ascii="Cambria" w:hAnsi="Cambria"/>
          <w:b/>
          <w:sz w:val="20"/>
        </w:rPr>
        <w:t>annexe 2</w:t>
      </w:r>
      <w:r w:rsidRPr="00DD0A76">
        <w:rPr>
          <w:rFonts w:ascii="Cambria" w:hAnsi="Cambria"/>
          <w:sz w:val="20"/>
        </w:rPr>
        <w:t>, et pourra, le cas échéant, recommander de nouvelles mesures.</w:t>
      </w:r>
      <w:r w:rsidR="0005158A" w:rsidRPr="00DD0A76">
        <w:rPr>
          <w:rFonts w:ascii="Cambria" w:hAnsi="Cambria"/>
          <w:sz w:val="20"/>
        </w:rPr>
        <w:t> »</w:t>
      </w:r>
    </w:p>
    <w:sectPr w:rsidR="007008A8" w:rsidRPr="00DD0A76" w:rsidSect="00F26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C9AA" w14:textId="77777777" w:rsidR="00264AB5" w:rsidRDefault="00264AB5" w:rsidP="003E0703">
      <w:pPr>
        <w:spacing w:after="0" w:line="240" w:lineRule="auto"/>
      </w:pPr>
      <w:r>
        <w:separator/>
      </w:r>
    </w:p>
  </w:endnote>
  <w:endnote w:type="continuationSeparator" w:id="0">
    <w:p w14:paraId="632E3588" w14:textId="77777777" w:rsidR="00264AB5" w:rsidRDefault="00264AB5" w:rsidP="003E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390" w14:textId="77777777" w:rsidR="00A45910" w:rsidRDefault="00A45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7382" w14:textId="50ECD493" w:rsidR="000507F6" w:rsidRPr="000507F6" w:rsidRDefault="000507F6" w:rsidP="000507F6">
    <w:pPr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kern w:val="2"/>
        <w:sz w:val="20"/>
        <w14:ligatures w14:val="standardContextual"/>
      </w:rPr>
    </w:pPr>
    <w:r w:rsidRPr="000507F6">
      <w:rPr>
        <w:rFonts w:ascii="Cambria" w:eastAsia="Calibri" w:hAnsi="Cambria" w:cs="Calibri"/>
        <w:sz w:val="20"/>
      </w:rPr>
      <w:fldChar w:fldCharType="begin"/>
    </w:r>
    <w:r w:rsidRPr="000507F6">
      <w:rPr>
        <w:rFonts w:ascii="Cambria" w:eastAsia="Calibri" w:hAnsi="Cambria" w:cs="Calibri"/>
        <w:sz w:val="20"/>
      </w:rPr>
      <w:instrText xml:space="preserve"> PAGE </w:instrText>
    </w:r>
    <w:r w:rsidRPr="000507F6">
      <w:rPr>
        <w:rFonts w:ascii="Cambria" w:eastAsia="Calibri" w:hAnsi="Cambria" w:cs="Calibri"/>
        <w:sz w:val="20"/>
      </w:rPr>
      <w:fldChar w:fldCharType="separate"/>
    </w:r>
    <w:r w:rsidRPr="000507F6">
      <w:rPr>
        <w:rFonts w:ascii="Cambria" w:eastAsia="Calibri" w:hAnsi="Cambria" w:cs="Calibri"/>
        <w:sz w:val="20"/>
      </w:rPr>
      <w:t>1</w:t>
    </w:r>
    <w:r w:rsidRPr="000507F6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977C" w14:textId="77777777" w:rsidR="00A45910" w:rsidRDefault="00A4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2A03" w14:textId="77777777" w:rsidR="00264AB5" w:rsidRDefault="00264AB5" w:rsidP="003E0703">
      <w:pPr>
        <w:spacing w:after="0" w:line="240" w:lineRule="auto"/>
      </w:pPr>
      <w:r>
        <w:separator/>
      </w:r>
    </w:p>
  </w:footnote>
  <w:footnote w:type="continuationSeparator" w:id="0">
    <w:p w14:paraId="08E8C45F" w14:textId="77777777" w:rsidR="00264AB5" w:rsidRDefault="00264AB5" w:rsidP="003E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EE0A" w14:textId="77777777" w:rsidR="00A45910" w:rsidRDefault="00A45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5961" w14:textId="77777777" w:rsidR="00A45910" w:rsidRDefault="00A45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FE96" w14:textId="77777777" w:rsidR="00A45910" w:rsidRDefault="00A45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E3F"/>
    <w:multiLevelType w:val="hybridMultilevel"/>
    <w:tmpl w:val="2AA08662"/>
    <w:lvl w:ilvl="0" w:tplc="08E6DF5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8F52A0A"/>
    <w:multiLevelType w:val="hybridMultilevel"/>
    <w:tmpl w:val="2EB66B0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76287224">
      <w:start w:val="1"/>
      <w:numFmt w:val="lowerLetter"/>
      <w:lvlText w:val="(%2)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8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95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8"/>
    <w:rsid w:val="000507F6"/>
    <w:rsid w:val="0005158A"/>
    <w:rsid w:val="00063FF9"/>
    <w:rsid w:val="000A471A"/>
    <w:rsid w:val="00157667"/>
    <w:rsid w:val="00172FBB"/>
    <w:rsid w:val="001809D1"/>
    <w:rsid w:val="001F3739"/>
    <w:rsid w:val="002062F3"/>
    <w:rsid w:val="00264AB5"/>
    <w:rsid w:val="002F2BE6"/>
    <w:rsid w:val="00325856"/>
    <w:rsid w:val="003531D7"/>
    <w:rsid w:val="00366D8C"/>
    <w:rsid w:val="003D4686"/>
    <w:rsid w:val="003E0703"/>
    <w:rsid w:val="0042508C"/>
    <w:rsid w:val="00434037"/>
    <w:rsid w:val="004728FF"/>
    <w:rsid w:val="004750F2"/>
    <w:rsid w:val="004B3E77"/>
    <w:rsid w:val="00544CE3"/>
    <w:rsid w:val="005469B6"/>
    <w:rsid w:val="00587BB2"/>
    <w:rsid w:val="005A4672"/>
    <w:rsid w:val="00662048"/>
    <w:rsid w:val="006870F4"/>
    <w:rsid w:val="006C5151"/>
    <w:rsid w:val="006D6988"/>
    <w:rsid w:val="007008A8"/>
    <w:rsid w:val="0070639F"/>
    <w:rsid w:val="007335E8"/>
    <w:rsid w:val="007C54FC"/>
    <w:rsid w:val="008012DD"/>
    <w:rsid w:val="008C3F05"/>
    <w:rsid w:val="008C4994"/>
    <w:rsid w:val="008E6925"/>
    <w:rsid w:val="009462C3"/>
    <w:rsid w:val="009545D3"/>
    <w:rsid w:val="009B349E"/>
    <w:rsid w:val="00A022FD"/>
    <w:rsid w:val="00A45910"/>
    <w:rsid w:val="00B27999"/>
    <w:rsid w:val="00B52A7D"/>
    <w:rsid w:val="00B964D7"/>
    <w:rsid w:val="00BA37D5"/>
    <w:rsid w:val="00C10FDE"/>
    <w:rsid w:val="00C16314"/>
    <w:rsid w:val="00C32B11"/>
    <w:rsid w:val="00CD26FB"/>
    <w:rsid w:val="00D22CF4"/>
    <w:rsid w:val="00DD0A76"/>
    <w:rsid w:val="00E36A67"/>
    <w:rsid w:val="00E77420"/>
    <w:rsid w:val="00F01939"/>
    <w:rsid w:val="00F2605B"/>
    <w:rsid w:val="00F37297"/>
    <w:rsid w:val="00FC0054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8A7"/>
  <w15:chartTrackingRefBased/>
  <w15:docId w15:val="{6C5B8D72-302D-4803-9451-3B48A2CB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4591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A8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008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7008A8"/>
  </w:style>
  <w:style w:type="table" w:styleId="TableGrid">
    <w:name w:val="Table Grid"/>
    <w:basedOn w:val="TableNormal"/>
    <w:uiPriority w:val="39"/>
    <w:rsid w:val="00700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6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03"/>
  </w:style>
  <w:style w:type="paragraph" w:styleId="Footer">
    <w:name w:val="footer"/>
    <w:basedOn w:val="Normal"/>
    <w:link w:val="FooterChar"/>
    <w:uiPriority w:val="99"/>
    <w:unhideWhenUsed/>
    <w:rsid w:val="003E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03"/>
  </w:style>
  <w:style w:type="character" w:customStyle="1" w:styleId="Heading5Char">
    <w:name w:val="Heading 5 Char"/>
    <w:basedOn w:val="DefaultParagraphFont"/>
    <w:link w:val="Heading5"/>
    <w:rsid w:val="00A45910"/>
    <w:rPr>
      <w:rFonts w:ascii="Calibri" w:eastAsia="Calibri" w:hAnsi="Calibri" w:cs="Calibri"/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Cristina (MARE)</dc:creator>
  <cp:keywords/>
  <dc:description/>
  <cp:lastModifiedBy>Dorothee Pinet</cp:lastModifiedBy>
  <cp:revision>13</cp:revision>
  <dcterms:created xsi:type="dcterms:W3CDTF">2023-11-18T17:28:00Z</dcterms:created>
  <dcterms:modified xsi:type="dcterms:W3CDTF">2023-11-27T11:32:00Z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2023-11-03T14:39:44Z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d12b5f7a-f705-43d7-9a8c-fb0d947e67b7</vt:lpwstr>
  </property>
  <property fmtid="{D5CDD505-2E9C-101B-9397-08002B2CF9AE}" pid="8" name="MSIP_Label_6bd9ddd1-4d20-43f6-abfa-fc3c07406f94_ContentBits">
    <vt:lpwstr>0</vt:lpwstr>
  </property>
</Properties>
</file>