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8754" w14:textId="66FB00A1" w:rsidR="00D321D0" w:rsidRPr="00D321D0" w:rsidRDefault="00D321D0" w:rsidP="00D321D0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8222" w:hanging="8222"/>
        <w:contextualSpacing/>
        <w:jc w:val="center"/>
        <w:rPr>
          <w:rFonts w:ascii="Cambria" w:eastAsia="Calibri" w:hAnsi="Cambria" w:cs="Times New Roman"/>
          <w:b/>
          <w:sz w:val="20"/>
          <w:lang w:val="en-GB"/>
        </w:rPr>
      </w:pPr>
      <w:r w:rsidRPr="00D321D0">
        <w:rPr>
          <w:rFonts w:ascii="Cambria" w:eastAsia="Calibri" w:hAnsi="Cambria" w:cs="Times New Roman"/>
          <w:b/>
          <w:sz w:val="20"/>
          <w:lang w:val="en-GB"/>
        </w:rPr>
        <w:t>2</w:t>
      </w:r>
      <w:r w:rsidRPr="009A2D35">
        <w:rPr>
          <w:rFonts w:ascii="Cambria" w:eastAsia="Calibri" w:hAnsi="Cambria" w:cs="Times New Roman"/>
          <w:b/>
          <w:sz w:val="20"/>
          <w:lang w:val="en-GB"/>
        </w:rPr>
        <w:t>3</w:t>
      </w:r>
      <w:r w:rsidRPr="00D321D0">
        <w:rPr>
          <w:rFonts w:ascii="Cambria" w:eastAsia="Calibri" w:hAnsi="Cambria" w:cs="Times New Roman"/>
          <w:b/>
          <w:sz w:val="20"/>
          <w:lang w:val="en-GB"/>
        </w:rPr>
        <w:t>-</w:t>
      </w:r>
      <w:r w:rsidR="00A63DA1">
        <w:rPr>
          <w:rFonts w:ascii="Cambria" w:eastAsia="Calibri" w:hAnsi="Cambria" w:cs="Times New Roman"/>
          <w:b/>
          <w:sz w:val="20"/>
          <w:lang w:val="en-GB"/>
        </w:rPr>
        <w:t>05</w:t>
      </w:r>
      <w:r w:rsidRPr="00D321D0">
        <w:rPr>
          <w:rFonts w:ascii="Cambria" w:eastAsia="Calibri" w:hAnsi="Cambria" w:cs="Times New Roman"/>
          <w:b/>
          <w:sz w:val="20"/>
          <w:lang w:val="en-GB"/>
        </w:rPr>
        <w:tab/>
      </w:r>
      <w:r w:rsidR="009A2D35" w:rsidRPr="009A2D35">
        <w:rPr>
          <w:rFonts w:ascii="Cambria" w:eastAsia="Calibri" w:hAnsi="Cambria" w:cs="Times New Roman"/>
          <w:b/>
          <w:sz w:val="20"/>
          <w:lang w:val="en-GB"/>
        </w:rPr>
        <w:t xml:space="preserve">       </w:t>
      </w:r>
      <w:r w:rsidRPr="009A2D35">
        <w:rPr>
          <w:rFonts w:ascii="Cambria" w:eastAsia="Calibri" w:hAnsi="Cambria" w:cs="Times New Roman"/>
          <w:b/>
          <w:sz w:val="20"/>
          <w:lang w:val="en-GB"/>
        </w:rPr>
        <w:t>ALB</w:t>
      </w:r>
    </w:p>
    <w:p w14:paraId="7366C957" w14:textId="79DC5D04" w:rsidR="009A2D35" w:rsidRPr="009A2D35" w:rsidRDefault="00324F35" w:rsidP="009A2D3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contextualSpacing/>
        <w:jc w:val="center"/>
        <w:rPr>
          <w:rFonts w:ascii="Cambria" w:eastAsia="Calibri" w:hAnsi="Cambria" w:cs="Times New Roman"/>
          <w:b/>
          <w:sz w:val="20"/>
          <w:szCs w:val="20"/>
          <w:lang w:val="en-GB"/>
        </w:rPr>
      </w:pPr>
      <w:r w:rsidRPr="009A2D35">
        <w:rPr>
          <w:rFonts w:ascii="Cambria" w:eastAsia="Calibri" w:hAnsi="Cambria" w:cs="Times New Roman"/>
          <w:b/>
          <w:sz w:val="20"/>
          <w:szCs w:val="20"/>
          <w:lang w:val="en-GB"/>
        </w:rPr>
        <w:t>RECOMMENDATION BY ICCAT AMENDING THE RECOMMENDATION 21-04 ON</w:t>
      </w:r>
    </w:p>
    <w:p w14:paraId="3AEC2D60" w14:textId="31E2C22A" w:rsidR="009A2D35" w:rsidRPr="00D321D0" w:rsidRDefault="00324F35" w:rsidP="00D321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contextualSpacing/>
        <w:jc w:val="center"/>
        <w:rPr>
          <w:rFonts w:ascii="Cambria" w:eastAsia="Calibri" w:hAnsi="Cambria" w:cs="Times New Roman"/>
          <w:b/>
          <w:sz w:val="20"/>
          <w:szCs w:val="20"/>
          <w:lang w:val="en-GB"/>
        </w:rPr>
      </w:pPr>
      <w:r w:rsidRPr="009A2D35">
        <w:rPr>
          <w:rFonts w:ascii="Cambria" w:eastAsia="Calibri" w:hAnsi="Cambria" w:cs="Times New Roman"/>
          <w:b/>
          <w:sz w:val="20"/>
          <w:szCs w:val="20"/>
          <w:lang w:val="en-GB"/>
        </w:rPr>
        <w:t xml:space="preserve">CONSERVATION AND MANAGEMENT MEASURES, INCLUDING A MANAGEMENT PROCEDURE AND EXCEPTIONAL CIRCUMSTANCES PROTOCOL, FOR NORTH ATLANTIC ALBACORE </w:t>
      </w:r>
    </w:p>
    <w:p w14:paraId="59DCF82D" w14:textId="77777777" w:rsidR="000507F6" w:rsidRPr="00F95BED" w:rsidRDefault="000507F6" w:rsidP="00C10FDE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  <w:lang w:val="en-IE"/>
        </w:rPr>
      </w:pPr>
    </w:p>
    <w:p w14:paraId="5D3326A0" w14:textId="77777777" w:rsidR="00434037" w:rsidRPr="00F95BED" w:rsidRDefault="00434037" w:rsidP="00C10FDE">
      <w:pPr>
        <w:spacing w:after="0" w:line="240" w:lineRule="auto"/>
        <w:jc w:val="center"/>
        <w:rPr>
          <w:rFonts w:ascii="Cambria" w:hAnsi="Cambria"/>
          <w:i/>
          <w:iCs/>
          <w:sz w:val="20"/>
          <w:szCs w:val="20"/>
          <w:lang w:val="en-IE"/>
        </w:rPr>
      </w:pPr>
    </w:p>
    <w:p w14:paraId="4BFAC0A7" w14:textId="45F958CB" w:rsidR="00544CE3" w:rsidRPr="00F95BED" w:rsidRDefault="00544CE3" w:rsidP="00434037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  <w:lang w:val="en-IE"/>
        </w:rPr>
      </w:pPr>
      <w:r w:rsidRPr="00F95BED">
        <w:rPr>
          <w:rFonts w:ascii="Cambria" w:hAnsi="Cambria"/>
          <w:i/>
          <w:iCs/>
          <w:sz w:val="20"/>
          <w:szCs w:val="20"/>
          <w:lang w:val="en-IE"/>
        </w:rPr>
        <w:t>NOTING</w:t>
      </w:r>
      <w:r w:rsidRPr="00F95BED">
        <w:rPr>
          <w:rFonts w:ascii="Cambria" w:hAnsi="Cambria"/>
          <w:sz w:val="20"/>
          <w:szCs w:val="20"/>
          <w:lang w:val="en-IE"/>
        </w:rPr>
        <w:t xml:space="preserve"> that in 2021, the Commission adopted a management procedure (MP), Recommendation</w:t>
      </w:r>
      <w:r w:rsidR="00720A0F">
        <w:rPr>
          <w:rFonts w:ascii="Cambria" w:hAnsi="Cambria"/>
          <w:sz w:val="20"/>
          <w:szCs w:val="20"/>
          <w:lang w:val="en-IE"/>
        </w:rPr>
        <w:t> </w:t>
      </w:r>
      <w:r w:rsidRPr="00F95BED">
        <w:rPr>
          <w:rFonts w:ascii="Cambria" w:hAnsi="Cambria"/>
          <w:sz w:val="20"/>
          <w:szCs w:val="20"/>
          <w:lang w:val="en-IE"/>
        </w:rPr>
        <w:t>21</w:t>
      </w:r>
      <w:r w:rsidR="002F2BE6" w:rsidRPr="00F95BED">
        <w:rPr>
          <w:rFonts w:ascii="Cambria" w:hAnsi="Cambria"/>
          <w:sz w:val="20"/>
          <w:szCs w:val="20"/>
          <w:lang w:val="en-IE"/>
        </w:rPr>
        <w:noBreakHyphen/>
      </w:r>
      <w:r w:rsidRPr="00F95BED">
        <w:rPr>
          <w:rFonts w:ascii="Cambria" w:hAnsi="Cambria"/>
          <w:sz w:val="20"/>
          <w:szCs w:val="20"/>
          <w:lang w:val="en-IE"/>
        </w:rPr>
        <w:t xml:space="preserve">04, which sets the management procedure to achieve the management objective of maintaining the stock in the green area of the Kobe plot with at least a 60% probability while maximizing long-term </w:t>
      </w:r>
      <w:proofErr w:type="gramStart"/>
      <w:r w:rsidRPr="00F95BED">
        <w:rPr>
          <w:rFonts w:ascii="Cambria" w:hAnsi="Cambria"/>
          <w:sz w:val="20"/>
          <w:szCs w:val="20"/>
          <w:lang w:val="en-IE"/>
        </w:rPr>
        <w:t>yield</w:t>
      </w:r>
      <w:r w:rsidR="00720A0F">
        <w:rPr>
          <w:rFonts w:ascii="Cambria" w:hAnsi="Cambria"/>
          <w:sz w:val="20"/>
          <w:szCs w:val="20"/>
          <w:lang w:val="en-IE"/>
        </w:rPr>
        <w:t>;</w:t>
      </w:r>
      <w:proofErr w:type="gramEnd"/>
    </w:p>
    <w:p w14:paraId="6F8B8873" w14:textId="77777777" w:rsidR="00434037" w:rsidRPr="00F95BED" w:rsidRDefault="00434037" w:rsidP="00C10FDE">
      <w:pPr>
        <w:spacing w:after="0" w:line="240" w:lineRule="auto"/>
        <w:jc w:val="both"/>
        <w:rPr>
          <w:rFonts w:ascii="Cambria" w:hAnsi="Cambria"/>
          <w:sz w:val="20"/>
          <w:szCs w:val="20"/>
          <w:lang w:val="en-IE"/>
        </w:rPr>
      </w:pPr>
    </w:p>
    <w:p w14:paraId="53321ADC" w14:textId="647EBD3B" w:rsidR="00544CE3" w:rsidRPr="00F95BED" w:rsidRDefault="00544CE3" w:rsidP="00434037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  <w:lang w:val="en-IE"/>
        </w:rPr>
      </w:pPr>
      <w:r w:rsidRPr="00F95BED">
        <w:rPr>
          <w:rFonts w:ascii="Cambria" w:hAnsi="Cambria"/>
          <w:i/>
          <w:iCs/>
          <w:sz w:val="20"/>
          <w:szCs w:val="20"/>
          <w:lang w:val="en-IE"/>
        </w:rPr>
        <w:t>FURTHER NOTING</w:t>
      </w:r>
      <w:r w:rsidRPr="00F95BED">
        <w:rPr>
          <w:rFonts w:ascii="Cambria" w:hAnsi="Cambria"/>
          <w:sz w:val="20"/>
          <w:szCs w:val="20"/>
          <w:lang w:val="en-IE"/>
        </w:rPr>
        <w:t xml:space="preserve"> that the current MP integrates a Harvest Control Rule (HCR) to </w:t>
      </w:r>
      <w:r w:rsidRPr="00090A03">
        <w:rPr>
          <w:rFonts w:ascii="Cambria" w:hAnsi="Cambria"/>
          <w:sz w:val="20"/>
          <w:szCs w:val="20"/>
          <w:lang w:val="en-IE"/>
        </w:rPr>
        <w:t xml:space="preserve">set </w:t>
      </w:r>
      <w:r w:rsidR="008A1FD1" w:rsidRPr="00090A03">
        <w:rPr>
          <w:rFonts w:ascii="Cambria" w:hAnsi="Cambria"/>
          <w:sz w:val="20"/>
          <w:szCs w:val="20"/>
          <w:lang w:val="en-IE"/>
        </w:rPr>
        <w:t>total allowable catches (</w:t>
      </w:r>
      <w:r w:rsidRPr="00090A03">
        <w:rPr>
          <w:rFonts w:ascii="Cambria" w:hAnsi="Cambria"/>
          <w:sz w:val="20"/>
          <w:szCs w:val="20"/>
          <w:lang w:val="en-IE"/>
        </w:rPr>
        <w:t>TACs</w:t>
      </w:r>
      <w:r w:rsidR="008A1FD1" w:rsidRPr="00090A03">
        <w:rPr>
          <w:rFonts w:ascii="Cambria" w:hAnsi="Cambria"/>
          <w:sz w:val="20"/>
          <w:szCs w:val="20"/>
          <w:lang w:val="en-IE"/>
        </w:rPr>
        <w:t>)</w:t>
      </w:r>
      <w:r w:rsidRPr="00090A03">
        <w:rPr>
          <w:rFonts w:ascii="Cambria" w:hAnsi="Cambria"/>
          <w:sz w:val="20"/>
          <w:szCs w:val="20"/>
          <w:lang w:val="en-IE"/>
        </w:rPr>
        <w:t xml:space="preserve"> every three years. The current three-year period ends by the end of 2023, and therefore, a new three-year TAC cycle for 2024-2026 must be </w:t>
      </w:r>
      <w:proofErr w:type="gramStart"/>
      <w:r w:rsidRPr="00090A03">
        <w:rPr>
          <w:rFonts w:ascii="Cambria" w:hAnsi="Cambria"/>
          <w:sz w:val="20"/>
          <w:szCs w:val="20"/>
          <w:lang w:val="en-IE"/>
        </w:rPr>
        <w:t>established</w:t>
      </w:r>
      <w:r w:rsidR="00720A0F" w:rsidRPr="00090A03">
        <w:rPr>
          <w:rFonts w:ascii="Cambria" w:hAnsi="Cambria"/>
          <w:sz w:val="20"/>
          <w:szCs w:val="20"/>
          <w:lang w:val="en-IE"/>
        </w:rPr>
        <w:t>;</w:t>
      </w:r>
      <w:proofErr w:type="gramEnd"/>
    </w:p>
    <w:p w14:paraId="7D9B9754" w14:textId="77777777" w:rsidR="00434037" w:rsidRPr="00F95BED" w:rsidRDefault="00434037" w:rsidP="00C10FDE">
      <w:pPr>
        <w:spacing w:after="0" w:line="240" w:lineRule="auto"/>
        <w:jc w:val="both"/>
        <w:rPr>
          <w:rFonts w:ascii="Cambria" w:hAnsi="Cambria"/>
          <w:sz w:val="20"/>
          <w:szCs w:val="20"/>
          <w:lang w:val="en-IE"/>
        </w:rPr>
      </w:pPr>
    </w:p>
    <w:p w14:paraId="24FB4CBB" w14:textId="760CCE88" w:rsidR="001809D1" w:rsidRPr="00F95BED" w:rsidRDefault="00544CE3" w:rsidP="00434037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  <w:lang w:val="en-IE"/>
        </w:rPr>
      </w:pPr>
      <w:r w:rsidRPr="00F95BED">
        <w:rPr>
          <w:rFonts w:ascii="Cambria" w:hAnsi="Cambria"/>
          <w:i/>
          <w:iCs/>
          <w:sz w:val="20"/>
          <w:szCs w:val="20"/>
          <w:lang w:val="en-IE"/>
        </w:rPr>
        <w:t>CONSIDERING</w:t>
      </w:r>
      <w:r w:rsidRPr="00F95BED">
        <w:rPr>
          <w:rFonts w:ascii="Cambria" w:hAnsi="Cambria"/>
          <w:sz w:val="20"/>
          <w:szCs w:val="20"/>
          <w:lang w:val="en-IE"/>
        </w:rPr>
        <w:t xml:space="preserve"> that </w:t>
      </w:r>
      <w:r w:rsidRPr="003F152A">
        <w:rPr>
          <w:rFonts w:ascii="Cambria" w:hAnsi="Cambria"/>
          <w:sz w:val="20"/>
          <w:szCs w:val="20"/>
          <w:lang w:val="en-IE"/>
        </w:rPr>
        <w:t>the SCRS a</w:t>
      </w:r>
      <w:r w:rsidRPr="00F95BED">
        <w:rPr>
          <w:rFonts w:ascii="Cambria" w:hAnsi="Cambria"/>
          <w:sz w:val="20"/>
          <w:szCs w:val="20"/>
          <w:lang w:val="en-IE"/>
        </w:rPr>
        <w:t xml:space="preserve">ssessed the current management procedure, which results in a TAC of 47,251 t for 2024-2026. Any of the MP variants requested in Recommendation 21-04 would result in the same TAC due to the maximum TAC increase of 25%, which can be sustained in the near </w:t>
      </w:r>
      <w:proofErr w:type="gramStart"/>
      <w:r w:rsidRPr="00F95BED">
        <w:rPr>
          <w:rFonts w:ascii="Cambria" w:hAnsi="Cambria"/>
          <w:sz w:val="20"/>
          <w:szCs w:val="20"/>
          <w:lang w:val="en-IE"/>
        </w:rPr>
        <w:t>term</w:t>
      </w:r>
      <w:r w:rsidR="00720A0F">
        <w:rPr>
          <w:rFonts w:ascii="Cambria" w:hAnsi="Cambria"/>
          <w:sz w:val="20"/>
          <w:szCs w:val="20"/>
          <w:lang w:val="en-IE"/>
        </w:rPr>
        <w:t>;</w:t>
      </w:r>
      <w:proofErr w:type="gramEnd"/>
    </w:p>
    <w:p w14:paraId="678A43EF" w14:textId="77777777" w:rsidR="00434037" w:rsidRPr="00F95BED" w:rsidRDefault="00434037" w:rsidP="00C10FDE">
      <w:pPr>
        <w:spacing w:after="0" w:line="240" w:lineRule="auto"/>
        <w:jc w:val="both"/>
        <w:rPr>
          <w:rFonts w:ascii="Cambria" w:hAnsi="Cambria"/>
          <w:sz w:val="20"/>
          <w:szCs w:val="20"/>
          <w:lang w:val="en-IE"/>
        </w:rPr>
      </w:pPr>
    </w:p>
    <w:p w14:paraId="64B121EB" w14:textId="3FE27806" w:rsidR="00544CE3" w:rsidRPr="00F95BED" w:rsidRDefault="00544CE3" w:rsidP="00434037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  <w:lang w:val="en-IE"/>
        </w:rPr>
      </w:pPr>
      <w:r w:rsidRPr="00F95BED">
        <w:rPr>
          <w:rFonts w:ascii="Cambria" w:hAnsi="Cambria"/>
          <w:i/>
          <w:iCs/>
          <w:sz w:val="20"/>
          <w:szCs w:val="20"/>
          <w:lang w:val="en-IE"/>
        </w:rPr>
        <w:t>FURTHER CONSIDERING</w:t>
      </w:r>
      <w:r w:rsidRPr="00F95BED">
        <w:rPr>
          <w:rFonts w:ascii="Cambria" w:hAnsi="Cambria"/>
          <w:sz w:val="20"/>
          <w:szCs w:val="20"/>
          <w:lang w:val="en-IE"/>
        </w:rPr>
        <w:t xml:space="preserve"> that no exceptional circumstances have been detected that would preclude the application of the </w:t>
      </w:r>
      <w:proofErr w:type="gramStart"/>
      <w:r w:rsidRPr="00F95BED">
        <w:rPr>
          <w:rFonts w:ascii="Cambria" w:hAnsi="Cambria"/>
          <w:sz w:val="20"/>
          <w:szCs w:val="20"/>
          <w:lang w:val="en-IE"/>
        </w:rPr>
        <w:t>MP</w:t>
      </w:r>
      <w:r w:rsidR="00720A0F">
        <w:rPr>
          <w:rFonts w:ascii="Cambria" w:hAnsi="Cambria"/>
          <w:sz w:val="20"/>
          <w:szCs w:val="20"/>
          <w:lang w:val="en-IE"/>
        </w:rPr>
        <w:t>;</w:t>
      </w:r>
      <w:proofErr w:type="gramEnd"/>
    </w:p>
    <w:p w14:paraId="1529197D" w14:textId="77777777" w:rsidR="00434037" w:rsidRPr="00F95BED" w:rsidRDefault="00434037" w:rsidP="00C10FDE">
      <w:pPr>
        <w:spacing w:after="0" w:line="240" w:lineRule="auto"/>
        <w:jc w:val="both"/>
        <w:rPr>
          <w:rFonts w:ascii="Cambria" w:hAnsi="Cambria"/>
          <w:sz w:val="20"/>
          <w:szCs w:val="20"/>
          <w:lang w:val="en-IE"/>
        </w:rPr>
      </w:pPr>
    </w:p>
    <w:p w14:paraId="3DB98B19" w14:textId="5CD4EAE9" w:rsidR="00544CE3" w:rsidRPr="00F95BED" w:rsidRDefault="00662048" w:rsidP="00434037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  <w:lang w:val="en-IE"/>
        </w:rPr>
      </w:pPr>
      <w:r w:rsidRPr="00F95BED">
        <w:rPr>
          <w:rFonts w:ascii="Cambria" w:hAnsi="Cambria"/>
          <w:i/>
          <w:iCs/>
          <w:sz w:val="20"/>
          <w:szCs w:val="20"/>
          <w:lang w:val="en-IE"/>
        </w:rPr>
        <w:t>AWARE</w:t>
      </w:r>
      <w:r w:rsidRPr="00F95BED">
        <w:rPr>
          <w:rFonts w:ascii="Cambria" w:hAnsi="Cambria"/>
          <w:sz w:val="20"/>
          <w:szCs w:val="20"/>
          <w:lang w:val="en-IE"/>
        </w:rPr>
        <w:t xml:space="preserve"> that in 2020, it was agreed to apply the TAC increase on a pro-rata basis to the catch and other limits. This approach will be followed again; however, it shall not establish a </w:t>
      </w:r>
      <w:proofErr w:type="gramStart"/>
      <w:r w:rsidRPr="00F95BED">
        <w:rPr>
          <w:rFonts w:ascii="Cambria" w:hAnsi="Cambria"/>
          <w:sz w:val="20"/>
          <w:szCs w:val="20"/>
          <w:lang w:val="en-IE"/>
        </w:rPr>
        <w:t>precedent</w:t>
      </w:r>
      <w:r w:rsidR="00720A0F">
        <w:rPr>
          <w:rFonts w:ascii="Cambria" w:hAnsi="Cambria"/>
          <w:sz w:val="20"/>
          <w:szCs w:val="20"/>
          <w:lang w:val="en-IE"/>
        </w:rPr>
        <w:t>;</w:t>
      </w:r>
      <w:proofErr w:type="gramEnd"/>
    </w:p>
    <w:p w14:paraId="3B9ECD86" w14:textId="77777777" w:rsidR="00434037" w:rsidRPr="00F95BED" w:rsidRDefault="00434037" w:rsidP="00C10FDE">
      <w:pPr>
        <w:spacing w:after="0" w:line="240" w:lineRule="auto"/>
        <w:jc w:val="both"/>
        <w:rPr>
          <w:rFonts w:ascii="Cambria" w:hAnsi="Cambria"/>
          <w:sz w:val="20"/>
          <w:szCs w:val="20"/>
          <w:lang w:val="en-IE"/>
        </w:rPr>
      </w:pPr>
    </w:p>
    <w:p w14:paraId="350840EB" w14:textId="77777777" w:rsidR="008012DD" w:rsidRPr="00F95BED" w:rsidRDefault="008012DD" w:rsidP="00C10FDE">
      <w:pPr>
        <w:spacing w:after="0" w:line="240" w:lineRule="auto"/>
        <w:jc w:val="both"/>
        <w:rPr>
          <w:rFonts w:ascii="Cambria" w:hAnsi="Cambria"/>
          <w:sz w:val="20"/>
          <w:szCs w:val="20"/>
          <w:lang w:val="en-IE"/>
        </w:rPr>
      </w:pPr>
    </w:p>
    <w:p w14:paraId="7C3C43CE" w14:textId="77777777" w:rsidR="00434037" w:rsidRPr="00F95BED" w:rsidRDefault="007008A8" w:rsidP="00434037">
      <w:pPr>
        <w:spacing w:after="0" w:line="240" w:lineRule="auto"/>
        <w:jc w:val="center"/>
        <w:rPr>
          <w:rFonts w:ascii="Cambria" w:hAnsi="Cambria"/>
          <w:sz w:val="20"/>
          <w:szCs w:val="20"/>
          <w:lang w:val="en-IE"/>
        </w:rPr>
      </w:pPr>
      <w:r w:rsidRPr="00F95BED">
        <w:rPr>
          <w:rFonts w:ascii="Cambria" w:hAnsi="Cambria"/>
          <w:sz w:val="20"/>
          <w:szCs w:val="20"/>
          <w:lang w:val="en-IE"/>
        </w:rPr>
        <w:t xml:space="preserve">THE INTERNATIONAL COMMISSION FOR THE </w:t>
      </w:r>
    </w:p>
    <w:p w14:paraId="319EE12F" w14:textId="5012CC81" w:rsidR="005469B6" w:rsidRPr="00F95BED" w:rsidRDefault="007008A8" w:rsidP="00434037">
      <w:pPr>
        <w:spacing w:after="0" w:line="240" w:lineRule="auto"/>
        <w:jc w:val="center"/>
        <w:rPr>
          <w:rFonts w:ascii="Cambria" w:hAnsi="Cambria"/>
          <w:sz w:val="20"/>
          <w:szCs w:val="20"/>
          <w:lang w:val="en-IE"/>
        </w:rPr>
      </w:pPr>
      <w:r w:rsidRPr="00F95BED">
        <w:rPr>
          <w:rFonts w:ascii="Cambria" w:hAnsi="Cambria"/>
          <w:sz w:val="20"/>
          <w:szCs w:val="20"/>
          <w:lang w:val="en-IE"/>
        </w:rPr>
        <w:t>CONSERVATION OF ATLANTIC TUNAS (ICCAT) RECOMMENDS THAT:</w:t>
      </w:r>
    </w:p>
    <w:p w14:paraId="03500A6A" w14:textId="77777777" w:rsidR="00434037" w:rsidRPr="00F95BED" w:rsidRDefault="00434037" w:rsidP="00C10FDE">
      <w:pPr>
        <w:spacing w:after="0" w:line="240" w:lineRule="auto"/>
        <w:rPr>
          <w:rFonts w:ascii="Cambria" w:hAnsi="Cambria"/>
          <w:sz w:val="20"/>
          <w:szCs w:val="20"/>
          <w:lang w:val="en-IE"/>
        </w:rPr>
      </w:pPr>
    </w:p>
    <w:p w14:paraId="77637451" w14:textId="4BC92A81" w:rsidR="00377834" w:rsidRPr="00F95BED" w:rsidRDefault="00377834" w:rsidP="00377834">
      <w:pPr>
        <w:spacing w:after="0" w:line="240" w:lineRule="auto"/>
        <w:jc w:val="both"/>
        <w:rPr>
          <w:rFonts w:ascii="Cambria" w:hAnsi="Cambria" w:cs="Cambria"/>
          <w:sz w:val="20"/>
          <w:szCs w:val="20"/>
          <w:lang w:eastAsia="ja-JP"/>
        </w:rPr>
      </w:pPr>
      <w:r w:rsidRPr="00F95BED">
        <w:rPr>
          <w:rFonts w:ascii="Cambria" w:hAnsi="Cambria" w:cs="Cambria" w:hint="eastAsia"/>
          <w:sz w:val="20"/>
          <w:szCs w:val="20"/>
          <w:lang w:eastAsia="ja-JP"/>
        </w:rPr>
        <w:t>P</w:t>
      </w:r>
      <w:r w:rsidRPr="00F95BED">
        <w:rPr>
          <w:rFonts w:ascii="Cambria" w:hAnsi="Cambria" w:cs="Cambria"/>
          <w:sz w:val="20"/>
          <w:szCs w:val="20"/>
          <w:lang w:eastAsia="ja-JP"/>
        </w:rPr>
        <w:t>aragraph 6, 7, 8, and 9 of Rec</w:t>
      </w:r>
      <w:r w:rsidR="00F6641B" w:rsidRPr="00F95BED">
        <w:rPr>
          <w:rFonts w:ascii="Cambria" w:hAnsi="Cambria" w:cs="Cambria"/>
          <w:sz w:val="20"/>
          <w:szCs w:val="20"/>
          <w:lang w:eastAsia="ja-JP"/>
        </w:rPr>
        <w:t>ommendation</w:t>
      </w:r>
      <w:r w:rsidRPr="00F95BED">
        <w:rPr>
          <w:rFonts w:ascii="Cambria" w:hAnsi="Cambria" w:cs="Cambria"/>
          <w:sz w:val="20"/>
          <w:szCs w:val="20"/>
          <w:lang w:eastAsia="ja-JP"/>
        </w:rPr>
        <w:t xml:space="preserve"> 21-04 shall be amended as follows:</w:t>
      </w:r>
    </w:p>
    <w:p w14:paraId="5696749F" w14:textId="77777777" w:rsidR="00C70299" w:rsidRPr="00F95BED" w:rsidRDefault="00C70299" w:rsidP="00C702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14:paraId="5443C765" w14:textId="558CC8FF" w:rsidR="007008A8" w:rsidRPr="00F95BED" w:rsidRDefault="001D2D2E" w:rsidP="001D2D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“</w:t>
      </w:r>
      <w:r w:rsidR="00377834" w:rsidRPr="00F95BED">
        <w:rPr>
          <w:rFonts w:ascii="Cambria" w:hAnsi="Cambria" w:cs="Cambria"/>
          <w:sz w:val="20"/>
          <w:szCs w:val="20"/>
        </w:rPr>
        <w:t>6.</w:t>
      </w:r>
      <w:r w:rsidR="00C70299" w:rsidRPr="00F95BED">
        <w:rPr>
          <w:rFonts w:ascii="Cambria" w:hAnsi="Cambria" w:cs="Cambria"/>
          <w:sz w:val="20"/>
          <w:szCs w:val="20"/>
        </w:rPr>
        <w:tab/>
      </w:r>
      <w:r w:rsidR="007008A8" w:rsidRPr="00F95BED">
        <w:rPr>
          <w:rFonts w:ascii="Cambria" w:hAnsi="Cambria" w:cs="Cambria"/>
          <w:sz w:val="20"/>
          <w:szCs w:val="20"/>
        </w:rPr>
        <w:t xml:space="preserve">Pursuant to the application of the procedures established in </w:t>
      </w:r>
      <w:r w:rsidR="007008A8" w:rsidRPr="00F95BED">
        <w:rPr>
          <w:rFonts w:ascii="Cambria" w:hAnsi="Cambria" w:cs="Cambria"/>
          <w:b/>
          <w:bCs/>
          <w:sz w:val="20"/>
          <w:szCs w:val="20"/>
        </w:rPr>
        <w:t>Annex 1</w:t>
      </w:r>
      <w:r w:rsidR="007008A8" w:rsidRPr="00F95BED">
        <w:rPr>
          <w:rFonts w:ascii="Cambria" w:hAnsi="Cambria" w:cs="Cambria"/>
          <w:sz w:val="20"/>
          <w:szCs w:val="20"/>
        </w:rPr>
        <w:t xml:space="preserve"> and </w:t>
      </w:r>
      <w:r w:rsidR="007008A8" w:rsidRPr="00F95BED">
        <w:rPr>
          <w:rFonts w:ascii="Cambria" w:hAnsi="Cambria" w:cs="Cambria"/>
          <w:b/>
          <w:bCs/>
          <w:sz w:val="20"/>
          <w:szCs w:val="20"/>
        </w:rPr>
        <w:t>Annex 3</w:t>
      </w:r>
      <w:r w:rsidR="007008A8" w:rsidRPr="00F95BED">
        <w:rPr>
          <w:rFonts w:ascii="Cambria" w:hAnsi="Cambria" w:cs="Cambria"/>
          <w:sz w:val="20"/>
          <w:szCs w:val="20"/>
        </w:rPr>
        <w:t xml:space="preserve">, </w:t>
      </w:r>
      <w:r w:rsidR="002814D3" w:rsidRPr="00F95BED">
        <w:rPr>
          <w:rFonts w:ascii="Cambria" w:hAnsi="Cambria" w:cs="Cambria"/>
          <w:sz w:val="20"/>
          <w:szCs w:val="20"/>
        </w:rPr>
        <w:t xml:space="preserve">a </w:t>
      </w:r>
      <w:r w:rsidR="007008A8" w:rsidRPr="00F95BED">
        <w:rPr>
          <w:rFonts w:ascii="Cambria" w:hAnsi="Cambria" w:cs="Cambria"/>
          <w:sz w:val="20"/>
          <w:szCs w:val="20"/>
        </w:rPr>
        <w:t xml:space="preserve">constant annual TAC of </w:t>
      </w:r>
      <w:r w:rsidR="0070639F" w:rsidRPr="00F95BED">
        <w:rPr>
          <w:rFonts w:ascii="Cambria" w:hAnsi="Cambria" w:cs="Cambria"/>
          <w:sz w:val="20"/>
          <w:szCs w:val="20"/>
        </w:rPr>
        <w:t>47</w:t>
      </w:r>
      <w:r w:rsidR="00843BC5" w:rsidRPr="00F95BED">
        <w:rPr>
          <w:rFonts w:ascii="Cambria" w:hAnsi="Cambria" w:cs="Cambria"/>
          <w:sz w:val="20"/>
          <w:szCs w:val="20"/>
        </w:rPr>
        <w:t>,</w:t>
      </w:r>
      <w:r w:rsidR="0070639F" w:rsidRPr="00F95BED">
        <w:rPr>
          <w:rFonts w:ascii="Cambria" w:hAnsi="Cambria" w:cs="Cambria"/>
          <w:sz w:val="20"/>
          <w:szCs w:val="20"/>
        </w:rPr>
        <w:t xml:space="preserve">251 </w:t>
      </w:r>
      <w:r w:rsidR="007008A8" w:rsidRPr="00F95BED">
        <w:rPr>
          <w:rFonts w:ascii="Cambria" w:hAnsi="Cambria" w:cs="Cambria"/>
          <w:sz w:val="20"/>
          <w:szCs w:val="20"/>
        </w:rPr>
        <w:t>t is established for the management period 202</w:t>
      </w:r>
      <w:r w:rsidR="0070639F" w:rsidRPr="00F95BED">
        <w:rPr>
          <w:rFonts w:ascii="Cambria" w:hAnsi="Cambria" w:cs="Cambria"/>
          <w:sz w:val="20"/>
          <w:szCs w:val="20"/>
        </w:rPr>
        <w:t>4</w:t>
      </w:r>
      <w:r w:rsidR="007008A8" w:rsidRPr="00F95BED">
        <w:rPr>
          <w:rFonts w:ascii="Cambria" w:hAnsi="Cambria" w:cs="Cambria"/>
          <w:sz w:val="20"/>
          <w:szCs w:val="20"/>
        </w:rPr>
        <w:t>-</w:t>
      </w:r>
      <w:r w:rsidR="006D6988" w:rsidRPr="00F95BED">
        <w:rPr>
          <w:rFonts w:ascii="Cambria" w:hAnsi="Cambria" w:cs="Cambria"/>
          <w:sz w:val="20"/>
          <w:szCs w:val="20"/>
        </w:rPr>
        <w:t>2026</w:t>
      </w:r>
      <w:r w:rsidR="007008A8" w:rsidRPr="00F95BED">
        <w:rPr>
          <w:rFonts w:ascii="Cambria" w:hAnsi="Cambria" w:cs="Cambria"/>
          <w:sz w:val="20"/>
          <w:szCs w:val="20"/>
        </w:rPr>
        <w:t xml:space="preserve">. This annual TAC </w:t>
      </w:r>
      <w:r w:rsidR="007008A8" w:rsidRPr="00F95BED">
        <w:rPr>
          <w:rFonts w:ascii="Cambria" w:hAnsi="Cambria"/>
          <w:sz w:val="20"/>
          <w:szCs w:val="20"/>
        </w:rPr>
        <w:t>shall be allocated as follows:</w:t>
      </w:r>
    </w:p>
    <w:p w14:paraId="47455850" w14:textId="77777777" w:rsidR="007008A8" w:rsidRPr="00F95BED" w:rsidRDefault="007008A8" w:rsidP="00C10FDE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 w:rsidRPr="00F95BED">
        <w:rPr>
          <w:rFonts w:ascii="Cambria" w:hAnsi="Cambria" w:cs="Cambria"/>
          <w:sz w:val="20"/>
          <w:szCs w:val="20"/>
        </w:rPr>
        <w:t xml:space="preserve"> </w:t>
      </w:r>
    </w:p>
    <w:tbl>
      <w:tblPr>
        <w:tblStyle w:val="TableGrid"/>
        <w:tblW w:w="0" w:type="auto"/>
        <w:tblInd w:w="1695" w:type="dxa"/>
        <w:tblLook w:val="04A0" w:firstRow="1" w:lastRow="0" w:firstColumn="1" w:lastColumn="0" w:noHBand="0" w:noVBand="1"/>
      </w:tblPr>
      <w:tblGrid>
        <w:gridCol w:w="2161"/>
        <w:gridCol w:w="2379"/>
      </w:tblGrid>
      <w:tr w:rsidR="007008A8" w:rsidRPr="00F95BED" w14:paraId="12480EAE" w14:textId="77777777" w:rsidTr="00843BC5">
        <w:trPr>
          <w:trHeight w:val="457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E11C" w14:textId="77777777" w:rsidR="007008A8" w:rsidRPr="00F95BED" w:rsidRDefault="007008A8" w:rsidP="0036704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F95BED">
              <w:rPr>
                <w:rFonts w:ascii="Cambria" w:hAnsi="Cambria" w:cs="Cambria"/>
                <w:i/>
                <w:iCs/>
                <w:sz w:val="20"/>
                <w:szCs w:val="20"/>
              </w:rPr>
              <w:t>CPC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C629" w14:textId="388CFAB9" w:rsidR="007008A8" w:rsidRPr="00F95BED" w:rsidRDefault="007008A8" w:rsidP="0036704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F95BED">
              <w:rPr>
                <w:rFonts w:ascii="Cambria" w:hAnsi="Cambria" w:cs="Cambria"/>
                <w:i/>
                <w:iCs/>
                <w:sz w:val="20"/>
                <w:szCs w:val="20"/>
              </w:rPr>
              <w:t>Quota (t) for the period 202</w:t>
            </w:r>
            <w:r w:rsidR="007770EE" w:rsidRPr="00F95BED">
              <w:rPr>
                <w:rFonts w:ascii="Cambria" w:hAnsi="Cambria" w:cs="Cambria"/>
                <w:i/>
                <w:iCs/>
                <w:sz w:val="20"/>
                <w:szCs w:val="20"/>
              </w:rPr>
              <w:t>4</w:t>
            </w:r>
            <w:r w:rsidRPr="00F95BED">
              <w:rPr>
                <w:rFonts w:ascii="Cambria" w:hAnsi="Cambria" w:cs="Cambria"/>
                <w:i/>
                <w:iCs/>
                <w:sz w:val="20"/>
                <w:szCs w:val="20"/>
              </w:rPr>
              <w:t>-202</w:t>
            </w:r>
            <w:r w:rsidR="007770EE" w:rsidRPr="00F95BED">
              <w:rPr>
                <w:rFonts w:ascii="Cambria" w:hAnsi="Cambria" w:cs="Cambria"/>
                <w:i/>
                <w:iCs/>
                <w:sz w:val="20"/>
                <w:szCs w:val="20"/>
              </w:rPr>
              <w:t>6</w:t>
            </w:r>
          </w:p>
        </w:tc>
      </w:tr>
      <w:tr w:rsidR="007008A8" w:rsidRPr="00F95BED" w14:paraId="2785A747" w14:textId="77777777" w:rsidTr="00C70299">
        <w:trPr>
          <w:trHeight w:val="219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DF62" w14:textId="77777777" w:rsidR="007008A8" w:rsidRPr="00F95BED" w:rsidRDefault="007008A8" w:rsidP="00C10FDE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European Union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98F4" w14:textId="7FEB02A9" w:rsidR="007008A8" w:rsidRPr="00F95BED" w:rsidRDefault="0070639F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35</w:t>
            </w:r>
            <w:r w:rsidR="007008A8" w:rsidRPr="00F95BED">
              <w:rPr>
                <w:rFonts w:ascii="Cambria" w:hAnsi="Cambria" w:cs="Cambria"/>
                <w:sz w:val="20"/>
                <w:szCs w:val="20"/>
              </w:rPr>
              <w:t>,</w:t>
            </w:r>
            <w:r w:rsidRPr="00F95BED">
              <w:rPr>
                <w:rFonts w:ascii="Cambria" w:hAnsi="Cambria" w:cs="Cambria"/>
                <w:sz w:val="20"/>
                <w:szCs w:val="20"/>
              </w:rPr>
              <w:t>815</w:t>
            </w:r>
            <w:r w:rsidR="007008A8" w:rsidRPr="00F95BED">
              <w:rPr>
                <w:rFonts w:ascii="Cambria" w:hAnsi="Cambria" w:cs="Cambria"/>
                <w:sz w:val="20"/>
                <w:szCs w:val="20"/>
              </w:rPr>
              <w:t>.</w:t>
            </w:r>
            <w:r w:rsidRPr="00F95BED">
              <w:rPr>
                <w:rFonts w:ascii="Cambria" w:hAnsi="Cambria" w:cs="Cambria"/>
                <w:sz w:val="20"/>
                <w:szCs w:val="20"/>
              </w:rPr>
              <w:t>9</w:t>
            </w:r>
          </w:p>
        </w:tc>
      </w:tr>
      <w:tr w:rsidR="007008A8" w:rsidRPr="00F95BED" w14:paraId="052E8CFC" w14:textId="77777777" w:rsidTr="00C70299">
        <w:trPr>
          <w:trHeight w:val="219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1214" w14:textId="77777777" w:rsidR="007008A8" w:rsidRPr="00F95BED" w:rsidRDefault="007008A8" w:rsidP="00C10FDE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Chinese Taipei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6774" w14:textId="1AE042BD" w:rsidR="007008A8" w:rsidRPr="00F95BED" w:rsidRDefault="0070639F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5</w:t>
            </w:r>
            <w:r w:rsidR="007008A8" w:rsidRPr="00F95BED">
              <w:rPr>
                <w:rFonts w:ascii="Cambria" w:hAnsi="Cambria" w:cs="Cambria"/>
                <w:sz w:val="20"/>
                <w:szCs w:val="20"/>
              </w:rPr>
              <w:t>,</w:t>
            </w:r>
            <w:r w:rsidRPr="00F95BED">
              <w:rPr>
                <w:rFonts w:ascii="Cambria" w:hAnsi="Cambria" w:cs="Cambria"/>
                <w:sz w:val="20"/>
                <w:szCs w:val="20"/>
              </w:rPr>
              <w:t>521.1</w:t>
            </w:r>
          </w:p>
        </w:tc>
      </w:tr>
      <w:tr w:rsidR="000B613F" w:rsidRPr="00F95BED" w14:paraId="3A0B820B" w14:textId="77777777" w:rsidTr="00C70299">
        <w:trPr>
          <w:trHeight w:val="219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E31" w14:textId="61FF4BCB" w:rsidR="000B613F" w:rsidRPr="00F95BED" w:rsidRDefault="000B613F" w:rsidP="00C10FDE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United States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2ACB" w14:textId="59BFDC17" w:rsidR="000B613F" w:rsidRPr="00F95BED" w:rsidRDefault="002072D5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889.4</w:t>
            </w:r>
          </w:p>
        </w:tc>
      </w:tr>
      <w:tr w:rsidR="0070639F" w:rsidRPr="00F95BED" w14:paraId="6E25515A" w14:textId="77777777" w:rsidTr="00C70299">
        <w:trPr>
          <w:trHeight w:val="219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69D9" w14:textId="0F41A6D7" w:rsidR="0070639F" w:rsidRPr="00F95BED" w:rsidRDefault="0070639F" w:rsidP="00C10FDE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United Kingdom</w:t>
            </w:r>
            <w:r w:rsidR="007770EE" w:rsidRPr="00F95BED">
              <w:rPr>
                <w:rFonts w:ascii="Cambria" w:hAnsi="Cambria" w:cs="Cambria"/>
                <w:sz w:val="20"/>
                <w:szCs w:val="20"/>
              </w:rPr>
              <w:t>*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8265" w14:textId="79C2B7FE" w:rsidR="0070639F" w:rsidRPr="00F95BED" w:rsidRDefault="002072D5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752.8</w:t>
            </w:r>
          </w:p>
        </w:tc>
      </w:tr>
      <w:tr w:rsidR="007008A8" w:rsidRPr="00F95BED" w14:paraId="0453D12A" w14:textId="77777777" w:rsidTr="00C70299">
        <w:trPr>
          <w:trHeight w:val="219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B194" w14:textId="77777777" w:rsidR="007008A8" w:rsidRPr="00F95BED" w:rsidRDefault="007008A8" w:rsidP="00C10FDE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Venezuela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2ED8" w14:textId="6EA95136" w:rsidR="007008A8" w:rsidRPr="00F95BED" w:rsidRDefault="0070639F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421</w:t>
            </w:r>
            <w:r w:rsidR="007008A8" w:rsidRPr="00F95BED">
              <w:rPr>
                <w:rFonts w:ascii="Cambria" w:hAnsi="Cambria" w:cs="Cambria"/>
                <w:sz w:val="20"/>
                <w:szCs w:val="20"/>
              </w:rPr>
              <w:t>.</w:t>
            </w:r>
            <w:r w:rsidRPr="00F95BED">
              <w:rPr>
                <w:rFonts w:ascii="Cambria" w:hAnsi="Cambria" w:cs="Cambria"/>
                <w:sz w:val="20"/>
                <w:szCs w:val="20"/>
              </w:rPr>
              <w:t>9</w:t>
            </w:r>
          </w:p>
        </w:tc>
      </w:tr>
    </w:tbl>
    <w:p w14:paraId="43250219" w14:textId="77777777" w:rsidR="00C70299" w:rsidRPr="007E5D1A" w:rsidRDefault="00C70299" w:rsidP="00C10FDE">
      <w:pPr>
        <w:pStyle w:val="Default"/>
        <w:tabs>
          <w:tab w:val="left" w:pos="1843"/>
        </w:tabs>
        <w:jc w:val="both"/>
        <w:rPr>
          <w:color w:val="auto"/>
          <w:sz w:val="16"/>
          <w:szCs w:val="16"/>
        </w:rPr>
      </w:pPr>
      <w:r w:rsidRPr="00F95BED">
        <w:rPr>
          <w:color w:val="auto"/>
          <w:sz w:val="18"/>
          <w:szCs w:val="18"/>
        </w:rPr>
        <w:tab/>
      </w:r>
      <w:r w:rsidR="007770EE" w:rsidRPr="007E5D1A">
        <w:rPr>
          <w:color w:val="auto"/>
          <w:sz w:val="16"/>
          <w:szCs w:val="16"/>
        </w:rPr>
        <w:t xml:space="preserve">* This includes 200 t exclusively for catches in respect </w:t>
      </w:r>
    </w:p>
    <w:p w14:paraId="2F2DFA2F" w14:textId="77777777" w:rsidR="00843BC5" w:rsidRPr="007E5D1A" w:rsidRDefault="00C70299" w:rsidP="00C10FDE">
      <w:pPr>
        <w:pStyle w:val="Default"/>
        <w:tabs>
          <w:tab w:val="left" w:pos="1843"/>
        </w:tabs>
        <w:jc w:val="both"/>
        <w:rPr>
          <w:color w:val="auto"/>
          <w:sz w:val="16"/>
          <w:szCs w:val="16"/>
        </w:rPr>
      </w:pPr>
      <w:r w:rsidRPr="007E5D1A">
        <w:rPr>
          <w:color w:val="auto"/>
          <w:sz w:val="16"/>
          <w:szCs w:val="16"/>
        </w:rPr>
        <w:tab/>
      </w:r>
      <w:r w:rsidR="007770EE" w:rsidRPr="007E5D1A">
        <w:rPr>
          <w:color w:val="auto"/>
          <w:sz w:val="16"/>
          <w:szCs w:val="16"/>
        </w:rPr>
        <w:t xml:space="preserve">of the United Kingdom’s Overseas Territories covered </w:t>
      </w:r>
    </w:p>
    <w:p w14:paraId="4115BE9E" w14:textId="662C77FB" w:rsidR="007770EE" w:rsidRPr="007E5D1A" w:rsidRDefault="00843BC5" w:rsidP="00C10FDE">
      <w:pPr>
        <w:pStyle w:val="Default"/>
        <w:tabs>
          <w:tab w:val="left" w:pos="1843"/>
        </w:tabs>
        <w:jc w:val="both"/>
        <w:rPr>
          <w:color w:val="auto"/>
          <w:sz w:val="16"/>
          <w:szCs w:val="16"/>
        </w:rPr>
      </w:pPr>
      <w:r w:rsidRPr="007E5D1A">
        <w:rPr>
          <w:color w:val="auto"/>
          <w:sz w:val="16"/>
          <w:szCs w:val="16"/>
        </w:rPr>
        <w:tab/>
      </w:r>
      <w:r w:rsidR="007770EE" w:rsidRPr="007E5D1A">
        <w:rPr>
          <w:color w:val="auto"/>
          <w:sz w:val="16"/>
          <w:szCs w:val="16"/>
        </w:rPr>
        <w:t xml:space="preserve">by the ICCAT Convention. </w:t>
      </w:r>
    </w:p>
    <w:p w14:paraId="3176F20A" w14:textId="77777777" w:rsidR="007770EE" w:rsidRPr="00F95BED" w:rsidRDefault="007770EE" w:rsidP="00C10FDE">
      <w:pPr>
        <w:pStyle w:val="Default"/>
        <w:tabs>
          <w:tab w:val="left" w:pos="1843"/>
        </w:tabs>
        <w:jc w:val="both"/>
        <w:rPr>
          <w:color w:val="auto"/>
          <w:sz w:val="20"/>
          <w:szCs w:val="20"/>
        </w:rPr>
      </w:pPr>
    </w:p>
    <w:p w14:paraId="1E8BF0AF" w14:textId="58EC489E" w:rsidR="007008A8" w:rsidRPr="00F95BED" w:rsidRDefault="00C70299" w:rsidP="001D2D2E">
      <w:pPr>
        <w:pStyle w:val="Default"/>
        <w:tabs>
          <w:tab w:val="left" w:pos="426"/>
          <w:tab w:val="left" w:pos="851"/>
          <w:tab w:val="left" w:pos="1843"/>
        </w:tabs>
        <w:jc w:val="both"/>
        <w:rPr>
          <w:color w:val="auto"/>
          <w:sz w:val="20"/>
          <w:szCs w:val="20"/>
        </w:rPr>
      </w:pPr>
      <w:r w:rsidRPr="00F95BED">
        <w:rPr>
          <w:color w:val="auto"/>
          <w:sz w:val="20"/>
          <w:szCs w:val="20"/>
        </w:rPr>
        <w:tab/>
      </w:r>
      <w:r w:rsidR="001D2D2E">
        <w:rPr>
          <w:color w:val="auto"/>
          <w:sz w:val="20"/>
          <w:szCs w:val="20"/>
        </w:rPr>
        <w:tab/>
      </w:r>
      <w:r w:rsidR="007008A8" w:rsidRPr="00F95BED">
        <w:rPr>
          <w:color w:val="auto"/>
          <w:sz w:val="20"/>
          <w:szCs w:val="20"/>
        </w:rPr>
        <w:t xml:space="preserve">Transfers:  </w:t>
      </w:r>
    </w:p>
    <w:p w14:paraId="036E33CB" w14:textId="77777777" w:rsidR="00C70299" w:rsidRPr="00F95BED" w:rsidRDefault="00C70299" w:rsidP="00C10FDE">
      <w:pPr>
        <w:pStyle w:val="Default"/>
        <w:tabs>
          <w:tab w:val="left" w:pos="1843"/>
        </w:tabs>
        <w:jc w:val="both"/>
        <w:rPr>
          <w:color w:val="auto"/>
          <w:sz w:val="20"/>
          <w:szCs w:val="20"/>
        </w:rPr>
      </w:pPr>
    </w:p>
    <w:p w14:paraId="1D97D898" w14:textId="3D863F45" w:rsidR="007008A8" w:rsidRPr="00F95BED" w:rsidRDefault="007008A8" w:rsidP="001D2D2E">
      <w:pPr>
        <w:pStyle w:val="Default"/>
        <w:numPr>
          <w:ilvl w:val="0"/>
          <w:numId w:val="2"/>
        </w:numPr>
        <w:tabs>
          <w:tab w:val="left" w:pos="1843"/>
        </w:tabs>
        <w:ind w:left="1701" w:hanging="425"/>
        <w:jc w:val="both"/>
        <w:rPr>
          <w:color w:val="auto"/>
          <w:sz w:val="20"/>
          <w:szCs w:val="20"/>
        </w:rPr>
      </w:pPr>
      <w:r w:rsidRPr="00F95BED">
        <w:rPr>
          <w:color w:val="auto"/>
          <w:sz w:val="20"/>
          <w:szCs w:val="20"/>
        </w:rPr>
        <w:t>Chinese Taipei is authorized to transfer 200 t of North Atlantic albacore to Belize for 202</w:t>
      </w:r>
      <w:r w:rsidR="006D6988" w:rsidRPr="00F95BED">
        <w:rPr>
          <w:color w:val="auto"/>
          <w:sz w:val="20"/>
          <w:szCs w:val="20"/>
        </w:rPr>
        <w:t>4</w:t>
      </w:r>
      <w:r w:rsidR="007770EE" w:rsidRPr="00F95BED">
        <w:rPr>
          <w:color w:val="auto"/>
          <w:sz w:val="20"/>
          <w:szCs w:val="20"/>
        </w:rPr>
        <w:t>, 2025</w:t>
      </w:r>
      <w:r w:rsidRPr="00F95BED">
        <w:rPr>
          <w:color w:val="auto"/>
          <w:sz w:val="20"/>
          <w:szCs w:val="20"/>
        </w:rPr>
        <w:t xml:space="preserve"> and 202</w:t>
      </w:r>
      <w:r w:rsidR="007770EE" w:rsidRPr="00F95BED">
        <w:rPr>
          <w:color w:val="auto"/>
          <w:sz w:val="20"/>
          <w:szCs w:val="20"/>
        </w:rPr>
        <w:t>6</w:t>
      </w:r>
      <w:r w:rsidRPr="00F95BED">
        <w:rPr>
          <w:color w:val="auto"/>
          <w:sz w:val="20"/>
          <w:szCs w:val="20"/>
        </w:rPr>
        <w:t>.</w:t>
      </w:r>
    </w:p>
    <w:p w14:paraId="655CEEF2" w14:textId="77777777" w:rsidR="007008A8" w:rsidRPr="00F95BED" w:rsidRDefault="007008A8" w:rsidP="00C10FDE">
      <w:pPr>
        <w:tabs>
          <w:tab w:val="left" w:pos="284"/>
          <w:tab w:val="left" w:pos="567"/>
        </w:tabs>
        <w:spacing w:after="0" w:line="240" w:lineRule="auto"/>
        <w:jc w:val="both"/>
        <w:rPr>
          <w:rFonts w:ascii="Cambria" w:hAnsi="Cambria"/>
          <w:sz w:val="20"/>
          <w:szCs w:val="20"/>
          <w:lang w:val="en-IE"/>
        </w:rPr>
      </w:pPr>
    </w:p>
    <w:p w14:paraId="3947AECE" w14:textId="668E2C6A" w:rsidR="007008A8" w:rsidRPr="00F95BED" w:rsidRDefault="00377834" w:rsidP="001D2D2E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Cambria"/>
          <w:sz w:val="20"/>
          <w:szCs w:val="20"/>
        </w:rPr>
      </w:pPr>
      <w:r w:rsidRPr="00F95BED">
        <w:rPr>
          <w:rFonts w:ascii="Cambria" w:hAnsi="Cambria" w:cs="Cambria"/>
          <w:sz w:val="20"/>
          <w:szCs w:val="20"/>
        </w:rPr>
        <w:t xml:space="preserve">7. </w:t>
      </w:r>
      <w:r w:rsidR="00C70299" w:rsidRPr="00F95BED">
        <w:rPr>
          <w:rFonts w:ascii="Cambria" w:hAnsi="Cambria" w:cs="Cambria"/>
          <w:sz w:val="20"/>
          <w:szCs w:val="20"/>
        </w:rPr>
        <w:tab/>
      </w:r>
      <w:r w:rsidR="007008A8" w:rsidRPr="00F95BED">
        <w:rPr>
          <w:rFonts w:ascii="Cambria" w:hAnsi="Cambria" w:cs="Cambria"/>
          <w:sz w:val="20"/>
          <w:szCs w:val="20"/>
        </w:rPr>
        <w:t>CPCs other than those mentioned in paragraph 6 shall limit their annual catches to</w:t>
      </w:r>
      <w:r w:rsidR="007770EE" w:rsidRPr="00F95BED">
        <w:rPr>
          <w:rFonts w:ascii="Cambria" w:hAnsi="Cambria" w:cs="Cambria"/>
          <w:sz w:val="20"/>
          <w:szCs w:val="20"/>
        </w:rPr>
        <w:t xml:space="preserve"> 302</w:t>
      </w:r>
      <w:r w:rsidR="006870F4" w:rsidRPr="00F95BED">
        <w:rPr>
          <w:rFonts w:ascii="Cambria" w:hAnsi="Cambria" w:cs="Cambria"/>
          <w:sz w:val="20"/>
          <w:szCs w:val="20"/>
        </w:rPr>
        <w:t xml:space="preserve"> </w:t>
      </w:r>
      <w:r w:rsidR="007008A8" w:rsidRPr="00F95BED">
        <w:rPr>
          <w:rFonts w:ascii="Cambria" w:hAnsi="Cambria" w:cs="Cambria"/>
          <w:sz w:val="20"/>
          <w:szCs w:val="20"/>
        </w:rPr>
        <w:t>t.</w:t>
      </w:r>
    </w:p>
    <w:p w14:paraId="0E09D61A" w14:textId="77777777" w:rsidR="007008A8" w:rsidRPr="00F95BED" w:rsidRDefault="007008A8" w:rsidP="00C10FDE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2A675EF1" w14:textId="100889DC" w:rsidR="007008A8" w:rsidRDefault="00377834" w:rsidP="001D2D2E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Cambria"/>
          <w:sz w:val="20"/>
          <w:szCs w:val="20"/>
        </w:rPr>
      </w:pPr>
      <w:r w:rsidRPr="00F95BED">
        <w:rPr>
          <w:rFonts w:ascii="Cambria" w:hAnsi="Cambria" w:cs="Cambria"/>
          <w:sz w:val="20"/>
          <w:szCs w:val="20"/>
        </w:rPr>
        <w:t>8.</w:t>
      </w:r>
      <w:r w:rsidR="00C70299" w:rsidRPr="00F95BED">
        <w:rPr>
          <w:rFonts w:ascii="Cambria" w:hAnsi="Cambria" w:cs="Cambria"/>
          <w:sz w:val="20"/>
          <w:szCs w:val="20"/>
        </w:rPr>
        <w:tab/>
      </w:r>
      <w:r w:rsidR="007008A8" w:rsidRPr="00F95BED">
        <w:rPr>
          <w:rFonts w:ascii="Cambria" w:hAnsi="Cambria" w:cs="Cambria"/>
          <w:sz w:val="20"/>
          <w:szCs w:val="20"/>
        </w:rPr>
        <w:t xml:space="preserve">By way of derogation from paragraphs 6 and 7, Japan shall endeavor to limit the total weight of its North Atlantic albacore annual catches to a maximum of 4.5% of the weight of its total bigeye tuna longline catch in the Atlantic Ocean in </w:t>
      </w:r>
      <w:r w:rsidR="006D6988" w:rsidRPr="00F95BED">
        <w:rPr>
          <w:rFonts w:ascii="Cambria" w:hAnsi="Cambria" w:cs="Cambria"/>
          <w:sz w:val="20"/>
          <w:szCs w:val="20"/>
        </w:rPr>
        <w:t>2024</w:t>
      </w:r>
      <w:r w:rsidR="007770EE" w:rsidRPr="00F95BED">
        <w:rPr>
          <w:rFonts w:ascii="Cambria" w:hAnsi="Cambria" w:cs="Cambria"/>
          <w:sz w:val="20"/>
          <w:szCs w:val="20"/>
        </w:rPr>
        <w:t>, 2025</w:t>
      </w:r>
      <w:r w:rsidR="006D6988" w:rsidRPr="00F95BED">
        <w:rPr>
          <w:rFonts w:ascii="Cambria" w:hAnsi="Cambria" w:cs="Cambria"/>
          <w:sz w:val="20"/>
          <w:szCs w:val="20"/>
        </w:rPr>
        <w:t xml:space="preserve"> </w:t>
      </w:r>
      <w:r w:rsidR="007008A8" w:rsidRPr="00F95BED">
        <w:rPr>
          <w:rFonts w:ascii="Cambria" w:hAnsi="Cambria" w:cs="Cambria"/>
          <w:sz w:val="20"/>
          <w:szCs w:val="20"/>
        </w:rPr>
        <w:t>and 202</w:t>
      </w:r>
      <w:r w:rsidR="007770EE" w:rsidRPr="00F95BED">
        <w:rPr>
          <w:rFonts w:ascii="Cambria" w:hAnsi="Cambria" w:cs="Cambria"/>
          <w:sz w:val="20"/>
          <w:szCs w:val="20"/>
        </w:rPr>
        <w:t>6</w:t>
      </w:r>
      <w:r w:rsidR="007008A8" w:rsidRPr="00F95BED">
        <w:rPr>
          <w:rFonts w:ascii="Cambria" w:hAnsi="Cambria" w:cs="Cambria"/>
          <w:sz w:val="20"/>
          <w:szCs w:val="20"/>
        </w:rPr>
        <w:t>.</w:t>
      </w:r>
    </w:p>
    <w:p w14:paraId="7EE3BB52" w14:textId="77777777" w:rsidR="00F95BED" w:rsidRPr="00F95BED" w:rsidRDefault="00F95BED" w:rsidP="00C702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Cambria" w:hAnsi="Cambria" w:cs="Cambria"/>
          <w:sz w:val="20"/>
          <w:szCs w:val="20"/>
        </w:rPr>
      </w:pPr>
    </w:p>
    <w:p w14:paraId="0B653DEE" w14:textId="2AFB4E51" w:rsidR="007008A8" w:rsidRPr="00F95BED" w:rsidRDefault="00377834" w:rsidP="001D2D2E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Cambria"/>
          <w:sz w:val="20"/>
          <w:szCs w:val="20"/>
        </w:rPr>
      </w:pPr>
      <w:r w:rsidRPr="00F95BED">
        <w:rPr>
          <w:rFonts w:ascii="Cambria" w:hAnsi="Cambria" w:cs="Cambria"/>
          <w:sz w:val="20"/>
          <w:szCs w:val="20"/>
        </w:rPr>
        <w:lastRenderedPageBreak/>
        <w:t xml:space="preserve">9. </w:t>
      </w:r>
      <w:r w:rsidR="00C70299" w:rsidRPr="00F95BED">
        <w:rPr>
          <w:rFonts w:ascii="Cambria" w:hAnsi="Cambria" w:cs="Cambria"/>
          <w:sz w:val="20"/>
          <w:szCs w:val="20"/>
        </w:rPr>
        <w:tab/>
      </w:r>
      <w:r w:rsidR="007008A8" w:rsidRPr="00F95BED">
        <w:rPr>
          <w:rFonts w:ascii="Cambria" w:hAnsi="Cambria" w:cs="Cambria"/>
          <w:sz w:val="20"/>
          <w:szCs w:val="20"/>
        </w:rPr>
        <w:t>Any unused portion or excess of a CPC’s annual quota/catch limit may be added to/shall be deducted from, according to the case, the respective quota/catch limit during or before the adjustment year, in the following way:</w:t>
      </w:r>
    </w:p>
    <w:p w14:paraId="4605946C" w14:textId="77777777" w:rsidR="007008A8" w:rsidRPr="00F95BED" w:rsidRDefault="007008A8" w:rsidP="00C10FD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tbl>
      <w:tblPr>
        <w:tblStyle w:val="TableGrid"/>
        <w:tblW w:w="0" w:type="auto"/>
        <w:tblInd w:w="2115" w:type="dxa"/>
        <w:tblLook w:val="04A0" w:firstRow="1" w:lastRow="0" w:firstColumn="1" w:lastColumn="0" w:noHBand="0" w:noVBand="1"/>
      </w:tblPr>
      <w:tblGrid>
        <w:gridCol w:w="1728"/>
        <w:gridCol w:w="1890"/>
      </w:tblGrid>
      <w:tr w:rsidR="007008A8" w:rsidRPr="00F95BED" w14:paraId="4F2CC2C9" w14:textId="77777777" w:rsidTr="007008A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DF94" w14:textId="77777777" w:rsidR="007008A8" w:rsidRPr="00F95BED" w:rsidRDefault="007008A8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-Italic"/>
                <w:i/>
                <w:iCs/>
                <w:sz w:val="20"/>
                <w:szCs w:val="20"/>
              </w:rPr>
              <w:t>Year of Catch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23A1" w14:textId="77777777" w:rsidR="007008A8" w:rsidRPr="00F95BED" w:rsidRDefault="007008A8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-Italic"/>
                <w:i/>
                <w:iCs/>
                <w:sz w:val="20"/>
                <w:szCs w:val="20"/>
              </w:rPr>
              <w:t>Adjustment Year</w:t>
            </w:r>
          </w:p>
        </w:tc>
      </w:tr>
      <w:tr w:rsidR="007008A8" w:rsidRPr="00F95BED" w14:paraId="2621DF4F" w14:textId="77777777" w:rsidTr="007008A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E2E0" w14:textId="77777777" w:rsidR="007008A8" w:rsidRPr="00F95BED" w:rsidRDefault="007008A8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2022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989F" w14:textId="77777777" w:rsidR="007008A8" w:rsidRPr="00F95BED" w:rsidRDefault="007008A8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2024</w:t>
            </w:r>
          </w:p>
        </w:tc>
      </w:tr>
      <w:tr w:rsidR="007008A8" w:rsidRPr="00F95BED" w14:paraId="711AB6A6" w14:textId="77777777" w:rsidTr="007008A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A17A" w14:textId="77777777" w:rsidR="007008A8" w:rsidRPr="00F95BED" w:rsidRDefault="007008A8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C5F8" w14:textId="77777777" w:rsidR="007008A8" w:rsidRPr="00F95BED" w:rsidRDefault="007008A8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2025</w:t>
            </w:r>
          </w:p>
        </w:tc>
      </w:tr>
      <w:tr w:rsidR="006D6988" w:rsidRPr="00F95BED" w14:paraId="2C9DA7BA" w14:textId="77777777" w:rsidTr="007008A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0B0" w14:textId="543CD060" w:rsidR="006D6988" w:rsidRPr="00F95BED" w:rsidRDefault="006D6988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6C25" w14:textId="7E72DDC1" w:rsidR="006D6988" w:rsidRPr="00F95BED" w:rsidRDefault="006D6988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2026</w:t>
            </w:r>
          </w:p>
        </w:tc>
      </w:tr>
      <w:tr w:rsidR="006D6988" w:rsidRPr="00F95BED" w14:paraId="0C97EDFB" w14:textId="77777777" w:rsidTr="007008A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2B9" w14:textId="7FD4476C" w:rsidR="006D6988" w:rsidRPr="00F95BED" w:rsidRDefault="006D6988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F24B" w14:textId="6AFEC904" w:rsidR="006D6988" w:rsidRPr="00F95BED" w:rsidRDefault="006D6988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2027</w:t>
            </w:r>
          </w:p>
        </w:tc>
      </w:tr>
      <w:tr w:rsidR="006D6988" w:rsidRPr="00F95BED" w14:paraId="5B7C9A3D" w14:textId="77777777" w:rsidTr="007008A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83D" w14:textId="68973568" w:rsidR="006D6988" w:rsidRPr="00F95BED" w:rsidRDefault="006D6988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6925" w14:textId="4BA55842" w:rsidR="006D6988" w:rsidRPr="00F95BED" w:rsidRDefault="006D6988" w:rsidP="00C10FD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95BED">
              <w:rPr>
                <w:rFonts w:ascii="Cambria" w:hAnsi="Cambria" w:cs="Cambria"/>
                <w:sz w:val="20"/>
                <w:szCs w:val="20"/>
              </w:rPr>
              <w:t>2028</w:t>
            </w:r>
          </w:p>
        </w:tc>
      </w:tr>
    </w:tbl>
    <w:p w14:paraId="28DDEC60" w14:textId="77777777" w:rsidR="007008A8" w:rsidRPr="00F95BED" w:rsidRDefault="007008A8" w:rsidP="00C10FDE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64C1F245" w14:textId="77777777" w:rsidR="007008A8" w:rsidRPr="00F95BED" w:rsidRDefault="007008A8" w:rsidP="001D2D2E">
      <w:pPr>
        <w:pStyle w:val="ListParagraph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" w:hAnsi="Cambria" w:cs="Cambria"/>
          <w:sz w:val="20"/>
          <w:szCs w:val="20"/>
        </w:rPr>
      </w:pPr>
      <w:r w:rsidRPr="00F95BED">
        <w:rPr>
          <w:rFonts w:ascii="Cambria" w:hAnsi="Cambria" w:cs="Cambria"/>
          <w:sz w:val="20"/>
          <w:szCs w:val="20"/>
        </w:rPr>
        <w:t>However, the maximum underage that a CPC may carryover in any given year shall not exceed 25% of its initial catch quota.</w:t>
      </w:r>
    </w:p>
    <w:p w14:paraId="7F782145" w14:textId="77777777" w:rsidR="007008A8" w:rsidRPr="00F95BED" w:rsidRDefault="007008A8" w:rsidP="00C10FDE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3EA15CF6" w14:textId="6F5AFBE6" w:rsidR="007008A8" w:rsidRPr="00F95BED" w:rsidRDefault="007008A8" w:rsidP="001D2D2E">
      <w:pPr>
        <w:pStyle w:val="ListParagraph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" w:hAnsi="Cambria" w:cs="Cambria"/>
          <w:sz w:val="20"/>
          <w:szCs w:val="20"/>
        </w:rPr>
      </w:pPr>
      <w:r w:rsidRPr="00F95BED">
        <w:rPr>
          <w:rFonts w:ascii="Cambria" w:hAnsi="Cambria" w:cs="Cambria"/>
          <w:sz w:val="20"/>
          <w:szCs w:val="20"/>
        </w:rPr>
        <w:t xml:space="preserve">If, in any year, the combined landings of CPCs exceed the TAC by more than 20%, the Commission will re‐evaluate this Recommendation at its next Commission meeting, </w:t>
      </w:r>
      <w:r w:rsidRPr="00F95BED">
        <w:rPr>
          <w:rFonts w:ascii="Cambria" w:hAnsi="Cambria"/>
          <w:sz w:val="20"/>
          <w:szCs w:val="20"/>
        </w:rPr>
        <w:t xml:space="preserve">including </w:t>
      </w:r>
      <w:proofErr w:type="gramStart"/>
      <w:r w:rsidRPr="00F95BED">
        <w:rPr>
          <w:rFonts w:ascii="Cambria" w:hAnsi="Cambria"/>
          <w:sz w:val="20"/>
          <w:szCs w:val="20"/>
        </w:rPr>
        <w:t>taking into account</w:t>
      </w:r>
      <w:proofErr w:type="gramEnd"/>
      <w:r w:rsidRPr="00F95BED">
        <w:rPr>
          <w:rFonts w:ascii="Cambria" w:hAnsi="Cambria"/>
          <w:sz w:val="20"/>
          <w:szCs w:val="20"/>
        </w:rPr>
        <w:t xml:space="preserve"> any</w:t>
      </w:r>
      <w:r w:rsidRPr="00F95BED">
        <w:rPr>
          <w:rFonts w:ascii="Cambria" w:eastAsia="Cambria" w:hAnsi="Cambria" w:cs="Cambria"/>
          <w:sz w:val="20"/>
          <w:szCs w:val="20"/>
        </w:rPr>
        <w:t xml:space="preserve"> advice of the SCRS pursuant to its evaluation of the existence of exceptional circumstances as reflected in </w:t>
      </w:r>
      <w:r w:rsidRPr="00F95BED">
        <w:rPr>
          <w:rFonts w:ascii="Cambria" w:eastAsia="Cambria" w:hAnsi="Cambria" w:cs="Cambria"/>
          <w:b/>
          <w:bCs/>
          <w:sz w:val="20"/>
          <w:szCs w:val="20"/>
        </w:rPr>
        <w:t>Annex 2</w:t>
      </w:r>
      <w:r w:rsidRPr="00F95BED">
        <w:rPr>
          <w:rFonts w:ascii="Cambria" w:eastAsia="Cambria" w:hAnsi="Cambria" w:cs="Cambria"/>
          <w:sz w:val="20"/>
          <w:szCs w:val="20"/>
        </w:rPr>
        <w:t>,</w:t>
      </w:r>
      <w:r w:rsidRPr="00F95BED">
        <w:rPr>
          <w:rFonts w:ascii="Cambria" w:hAnsi="Cambria" w:cs="Cambria"/>
          <w:sz w:val="20"/>
          <w:szCs w:val="20"/>
        </w:rPr>
        <w:t xml:space="preserve"> and may, as appropriate, recommend further measures.</w:t>
      </w:r>
      <w:r w:rsidR="001D2D2E">
        <w:rPr>
          <w:rFonts w:ascii="Cambria" w:hAnsi="Cambria" w:cs="Cambria"/>
          <w:sz w:val="20"/>
          <w:szCs w:val="20"/>
        </w:rPr>
        <w:t>”</w:t>
      </w:r>
    </w:p>
    <w:p w14:paraId="4F781DD0" w14:textId="77777777" w:rsidR="007008A8" w:rsidRPr="00F95BED" w:rsidRDefault="007008A8" w:rsidP="00C10FDE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14:paraId="5F38D919" w14:textId="77777777" w:rsidR="007008A8" w:rsidRPr="00F95BED" w:rsidRDefault="007008A8" w:rsidP="00C10FDE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</w:p>
    <w:sectPr w:rsidR="007008A8" w:rsidRPr="00F95BED" w:rsidSect="00F2605B">
      <w:footerReference w:type="default" r:id="rId7"/>
      <w:pgSz w:w="11907" w:h="16840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C365" w14:textId="77777777" w:rsidR="009737E4" w:rsidRDefault="009737E4" w:rsidP="003E0703">
      <w:pPr>
        <w:spacing w:after="0" w:line="240" w:lineRule="auto"/>
      </w:pPr>
      <w:r>
        <w:separator/>
      </w:r>
    </w:p>
  </w:endnote>
  <w:endnote w:type="continuationSeparator" w:id="0">
    <w:p w14:paraId="477AA753" w14:textId="77777777" w:rsidR="009737E4" w:rsidRDefault="009737E4" w:rsidP="003E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7382" w14:textId="732A8E98" w:rsidR="000507F6" w:rsidRPr="000507F6" w:rsidRDefault="000507F6" w:rsidP="000507F6">
    <w:pPr>
      <w:tabs>
        <w:tab w:val="center" w:pos="4535"/>
        <w:tab w:val="center" w:pos="4680"/>
        <w:tab w:val="left" w:pos="6150"/>
        <w:tab w:val="right" w:pos="9360"/>
      </w:tabs>
      <w:spacing w:after="200" w:line="276" w:lineRule="auto"/>
      <w:jc w:val="center"/>
      <w:rPr>
        <w:rFonts w:ascii="Cambria" w:eastAsia="Calibri" w:hAnsi="Cambria" w:cs="Calibri"/>
        <w:kern w:val="2"/>
        <w:sz w:val="20"/>
        <w:lang w:val="en-GB"/>
        <w14:ligatures w14:val="standardContextual"/>
      </w:rPr>
    </w:pPr>
    <w:r w:rsidRPr="000507F6">
      <w:rPr>
        <w:rFonts w:ascii="Cambria" w:eastAsia="Calibri" w:hAnsi="Cambria" w:cs="Calibri"/>
        <w:kern w:val="2"/>
        <w:sz w:val="20"/>
        <w:lang w:val="en-GB"/>
        <w14:ligatures w14:val="standardContextual"/>
      </w:rPr>
      <w:fldChar w:fldCharType="begin"/>
    </w:r>
    <w:r w:rsidRPr="000507F6">
      <w:rPr>
        <w:rFonts w:ascii="Cambria" w:eastAsia="Calibri" w:hAnsi="Cambria" w:cs="Calibri"/>
        <w:kern w:val="2"/>
        <w:sz w:val="20"/>
        <w:lang w:val="en-GB"/>
        <w14:ligatures w14:val="standardContextual"/>
      </w:rPr>
      <w:instrText xml:space="preserve"> PAGE </w:instrText>
    </w:r>
    <w:r w:rsidRPr="000507F6">
      <w:rPr>
        <w:rFonts w:ascii="Cambria" w:eastAsia="Calibri" w:hAnsi="Cambria" w:cs="Calibri"/>
        <w:kern w:val="2"/>
        <w:sz w:val="20"/>
        <w:lang w:val="en-GB"/>
        <w14:ligatures w14:val="standardContextual"/>
      </w:rPr>
      <w:fldChar w:fldCharType="separate"/>
    </w:r>
    <w:r w:rsidRPr="000507F6">
      <w:rPr>
        <w:rFonts w:ascii="Cambria" w:eastAsia="Calibri" w:hAnsi="Cambria" w:cs="Calibri"/>
        <w:kern w:val="2"/>
        <w:sz w:val="20"/>
        <w:lang w:val="en-GB"/>
        <w14:ligatures w14:val="standardContextual"/>
      </w:rPr>
      <w:t>1</w:t>
    </w:r>
    <w:r w:rsidRPr="000507F6">
      <w:rPr>
        <w:rFonts w:ascii="Cambria" w:eastAsia="Calibri" w:hAnsi="Cambria" w:cs="Calibri"/>
        <w:kern w:val="2"/>
        <w:sz w:val="20"/>
        <w:lang w:val="en-GB"/>
        <w14:ligatures w14:val="standardContextu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CB66" w14:textId="77777777" w:rsidR="009737E4" w:rsidRDefault="009737E4" w:rsidP="003E0703">
      <w:pPr>
        <w:spacing w:after="0" w:line="240" w:lineRule="auto"/>
      </w:pPr>
      <w:r>
        <w:separator/>
      </w:r>
    </w:p>
  </w:footnote>
  <w:footnote w:type="continuationSeparator" w:id="0">
    <w:p w14:paraId="210A276C" w14:textId="77777777" w:rsidR="009737E4" w:rsidRDefault="009737E4" w:rsidP="003E0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57E3F"/>
    <w:multiLevelType w:val="hybridMultilevel"/>
    <w:tmpl w:val="2AA08662"/>
    <w:lvl w:ilvl="0" w:tplc="08E6DF58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8F52A0A"/>
    <w:multiLevelType w:val="hybridMultilevel"/>
    <w:tmpl w:val="2EB66B0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76287224">
      <w:start w:val="1"/>
      <w:numFmt w:val="lowerLetter"/>
      <w:lvlText w:val="(%2)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08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95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09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A8"/>
    <w:rsid w:val="00042615"/>
    <w:rsid w:val="00045B86"/>
    <w:rsid w:val="000507F6"/>
    <w:rsid w:val="00090A03"/>
    <w:rsid w:val="000B613F"/>
    <w:rsid w:val="000E70D8"/>
    <w:rsid w:val="001406A0"/>
    <w:rsid w:val="00172FBB"/>
    <w:rsid w:val="001809D1"/>
    <w:rsid w:val="001D2D2E"/>
    <w:rsid w:val="001F3739"/>
    <w:rsid w:val="002072D5"/>
    <w:rsid w:val="00231713"/>
    <w:rsid w:val="002814D3"/>
    <w:rsid w:val="002F2BE6"/>
    <w:rsid w:val="00324F35"/>
    <w:rsid w:val="00325856"/>
    <w:rsid w:val="00366D8C"/>
    <w:rsid w:val="00367046"/>
    <w:rsid w:val="00377834"/>
    <w:rsid w:val="003E0703"/>
    <w:rsid w:val="003F152A"/>
    <w:rsid w:val="004231BC"/>
    <w:rsid w:val="0042508C"/>
    <w:rsid w:val="00434037"/>
    <w:rsid w:val="004B3E77"/>
    <w:rsid w:val="00544CE3"/>
    <w:rsid w:val="005469B6"/>
    <w:rsid w:val="00587BB2"/>
    <w:rsid w:val="00592659"/>
    <w:rsid w:val="00662048"/>
    <w:rsid w:val="006828E2"/>
    <w:rsid w:val="006870F4"/>
    <w:rsid w:val="006D6988"/>
    <w:rsid w:val="007008A8"/>
    <w:rsid w:val="0070639F"/>
    <w:rsid w:val="00720A0F"/>
    <w:rsid w:val="007770EE"/>
    <w:rsid w:val="007A797E"/>
    <w:rsid w:val="007C54FC"/>
    <w:rsid w:val="007E5D1A"/>
    <w:rsid w:val="008012DD"/>
    <w:rsid w:val="00843BC5"/>
    <w:rsid w:val="008A1FD1"/>
    <w:rsid w:val="009462C3"/>
    <w:rsid w:val="009545D3"/>
    <w:rsid w:val="009737E4"/>
    <w:rsid w:val="009A2D35"/>
    <w:rsid w:val="009B1917"/>
    <w:rsid w:val="009B349E"/>
    <w:rsid w:val="00A022FD"/>
    <w:rsid w:val="00A63DA1"/>
    <w:rsid w:val="00AE796F"/>
    <w:rsid w:val="00B27999"/>
    <w:rsid w:val="00C10FDE"/>
    <w:rsid w:val="00C70299"/>
    <w:rsid w:val="00CB4713"/>
    <w:rsid w:val="00D321D0"/>
    <w:rsid w:val="00E23FC0"/>
    <w:rsid w:val="00E71289"/>
    <w:rsid w:val="00F2605B"/>
    <w:rsid w:val="00F60538"/>
    <w:rsid w:val="00F6641B"/>
    <w:rsid w:val="00F67E20"/>
    <w:rsid w:val="00F9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3E8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8A8"/>
    <w:pPr>
      <w:spacing w:after="200" w:line="276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7008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7008A8"/>
  </w:style>
  <w:style w:type="table" w:styleId="TableGrid">
    <w:name w:val="Table Grid"/>
    <w:basedOn w:val="TableNormal"/>
    <w:uiPriority w:val="39"/>
    <w:rsid w:val="007008A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06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0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03"/>
  </w:style>
  <w:style w:type="paragraph" w:styleId="Footer">
    <w:name w:val="footer"/>
    <w:basedOn w:val="Normal"/>
    <w:link w:val="FooterChar"/>
    <w:uiPriority w:val="99"/>
    <w:unhideWhenUsed/>
    <w:rsid w:val="003E0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2023-11-18T09:22:00Z</dcterms:created>
  <dcterms:modified xsi:type="dcterms:W3CDTF">2023-11-30T14:48:00Z</dcterms:modified>
</cp:coreProperties>
</file>