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4B6BF" w14:textId="7B8CC18E" w:rsidR="0067630A" w:rsidRPr="00B35105" w:rsidRDefault="0067630A" w:rsidP="008A0E6A">
      <w:pPr>
        <w:pStyle w:val="Heading5"/>
        <w:keepLines w:val="0"/>
        <w:widowControl/>
        <w:pBdr>
          <w:top w:val="double" w:sz="4" w:space="1" w:color="auto"/>
          <w:left w:val="double" w:sz="4" w:space="4" w:color="auto"/>
          <w:bottom w:val="double" w:sz="4" w:space="11" w:color="auto"/>
          <w:right w:val="double" w:sz="4" w:space="4" w:color="auto"/>
        </w:pBdr>
        <w:spacing w:before="0" w:after="0"/>
        <w:jc w:val="center"/>
        <w:rPr>
          <w:rFonts w:eastAsia="Times New Roman" w:cs="Times New Roman"/>
          <w:bCs/>
          <w:sz w:val="20"/>
          <w:szCs w:val="20"/>
          <w:lang w:eastAsia="en-US"/>
        </w:rPr>
      </w:pPr>
      <w:r w:rsidRPr="00B35105">
        <w:rPr>
          <w:rFonts w:eastAsia="Times New Roman" w:cs="Times New Roman"/>
          <w:bCs/>
          <w:sz w:val="20"/>
          <w:szCs w:val="20"/>
          <w:lang w:eastAsia="en-US"/>
        </w:rPr>
        <w:t>23-</w:t>
      </w:r>
      <w:r w:rsidR="00F40683" w:rsidRPr="00B35105">
        <w:rPr>
          <w:rFonts w:eastAsia="Times New Roman" w:cs="Times New Roman"/>
          <w:bCs/>
          <w:sz w:val="20"/>
          <w:szCs w:val="20"/>
          <w:lang w:eastAsia="en-US"/>
        </w:rPr>
        <w:t>01</w:t>
      </w:r>
      <w:r w:rsidRPr="00B35105">
        <w:rPr>
          <w:rFonts w:eastAsia="Times New Roman" w:cs="Times New Roman"/>
          <w:bCs/>
          <w:sz w:val="20"/>
          <w:szCs w:val="20"/>
          <w:lang w:eastAsia="en-US"/>
        </w:rPr>
        <w:tab/>
      </w:r>
      <w:r w:rsidRPr="00B35105">
        <w:rPr>
          <w:rFonts w:eastAsia="Times New Roman" w:cs="Times New Roman"/>
          <w:bCs/>
          <w:sz w:val="20"/>
          <w:szCs w:val="20"/>
          <w:lang w:eastAsia="en-US"/>
        </w:rPr>
        <w:tab/>
      </w:r>
      <w:r w:rsidRPr="00B35105">
        <w:rPr>
          <w:rFonts w:eastAsia="Times New Roman" w:cs="Times New Roman"/>
          <w:bCs/>
          <w:sz w:val="20"/>
          <w:szCs w:val="20"/>
          <w:lang w:eastAsia="en-US"/>
        </w:rPr>
        <w:tab/>
      </w:r>
      <w:r w:rsidRPr="00B35105">
        <w:rPr>
          <w:rFonts w:eastAsia="Times New Roman" w:cs="Times New Roman"/>
          <w:bCs/>
          <w:sz w:val="20"/>
          <w:szCs w:val="20"/>
          <w:lang w:eastAsia="en-US"/>
        </w:rPr>
        <w:tab/>
      </w:r>
      <w:r w:rsidRPr="00B35105">
        <w:rPr>
          <w:rFonts w:eastAsia="Times New Roman" w:cs="Times New Roman"/>
          <w:bCs/>
          <w:sz w:val="20"/>
          <w:szCs w:val="20"/>
          <w:lang w:eastAsia="en-US"/>
        </w:rPr>
        <w:tab/>
      </w:r>
      <w:r w:rsidRPr="00B35105">
        <w:rPr>
          <w:rFonts w:eastAsia="Times New Roman" w:cs="Times New Roman"/>
          <w:bCs/>
          <w:sz w:val="20"/>
          <w:szCs w:val="20"/>
          <w:lang w:eastAsia="en-US"/>
        </w:rPr>
        <w:tab/>
      </w:r>
      <w:r w:rsidRPr="00B35105">
        <w:rPr>
          <w:rFonts w:eastAsia="Times New Roman" w:cs="Times New Roman"/>
          <w:bCs/>
          <w:sz w:val="20"/>
          <w:szCs w:val="20"/>
          <w:lang w:eastAsia="en-US"/>
        </w:rPr>
        <w:tab/>
      </w:r>
      <w:r w:rsidRPr="00B35105">
        <w:rPr>
          <w:rFonts w:eastAsia="Times New Roman" w:cs="Times New Roman"/>
          <w:bCs/>
          <w:sz w:val="20"/>
          <w:szCs w:val="20"/>
          <w:lang w:eastAsia="en-US"/>
        </w:rPr>
        <w:tab/>
      </w:r>
      <w:r w:rsidRPr="00B35105">
        <w:rPr>
          <w:rFonts w:eastAsia="Times New Roman" w:cs="Times New Roman"/>
          <w:bCs/>
          <w:sz w:val="20"/>
          <w:szCs w:val="20"/>
          <w:lang w:eastAsia="en-US"/>
        </w:rPr>
        <w:tab/>
      </w:r>
      <w:r w:rsidRPr="00B35105">
        <w:rPr>
          <w:rFonts w:eastAsia="Times New Roman" w:cs="Times New Roman"/>
          <w:bCs/>
          <w:sz w:val="20"/>
          <w:szCs w:val="20"/>
          <w:lang w:eastAsia="en-US"/>
        </w:rPr>
        <w:tab/>
      </w:r>
      <w:r w:rsidRPr="00B35105">
        <w:rPr>
          <w:rFonts w:eastAsia="Times New Roman" w:cs="Times New Roman"/>
          <w:bCs/>
          <w:sz w:val="20"/>
          <w:szCs w:val="20"/>
          <w:lang w:eastAsia="en-US"/>
        </w:rPr>
        <w:tab/>
      </w:r>
      <w:r w:rsidRPr="00B35105">
        <w:rPr>
          <w:rFonts w:eastAsia="Times New Roman" w:cs="Times New Roman"/>
          <w:bCs/>
          <w:sz w:val="20"/>
          <w:szCs w:val="20"/>
          <w:lang w:eastAsia="en-US"/>
        </w:rPr>
        <w:tab/>
        <w:t>TRO</w:t>
      </w:r>
    </w:p>
    <w:p w14:paraId="1754D231" w14:textId="5E2A6A58" w:rsidR="008A0E6A" w:rsidRPr="00B35105" w:rsidRDefault="008A0E6A" w:rsidP="008A0E6A">
      <w:pPr>
        <w:pStyle w:val="Heading5"/>
        <w:keepLines w:val="0"/>
        <w:widowControl/>
        <w:pBdr>
          <w:top w:val="double" w:sz="4" w:space="1" w:color="auto"/>
          <w:left w:val="double" w:sz="4" w:space="4" w:color="auto"/>
          <w:bottom w:val="double" w:sz="4" w:space="11" w:color="auto"/>
          <w:right w:val="double" w:sz="4" w:space="4" w:color="auto"/>
        </w:pBdr>
        <w:spacing w:before="0" w:after="0"/>
        <w:jc w:val="center"/>
        <w:rPr>
          <w:rFonts w:eastAsia="Times New Roman" w:cs="Times New Roman"/>
          <w:bCs/>
          <w:sz w:val="20"/>
          <w:szCs w:val="20"/>
          <w:lang w:eastAsia="en-US"/>
        </w:rPr>
      </w:pPr>
      <w:r w:rsidRPr="00B35105">
        <w:rPr>
          <w:rFonts w:eastAsia="Times New Roman" w:cs="Times New Roman"/>
          <w:bCs/>
          <w:sz w:val="20"/>
          <w:szCs w:val="20"/>
          <w:lang w:eastAsia="en-US"/>
        </w:rPr>
        <w:t>R</w:t>
      </w:r>
      <w:r w:rsidR="00636D39" w:rsidRPr="00B35105">
        <w:rPr>
          <w:rFonts w:eastAsia="Times New Roman" w:cs="Times New Roman"/>
          <w:bCs/>
          <w:sz w:val="20"/>
          <w:szCs w:val="20"/>
          <w:lang w:eastAsia="en-US"/>
        </w:rPr>
        <w:t xml:space="preserve">ECOMENDACIÓN DE ICCAT QUE PRORROGA Y MODIFICA LA </w:t>
      </w:r>
    </w:p>
    <w:p w14:paraId="4B5F3AA4" w14:textId="2704D02F" w:rsidR="0067630A" w:rsidRPr="00B35105" w:rsidRDefault="00636D39" w:rsidP="008A0E6A">
      <w:pPr>
        <w:pStyle w:val="Heading5"/>
        <w:keepLines w:val="0"/>
        <w:widowControl/>
        <w:pBdr>
          <w:top w:val="double" w:sz="4" w:space="1" w:color="auto"/>
          <w:left w:val="double" w:sz="4" w:space="4" w:color="auto"/>
          <w:bottom w:val="double" w:sz="4" w:space="11" w:color="auto"/>
          <w:right w:val="double" w:sz="4" w:space="4" w:color="auto"/>
        </w:pBdr>
        <w:spacing w:before="0" w:after="0"/>
        <w:jc w:val="center"/>
        <w:rPr>
          <w:rFonts w:eastAsia="Times New Roman" w:cs="Times New Roman"/>
          <w:bCs/>
          <w:sz w:val="20"/>
          <w:szCs w:val="20"/>
          <w:lang w:eastAsia="en-US"/>
        </w:rPr>
      </w:pPr>
      <w:r w:rsidRPr="00B35105">
        <w:rPr>
          <w:rFonts w:eastAsia="Times New Roman" w:cs="Times New Roman"/>
          <w:bCs/>
          <w:sz w:val="20"/>
          <w:szCs w:val="20"/>
          <w:lang w:eastAsia="en-US"/>
        </w:rPr>
        <w:t xml:space="preserve">RECOMENDACIÓN 22-01 SOBRE UN PROGRAMA PLURIANUAL DE CONSERVACIÓN </w:t>
      </w:r>
    </w:p>
    <w:p w14:paraId="00000003" w14:textId="415A7791" w:rsidR="00901E45" w:rsidRPr="00B35105" w:rsidRDefault="00636D39" w:rsidP="008A0E6A">
      <w:pPr>
        <w:pStyle w:val="Heading5"/>
        <w:keepLines w:val="0"/>
        <w:widowControl/>
        <w:pBdr>
          <w:top w:val="double" w:sz="4" w:space="1" w:color="auto"/>
          <w:left w:val="double" w:sz="4" w:space="4" w:color="auto"/>
          <w:bottom w:val="double" w:sz="4" w:space="11" w:color="auto"/>
          <w:right w:val="double" w:sz="4" w:space="4" w:color="auto"/>
        </w:pBdr>
        <w:spacing w:before="0" w:after="0"/>
        <w:jc w:val="center"/>
        <w:rPr>
          <w:rFonts w:eastAsia="Times New Roman" w:cs="Times New Roman"/>
          <w:bCs/>
          <w:sz w:val="20"/>
          <w:szCs w:val="20"/>
          <w:lang w:eastAsia="en-US"/>
        </w:rPr>
      </w:pPr>
      <w:r w:rsidRPr="00B35105">
        <w:rPr>
          <w:rFonts w:eastAsia="Times New Roman" w:cs="Times New Roman"/>
          <w:bCs/>
          <w:sz w:val="20"/>
          <w:szCs w:val="20"/>
          <w:lang w:eastAsia="en-US"/>
        </w:rPr>
        <w:t>Y ORDENACIÓN PARA LOS TÚNIDOS TROPICALES</w:t>
      </w:r>
    </w:p>
    <w:p w14:paraId="00000004" w14:textId="77777777" w:rsidR="00901E45" w:rsidRPr="00B35105" w:rsidRDefault="00901E45">
      <w:pPr>
        <w:pBdr>
          <w:top w:val="nil"/>
          <w:left w:val="nil"/>
          <w:bottom w:val="nil"/>
          <w:right w:val="nil"/>
          <w:between w:val="nil"/>
        </w:pBdr>
        <w:ind w:left="645"/>
        <w:rPr>
          <w:i/>
        </w:rPr>
      </w:pPr>
    </w:p>
    <w:p w14:paraId="00000005" w14:textId="1FEC02D4" w:rsidR="00901E45" w:rsidRPr="00B35105" w:rsidRDefault="00EB200A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sz w:val="20"/>
          <w:szCs w:val="20"/>
        </w:rPr>
      </w:pPr>
      <w:r w:rsidRPr="00B35105">
        <w:rPr>
          <w:i/>
          <w:iCs/>
          <w:sz w:val="20"/>
        </w:rPr>
        <w:t xml:space="preserve">RECONOCIENDO </w:t>
      </w:r>
      <w:r w:rsidRPr="00B35105">
        <w:rPr>
          <w:sz w:val="20"/>
        </w:rPr>
        <w:t xml:space="preserve">que la </w:t>
      </w:r>
      <w:r w:rsidRPr="00B35105">
        <w:rPr>
          <w:i/>
          <w:iCs/>
          <w:sz w:val="20"/>
        </w:rPr>
        <w:t xml:space="preserve">Recomendación de ICCAT que reemplaza la Recomendación 21-01 sobre un programa plurianual de conservación y ordenación para los túnidos tropicales </w:t>
      </w:r>
      <w:r w:rsidRPr="00B35105">
        <w:rPr>
          <w:sz w:val="20"/>
        </w:rPr>
        <w:t>(Rec. 22-01) se aplica en 2023 y años posteriores, pero que ciertas disposiciones expiran en 2023 o deben actualizarse para su adecuada aplicación en 2024;</w:t>
      </w:r>
    </w:p>
    <w:p w14:paraId="00000006" w14:textId="77777777" w:rsidR="00901E45" w:rsidRPr="00B35105" w:rsidRDefault="00901E45">
      <w:pPr>
        <w:rPr>
          <w:sz w:val="20"/>
          <w:szCs w:val="20"/>
        </w:rPr>
      </w:pPr>
    </w:p>
    <w:p w14:paraId="00000007" w14:textId="77777777" w:rsidR="00901E45" w:rsidRPr="00B35105" w:rsidRDefault="00EB200A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0"/>
          <w:szCs w:val="20"/>
        </w:rPr>
      </w:pPr>
      <w:r w:rsidRPr="00B35105">
        <w:rPr>
          <w:sz w:val="20"/>
        </w:rPr>
        <w:t>LA COMISIÓN INTERNACIONAL PARA LA CONSERVACIÓN DEL</w:t>
      </w:r>
    </w:p>
    <w:p w14:paraId="00000008" w14:textId="77777777" w:rsidR="00901E45" w:rsidRPr="00B35105" w:rsidRDefault="00EB200A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0"/>
          <w:szCs w:val="20"/>
        </w:rPr>
      </w:pPr>
      <w:r w:rsidRPr="00B35105">
        <w:rPr>
          <w:sz w:val="20"/>
        </w:rPr>
        <w:t>ATÚN ATLÁNTICO (ICCAT) RECOMIENDA LO SIGUIENTE:</w:t>
      </w:r>
      <w:bookmarkStart w:id="0" w:name="bookmark=id.gjdgxs"/>
      <w:bookmarkEnd w:id="0"/>
    </w:p>
    <w:p w14:paraId="0000000A" w14:textId="77777777" w:rsidR="00901E45" w:rsidRPr="00B35105" w:rsidRDefault="00901E45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b/>
          <w:sz w:val="19"/>
          <w:szCs w:val="19"/>
        </w:rPr>
      </w:pPr>
    </w:p>
    <w:p w14:paraId="0000000B" w14:textId="6AE33F1E" w:rsidR="00901E45" w:rsidRPr="00B35105" w:rsidRDefault="00EB200A" w:rsidP="00396A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1"/>
        <w:ind w:left="426" w:hanging="426"/>
        <w:jc w:val="both"/>
        <w:rPr>
          <w:sz w:val="20"/>
          <w:szCs w:val="20"/>
        </w:rPr>
      </w:pPr>
      <w:r w:rsidRPr="00B35105">
        <w:rPr>
          <w:sz w:val="20"/>
        </w:rPr>
        <w:t xml:space="preserve">La </w:t>
      </w:r>
      <w:r w:rsidRPr="00B35105">
        <w:rPr>
          <w:i/>
          <w:sz w:val="20"/>
        </w:rPr>
        <w:t>Recomendación de ICCAT que reemplaza la Recomendación 21-01 sobre un programa plurianual de conservación y ordenación para los túnidos tropicales</w:t>
      </w:r>
      <w:r w:rsidRPr="00B35105">
        <w:rPr>
          <w:sz w:val="20"/>
        </w:rPr>
        <w:t xml:space="preserve"> (Rec. 22-01) se prorroga con las siguientes modificaciones:</w:t>
      </w:r>
    </w:p>
    <w:p w14:paraId="0000000C" w14:textId="77777777" w:rsidR="00901E45" w:rsidRPr="00B35105" w:rsidRDefault="00901E45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1"/>
        <w:ind w:left="720"/>
        <w:jc w:val="both"/>
        <w:rPr>
          <w:sz w:val="20"/>
          <w:szCs w:val="20"/>
        </w:rPr>
      </w:pPr>
    </w:p>
    <w:p w14:paraId="0000000D" w14:textId="1FA85CF0" w:rsidR="00901E45" w:rsidRPr="00B35105" w:rsidRDefault="00EB200A" w:rsidP="00396AE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1"/>
        <w:ind w:left="851" w:hanging="425"/>
        <w:jc w:val="both"/>
        <w:rPr>
          <w:sz w:val="20"/>
          <w:szCs w:val="20"/>
        </w:rPr>
      </w:pPr>
      <w:r w:rsidRPr="00B35105">
        <w:rPr>
          <w:sz w:val="20"/>
        </w:rPr>
        <w:t>Las disposiciones de los párrafos </w:t>
      </w:r>
      <w:r w:rsidR="009E7440" w:rsidRPr="00B35105">
        <w:rPr>
          <w:sz w:val="20"/>
        </w:rPr>
        <w:t xml:space="preserve">1, </w:t>
      </w:r>
      <w:r w:rsidRPr="00B35105">
        <w:rPr>
          <w:sz w:val="20"/>
        </w:rPr>
        <w:t xml:space="preserve">3, 4, 8, </w:t>
      </w:r>
      <w:r w:rsidR="00DD51BA" w:rsidRPr="00B35105">
        <w:rPr>
          <w:sz w:val="20"/>
        </w:rPr>
        <w:t>18</w:t>
      </w:r>
      <w:r w:rsidR="003F1A3C" w:rsidRPr="00B35105">
        <w:rPr>
          <w:sz w:val="20"/>
        </w:rPr>
        <w:t xml:space="preserve">, </w:t>
      </w:r>
      <w:r w:rsidRPr="00B35105">
        <w:rPr>
          <w:sz w:val="20"/>
        </w:rPr>
        <w:t>22(b), 27, 28, 30, 31</w:t>
      </w:r>
      <w:r w:rsidR="00700CB9" w:rsidRPr="00B35105">
        <w:rPr>
          <w:sz w:val="20"/>
        </w:rPr>
        <w:t xml:space="preserve">, </w:t>
      </w:r>
      <w:r w:rsidR="00DD51BA" w:rsidRPr="00B35105">
        <w:rPr>
          <w:sz w:val="20"/>
        </w:rPr>
        <w:t>33</w:t>
      </w:r>
      <w:r w:rsidR="00D84053" w:rsidRPr="00EF42F7">
        <w:rPr>
          <w:sz w:val="20"/>
        </w:rPr>
        <w:t xml:space="preserve">, </w:t>
      </w:r>
      <w:r w:rsidR="00313F63" w:rsidRPr="00EF42F7">
        <w:rPr>
          <w:sz w:val="20"/>
        </w:rPr>
        <w:t>55</w:t>
      </w:r>
      <w:r w:rsidR="00B35105" w:rsidRPr="00EF42F7">
        <w:rPr>
          <w:rStyle w:val="FootnoteReference"/>
          <w:sz w:val="20"/>
        </w:rPr>
        <w:footnoteReference w:id="1"/>
      </w:r>
      <w:r w:rsidR="00313F63" w:rsidRPr="00EF42F7">
        <w:rPr>
          <w:sz w:val="20"/>
        </w:rPr>
        <w:t xml:space="preserve">, </w:t>
      </w:r>
      <w:r w:rsidR="00D84053" w:rsidRPr="00EF42F7">
        <w:rPr>
          <w:sz w:val="20"/>
        </w:rPr>
        <w:t>56,</w:t>
      </w:r>
      <w:r w:rsidR="00D84053" w:rsidRPr="00B35105">
        <w:rPr>
          <w:sz w:val="20"/>
        </w:rPr>
        <w:t xml:space="preserve"> 60, 67,</w:t>
      </w:r>
      <w:r w:rsidRPr="00B35105">
        <w:rPr>
          <w:sz w:val="20"/>
        </w:rPr>
        <w:t xml:space="preserve"> </w:t>
      </w:r>
      <w:r w:rsidR="00700CB9" w:rsidRPr="00B35105">
        <w:rPr>
          <w:sz w:val="20"/>
        </w:rPr>
        <w:t xml:space="preserve">68 y 69 </w:t>
      </w:r>
      <w:r w:rsidR="00636D39" w:rsidRPr="00B35105">
        <w:rPr>
          <w:sz w:val="20"/>
        </w:rPr>
        <w:t>se mantendrán y se aplicarán durante</w:t>
      </w:r>
      <w:r w:rsidRPr="00B35105">
        <w:rPr>
          <w:sz w:val="20"/>
        </w:rPr>
        <w:t xml:space="preserve"> 2024.</w:t>
      </w:r>
    </w:p>
    <w:p w14:paraId="0000000E" w14:textId="77777777" w:rsidR="00901E45" w:rsidRPr="00B35105" w:rsidRDefault="00901E45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1"/>
        <w:ind w:left="1440"/>
        <w:jc w:val="both"/>
        <w:rPr>
          <w:sz w:val="20"/>
          <w:szCs w:val="20"/>
        </w:rPr>
      </w:pPr>
    </w:p>
    <w:p w14:paraId="0000000F" w14:textId="6F1EDB62" w:rsidR="00901E45" w:rsidRPr="00B35105" w:rsidRDefault="00EB200A" w:rsidP="00396AE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1"/>
        <w:ind w:left="851" w:hanging="425"/>
        <w:jc w:val="both"/>
        <w:rPr>
          <w:sz w:val="20"/>
          <w:szCs w:val="20"/>
        </w:rPr>
      </w:pPr>
      <w:r w:rsidRPr="00B35105">
        <w:rPr>
          <w:sz w:val="20"/>
        </w:rPr>
        <w:t xml:space="preserve">La tabla de devolución del exceso de captura con respecto al límite </w:t>
      </w:r>
      <w:r w:rsidR="00636D39" w:rsidRPr="00B35105">
        <w:rPr>
          <w:sz w:val="20"/>
        </w:rPr>
        <w:t xml:space="preserve">de captura </w:t>
      </w:r>
      <w:r w:rsidR="00DD51BA" w:rsidRPr="00B35105">
        <w:rPr>
          <w:sz w:val="20"/>
        </w:rPr>
        <w:t>d</w:t>
      </w:r>
      <w:r w:rsidRPr="00B35105">
        <w:rPr>
          <w:sz w:val="20"/>
        </w:rPr>
        <w:t xml:space="preserve">el párrafo 10 se ampliará para incluir 2024 en la columna "Año de captura" y 2026 en la columna "Año de ajuste". </w:t>
      </w:r>
    </w:p>
    <w:p w14:paraId="6D9B588B" w14:textId="77777777" w:rsidR="00DD51BA" w:rsidRPr="00B35105" w:rsidRDefault="00DD51BA" w:rsidP="00DD51B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1"/>
        <w:ind w:left="851"/>
        <w:jc w:val="both"/>
        <w:rPr>
          <w:sz w:val="20"/>
          <w:szCs w:val="20"/>
        </w:rPr>
      </w:pPr>
    </w:p>
    <w:p w14:paraId="554A9824" w14:textId="77436E73" w:rsidR="00DD51BA" w:rsidRPr="00B35105" w:rsidRDefault="00DD51BA" w:rsidP="00DD51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1"/>
        <w:ind w:left="851" w:hanging="425"/>
        <w:jc w:val="both"/>
        <w:rPr>
          <w:sz w:val="20"/>
          <w:szCs w:val="20"/>
        </w:rPr>
      </w:pPr>
      <w:r w:rsidRPr="00B35105">
        <w:rPr>
          <w:sz w:val="20"/>
        </w:rPr>
        <w:t xml:space="preserve">El párrafo 12 se sustituirá por el siguiente: "Para las CPC enumeradas en el párrafo 3 de la </w:t>
      </w:r>
      <w:r w:rsidR="00636D39" w:rsidRPr="00B35105">
        <w:rPr>
          <w:sz w:val="20"/>
        </w:rPr>
        <w:br/>
      </w:r>
      <w:r w:rsidRPr="00B35105">
        <w:rPr>
          <w:sz w:val="20"/>
        </w:rPr>
        <w:t>Rec. 16-01, el remanente o el exceso de captura de un límite de captura anual en 2022 se añadirá a/o se deducirá de su límite de captura anual de 2024, sujeto a las restricciones del 10 % de la cuota inicial indicadas en los párrafos 9 a) y 10 de la Rec. 16-01".</w:t>
      </w:r>
    </w:p>
    <w:p w14:paraId="582ED8F7" w14:textId="77777777" w:rsidR="00313F63" w:rsidRPr="00B35105" w:rsidRDefault="00313F63" w:rsidP="00313F63">
      <w:pPr>
        <w:pStyle w:val="ListParagraph"/>
        <w:rPr>
          <w:sz w:val="20"/>
          <w:szCs w:val="20"/>
        </w:rPr>
      </w:pPr>
    </w:p>
    <w:p w14:paraId="3910E506" w14:textId="1DCF71F0" w:rsidR="00313F63" w:rsidRPr="00B35105" w:rsidRDefault="00313F63" w:rsidP="00DD51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1"/>
        <w:ind w:left="851" w:hanging="425"/>
        <w:jc w:val="both"/>
        <w:rPr>
          <w:sz w:val="20"/>
          <w:szCs w:val="20"/>
        </w:rPr>
      </w:pPr>
      <w:r w:rsidRPr="00B35105">
        <w:rPr>
          <w:sz w:val="20"/>
          <w:szCs w:val="20"/>
        </w:rPr>
        <w:t>El párrafo 28 se sustituirá por el siguiente: "del 1 de enero al 12 de marzo de 2024, en toda la zona del Convenio. Est</w:t>
      </w:r>
      <w:r w:rsidR="000C72CB" w:rsidRPr="00B35105">
        <w:rPr>
          <w:sz w:val="20"/>
          <w:szCs w:val="20"/>
        </w:rPr>
        <w:t xml:space="preserve">e </w:t>
      </w:r>
      <w:r w:rsidR="0067630A" w:rsidRPr="00B35105">
        <w:rPr>
          <w:sz w:val="20"/>
          <w:szCs w:val="20"/>
        </w:rPr>
        <w:t>periodo</w:t>
      </w:r>
      <w:r w:rsidRPr="00B35105">
        <w:rPr>
          <w:sz w:val="20"/>
          <w:szCs w:val="20"/>
        </w:rPr>
        <w:t xml:space="preserve"> debería </w:t>
      </w:r>
      <w:r w:rsidR="000C72CB" w:rsidRPr="00B35105">
        <w:rPr>
          <w:sz w:val="20"/>
          <w:szCs w:val="20"/>
        </w:rPr>
        <w:t>examinarse</w:t>
      </w:r>
      <w:r w:rsidRPr="00B35105">
        <w:rPr>
          <w:sz w:val="20"/>
          <w:szCs w:val="20"/>
        </w:rPr>
        <w:t xml:space="preserve"> y, si </w:t>
      </w:r>
      <w:r w:rsidR="000C72CB" w:rsidRPr="00B35105">
        <w:rPr>
          <w:sz w:val="20"/>
          <w:szCs w:val="20"/>
        </w:rPr>
        <w:t>fuera</w:t>
      </w:r>
      <w:r w:rsidRPr="00B35105">
        <w:rPr>
          <w:sz w:val="20"/>
          <w:szCs w:val="20"/>
        </w:rPr>
        <w:t xml:space="preserve"> necesario, </w:t>
      </w:r>
      <w:r w:rsidR="000C72CB" w:rsidRPr="00B35105">
        <w:rPr>
          <w:sz w:val="20"/>
          <w:szCs w:val="20"/>
        </w:rPr>
        <w:t xml:space="preserve">revisarse </w:t>
      </w:r>
      <w:r w:rsidRPr="00B35105">
        <w:rPr>
          <w:sz w:val="20"/>
          <w:szCs w:val="20"/>
        </w:rPr>
        <w:t>basándose en el asesoramiento del SCRS, teniendo en cuenta las tendencias mensuales en las capturas sobre banco libre y asociadas a los DCP y la variabilidad mensual en la proporción de juveniles de túnidos en las capturas. El SCRS debería proporcionar este asesoramiento a la Comisión en 2024</w:t>
      </w:r>
      <w:r w:rsidR="000C72CB" w:rsidRPr="00B35105">
        <w:rPr>
          <w:sz w:val="20"/>
          <w:szCs w:val="20"/>
        </w:rPr>
        <w:t>”</w:t>
      </w:r>
      <w:r w:rsidRPr="00B35105">
        <w:rPr>
          <w:sz w:val="20"/>
          <w:szCs w:val="20"/>
        </w:rPr>
        <w:t>.</w:t>
      </w:r>
    </w:p>
    <w:p w14:paraId="00000010" w14:textId="77777777" w:rsidR="00901E45" w:rsidRPr="00B35105" w:rsidRDefault="00901E45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1"/>
        <w:ind w:left="1440"/>
        <w:jc w:val="both"/>
        <w:rPr>
          <w:sz w:val="20"/>
          <w:szCs w:val="20"/>
        </w:rPr>
      </w:pPr>
    </w:p>
    <w:p w14:paraId="422CA39F" w14:textId="77777777" w:rsidR="00396AEA" w:rsidRPr="00B35105" w:rsidRDefault="00EB200A" w:rsidP="00396AE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1"/>
        <w:ind w:left="851" w:hanging="425"/>
        <w:jc w:val="both"/>
        <w:rPr>
          <w:sz w:val="20"/>
          <w:szCs w:val="20"/>
        </w:rPr>
      </w:pPr>
      <w:r w:rsidRPr="00B35105">
        <w:rPr>
          <w:sz w:val="20"/>
        </w:rPr>
        <w:t xml:space="preserve">La Comisión revisará las medidas pertinentes de conservación y ordenación de los túnidos tropicales vigentes en 2024. </w:t>
      </w:r>
    </w:p>
    <w:p w14:paraId="458DD371" w14:textId="77777777" w:rsidR="00396AEA" w:rsidRPr="00B35105" w:rsidRDefault="00396AEA" w:rsidP="00396AEA">
      <w:pPr>
        <w:pStyle w:val="ListParagraph"/>
        <w:rPr>
          <w:sz w:val="20"/>
          <w:szCs w:val="20"/>
        </w:rPr>
      </w:pPr>
    </w:p>
    <w:p w14:paraId="00000011" w14:textId="17BCD463" w:rsidR="00901E45" w:rsidRPr="00B35105" w:rsidRDefault="00EB200A" w:rsidP="00396AE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1"/>
        <w:ind w:left="851"/>
        <w:jc w:val="both"/>
        <w:rPr>
          <w:sz w:val="20"/>
          <w:szCs w:val="20"/>
        </w:rPr>
      </w:pPr>
      <w:r w:rsidRPr="00B35105">
        <w:rPr>
          <w:sz w:val="20"/>
        </w:rPr>
        <w:br/>
      </w:r>
    </w:p>
    <w:p w14:paraId="00000012" w14:textId="77777777" w:rsidR="00901E45" w:rsidRPr="00B35105" w:rsidRDefault="00901E45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1"/>
        <w:jc w:val="both"/>
        <w:rPr>
          <w:sz w:val="20"/>
          <w:szCs w:val="20"/>
        </w:rPr>
      </w:pPr>
      <w:bookmarkStart w:id="1" w:name="_heading=h.zhxwf8ajt6r"/>
      <w:bookmarkEnd w:id="1"/>
    </w:p>
    <w:p w14:paraId="00000013" w14:textId="77777777" w:rsidR="00901E45" w:rsidRPr="00B35105" w:rsidRDefault="00901E45">
      <w:pPr>
        <w:pBdr>
          <w:top w:val="nil"/>
          <w:left w:val="nil"/>
          <w:bottom w:val="nil"/>
          <w:right w:val="nil"/>
          <w:between w:val="nil"/>
        </w:pBdr>
        <w:spacing w:before="8"/>
      </w:pPr>
    </w:p>
    <w:p w14:paraId="00000014" w14:textId="77777777" w:rsidR="00901E45" w:rsidRPr="00B35105" w:rsidRDefault="00901E45">
      <w:pPr>
        <w:tabs>
          <w:tab w:val="left" w:pos="135"/>
        </w:tabs>
        <w:spacing w:before="1"/>
        <w:ind w:left="8083"/>
        <w:jc w:val="both"/>
      </w:pPr>
      <w:bookmarkStart w:id="2" w:name="_heading=h.lq0eo9wp5ub9"/>
      <w:bookmarkEnd w:id="2"/>
    </w:p>
    <w:sectPr w:rsidR="00901E45" w:rsidRPr="00B35105" w:rsidSect="00396AEA">
      <w:footerReference w:type="default" r:id="rId8"/>
      <w:pgSz w:w="11907" w:h="16840" w:code="9"/>
      <w:pgMar w:top="1418" w:right="1418" w:bottom="1418" w:left="1418" w:header="851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8E068" w14:textId="77777777" w:rsidR="00A71F61" w:rsidRDefault="00A71F61">
      <w:r>
        <w:separator/>
      </w:r>
    </w:p>
  </w:endnote>
  <w:endnote w:type="continuationSeparator" w:id="0">
    <w:p w14:paraId="7594F7A8" w14:textId="77777777" w:rsidR="00A71F61" w:rsidRDefault="00A71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5" w14:textId="77DDBAC4" w:rsidR="00901E45" w:rsidRDefault="00EB200A">
    <w:pPr>
      <w:tabs>
        <w:tab w:val="center" w:pos="4252"/>
        <w:tab w:val="right" w:pos="8504"/>
      </w:tabs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sz w:val="20"/>
      </w:rPr>
      <w:fldChar w:fldCharType="begin"/>
    </w:r>
    <w:r>
      <w:rPr>
        <w:sz w:val="20"/>
      </w:rPr>
      <w:instrText>PAGE</w:instrText>
    </w:r>
    <w:r>
      <w:rPr>
        <w:sz w:val="20"/>
      </w:rPr>
      <w:fldChar w:fldCharType="separate"/>
    </w:r>
    <w:r w:rsidR="00396AEA"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00000016" w14:textId="77777777" w:rsidR="00901E45" w:rsidRDefault="00901E45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6FF1B" w14:textId="77777777" w:rsidR="00A71F61" w:rsidRDefault="00A71F61">
      <w:r>
        <w:separator/>
      </w:r>
    </w:p>
  </w:footnote>
  <w:footnote w:type="continuationSeparator" w:id="0">
    <w:p w14:paraId="08A64FB9" w14:textId="77777777" w:rsidR="00A71F61" w:rsidRDefault="00A71F61">
      <w:r>
        <w:continuationSeparator/>
      </w:r>
    </w:p>
  </w:footnote>
  <w:footnote w:id="1">
    <w:p w14:paraId="19021AA3" w14:textId="65CBC3B5" w:rsidR="00B35105" w:rsidRPr="00EF42F7" w:rsidRDefault="00B35105" w:rsidP="00EF42F7">
      <w:pPr>
        <w:pStyle w:val="FootnoteText"/>
        <w:jc w:val="both"/>
        <w:rPr>
          <w:sz w:val="16"/>
          <w:szCs w:val="16"/>
        </w:rPr>
      </w:pPr>
      <w:r w:rsidRPr="00EF42F7">
        <w:rPr>
          <w:rStyle w:val="FootnoteReference"/>
          <w:sz w:val="16"/>
          <w:szCs w:val="16"/>
        </w:rPr>
        <w:footnoteRef/>
      </w:r>
      <w:r w:rsidRPr="00EF42F7">
        <w:rPr>
          <w:sz w:val="16"/>
          <w:szCs w:val="16"/>
        </w:rPr>
        <w:t xml:space="preserve">   La penúltima frase del párrafo 55 de la Rec. 22-01 se modifica como sigue: "Se insta a las CPC a que en 2024 realicen pruebas de seguimiento electrónico y comuniquen los resultados al Grupo de trabajo EMS y al SCRS en 2024 para su examen</w:t>
      </w:r>
      <w:r w:rsidR="00EF42F7" w:rsidRPr="00EF42F7">
        <w:rPr>
          <w:sz w:val="16"/>
          <w:szCs w:val="16"/>
        </w:rPr>
        <w:t>.</w:t>
      </w:r>
      <w:r w:rsidRPr="00EF42F7">
        <w:rPr>
          <w:sz w:val="16"/>
          <w:szCs w:val="16"/>
        </w:rPr>
        <w:t>" El resto del párrafo 55 reflejado en la Rec. 22-01 permanece sin cambios.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50B29"/>
    <w:multiLevelType w:val="multilevel"/>
    <w:tmpl w:val="321262E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3A40039"/>
    <w:multiLevelType w:val="multilevel"/>
    <w:tmpl w:val="523088B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436292478">
    <w:abstractNumId w:val="1"/>
  </w:num>
  <w:num w:numId="2" w16cid:durableId="704329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E45"/>
    <w:rsid w:val="000C72CB"/>
    <w:rsid w:val="00313F63"/>
    <w:rsid w:val="003267D2"/>
    <w:rsid w:val="00350068"/>
    <w:rsid w:val="00396AEA"/>
    <w:rsid w:val="003F1A3C"/>
    <w:rsid w:val="004E157B"/>
    <w:rsid w:val="0056578C"/>
    <w:rsid w:val="005E2170"/>
    <w:rsid w:val="005F4D64"/>
    <w:rsid w:val="00636D39"/>
    <w:rsid w:val="0067630A"/>
    <w:rsid w:val="00700CB9"/>
    <w:rsid w:val="008A0E6A"/>
    <w:rsid w:val="00901E45"/>
    <w:rsid w:val="009E7440"/>
    <w:rsid w:val="00A71F61"/>
    <w:rsid w:val="00AF7E0E"/>
    <w:rsid w:val="00B35105"/>
    <w:rsid w:val="00D84053"/>
    <w:rsid w:val="00DD51BA"/>
    <w:rsid w:val="00DE4182"/>
    <w:rsid w:val="00EB200A"/>
    <w:rsid w:val="00EF42F7"/>
    <w:rsid w:val="00F4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2A6A6"/>
  <w15:docId w15:val="{1C2514DB-D059-4133-9DEB-F23937E5A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2"/>
        <w:szCs w:val="22"/>
        <w:lang w:val="es-ES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line="234" w:lineRule="exact"/>
      <w:ind w:left="199" w:right="2080"/>
      <w:jc w:val="center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semiHidden/>
    <w:unhideWhenUsed/>
    <w:qFormat/>
    <w:pPr>
      <w:ind w:left="118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uiPriority w:val="9"/>
    <w:semiHidden/>
    <w:unhideWhenUsed/>
    <w:qFormat/>
    <w:pPr>
      <w:ind w:left="218"/>
      <w:outlineLvl w:val="2"/>
    </w:pPr>
    <w:rPr>
      <w:b/>
      <w:bCs/>
      <w:i/>
      <w:iCs/>
      <w:sz w:val="20"/>
      <w:szCs w:val="2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645" w:hanging="428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403D2A"/>
    <w:pPr>
      <w:widowControl/>
    </w:pPr>
  </w:style>
  <w:style w:type="paragraph" w:styleId="FootnoteText">
    <w:name w:val="footnote text"/>
    <w:basedOn w:val="Normal"/>
    <w:link w:val="FootnoteTextChar"/>
    <w:uiPriority w:val="99"/>
    <w:unhideWhenUsed/>
    <w:rsid w:val="00641C9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41C99"/>
    <w:rPr>
      <w:rFonts w:ascii="Cambria" w:eastAsia="Cambria" w:hAnsi="Cambria" w:cs="Cambr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41C99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7A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AB5"/>
    <w:rPr>
      <w:rFonts w:ascii="Segoe UI" w:eastAsia="Cambr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749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4905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8749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905"/>
    <w:rPr>
      <w:rFonts w:ascii="Cambria" w:eastAsia="Cambria" w:hAnsi="Cambria" w:cs="Cambria"/>
    </w:rPr>
  </w:style>
  <w:style w:type="character" w:styleId="CommentReference">
    <w:name w:val="annotation reference"/>
    <w:basedOn w:val="DefaultParagraphFont"/>
    <w:uiPriority w:val="99"/>
    <w:semiHidden/>
    <w:unhideWhenUsed/>
    <w:rsid w:val="005D21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71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21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21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2180"/>
    <w:rPr>
      <w:rFonts w:ascii="Cambria" w:eastAsia="Cambria" w:hAnsi="Cambria" w:cs="Cambria"/>
      <w:b/>
      <w:bCs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customStyle="1" w:styleId="Default">
    <w:name w:val="Default"/>
    <w:rsid w:val="00E44386"/>
    <w:pPr>
      <w:widowControl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359C3"/>
    <w:rPr>
      <w:color w:val="0000FF" w:themeColor="hyperlink"/>
      <w:u w:val="single"/>
    </w:rPr>
  </w:style>
  <w:style w:type="character" w:customStyle="1" w:styleId="ui-provider">
    <w:name w:val="ui-provider"/>
    <w:basedOn w:val="DefaultParagraphFont"/>
    <w:rsid w:val="00316CF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5621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rsid w:val="008A0E6A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uoXjDDFP1mn+Z+8XrMprezKaqQ==">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325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José Garcia Orad</dc:creator>
  <cp:lastModifiedBy>autor</cp:lastModifiedBy>
  <cp:revision>14</cp:revision>
  <dcterms:created xsi:type="dcterms:W3CDTF">2023-11-20T11:16:00Z</dcterms:created>
  <dcterms:modified xsi:type="dcterms:W3CDTF">2023-12-15T08:30:00Z</dcterms:modified>
</cp:coreProperties>
</file>