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EF3C" w14:textId="2AC5D440" w:rsidR="00073496" w:rsidRPr="00C84714" w:rsidRDefault="00073496" w:rsidP="00073496">
      <w:pPr>
        <w:pStyle w:val="Heading5"/>
        <w:keepLines w:val="0"/>
        <w:widowControl/>
        <w:pBdr>
          <w:top w:val="double" w:sz="4" w:space="1" w:color="auto"/>
          <w:left w:val="double" w:sz="4" w:space="4" w:color="auto"/>
          <w:bottom w:val="double" w:sz="4" w:space="11" w:color="auto"/>
          <w:right w:val="double" w:sz="4" w:space="4" w:color="auto"/>
        </w:pBdr>
        <w:tabs>
          <w:tab w:val="right" w:pos="8789"/>
        </w:tabs>
        <w:spacing w:before="120" w:after="0"/>
        <w:jc w:val="center"/>
        <w:rPr>
          <w:rFonts w:eastAsia="Times New Roman" w:cs="Times New Roman"/>
          <w:bCs/>
          <w:sz w:val="20"/>
          <w:szCs w:val="20"/>
          <w:lang w:eastAsia="en-US"/>
        </w:rPr>
      </w:pPr>
      <w:r w:rsidRPr="00C84714">
        <w:rPr>
          <w:rFonts w:eastAsia="Times New Roman" w:cs="Times New Roman"/>
          <w:bCs/>
          <w:sz w:val="20"/>
          <w:szCs w:val="20"/>
          <w:lang w:eastAsia="en-US"/>
        </w:rPr>
        <w:t>23-</w:t>
      </w:r>
      <w:r w:rsidR="0012294B" w:rsidRPr="00C84714">
        <w:rPr>
          <w:rFonts w:eastAsia="Times New Roman" w:cs="Times New Roman"/>
          <w:bCs/>
          <w:sz w:val="20"/>
          <w:szCs w:val="20"/>
          <w:lang w:eastAsia="en-US"/>
        </w:rPr>
        <w:t>01</w:t>
      </w:r>
      <w:r w:rsidRPr="00C84714">
        <w:rPr>
          <w:rFonts w:eastAsia="Times New Roman" w:cs="Times New Roman"/>
          <w:bCs/>
          <w:sz w:val="20"/>
          <w:szCs w:val="20"/>
          <w:lang w:eastAsia="en-US"/>
        </w:rPr>
        <w:tab/>
      </w:r>
      <w:r w:rsidR="00CF2D6C" w:rsidRPr="00C84714">
        <w:rPr>
          <w:rFonts w:eastAsia="Times New Roman" w:cs="Times New Roman"/>
          <w:bCs/>
          <w:sz w:val="20"/>
          <w:szCs w:val="20"/>
          <w:lang w:eastAsia="en-US"/>
        </w:rPr>
        <w:t>TRO</w:t>
      </w:r>
    </w:p>
    <w:p w14:paraId="00000003" w14:textId="2BD55BEA" w:rsidR="00901E45" w:rsidRPr="00C84714" w:rsidRDefault="00073496" w:rsidP="00073496">
      <w:pPr>
        <w:pStyle w:val="Heading5"/>
        <w:keepLines w:val="0"/>
        <w:widowControl/>
        <w:pBdr>
          <w:top w:val="double" w:sz="4" w:space="1" w:color="auto"/>
          <w:left w:val="double" w:sz="4" w:space="4" w:color="auto"/>
          <w:bottom w:val="double" w:sz="4" w:space="11" w:color="auto"/>
          <w:right w:val="double" w:sz="4" w:space="4" w:color="auto"/>
        </w:pBdr>
        <w:tabs>
          <w:tab w:val="right" w:pos="8789"/>
        </w:tabs>
        <w:spacing w:before="120" w:after="0"/>
        <w:jc w:val="center"/>
        <w:rPr>
          <w:rFonts w:eastAsia="Times New Roman" w:cs="Times New Roman"/>
          <w:bCs/>
          <w:sz w:val="20"/>
          <w:szCs w:val="20"/>
          <w:lang w:eastAsia="en-US"/>
        </w:rPr>
      </w:pPr>
      <w:r w:rsidRPr="00C84714">
        <w:rPr>
          <w:rFonts w:eastAsia="Times New Roman" w:cs="Times New Roman"/>
          <w:bCs/>
          <w:sz w:val="20"/>
          <w:szCs w:val="20"/>
          <w:lang w:eastAsia="en-US"/>
        </w:rPr>
        <w:t>RECOMMANDATION DE L’ICCAT PROLONGEANT ET AMENDANT</w:t>
      </w:r>
      <w:r w:rsidRPr="00C84714">
        <w:rPr>
          <w:rFonts w:eastAsia="Times New Roman" w:cs="Times New Roman"/>
          <w:bCs/>
          <w:sz w:val="20"/>
          <w:szCs w:val="20"/>
          <w:lang w:eastAsia="en-US"/>
        </w:rPr>
        <w:br/>
        <w:t>LA RECOMMANDATION 22-01 SUR UN PROGRAMME PLURIANNUEL DE CONSERVATION ET DE GESTION POUR LES THONID</w:t>
      </w:r>
      <w:r w:rsidR="0012294B" w:rsidRPr="00C84714">
        <w:rPr>
          <w:rFonts w:eastAsia="Times New Roman" w:cs="Times New Roman"/>
          <w:bCs/>
          <w:sz w:val="20"/>
          <w:szCs w:val="20"/>
          <w:lang w:eastAsia="en-US"/>
        </w:rPr>
        <w:t>É</w:t>
      </w:r>
      <w:r w:rsidRPr="00C84714">
        <w:rPr>
          <w:rFonts w:eastAsia="Times New Roman" w:cs="Times New Roman"/>
          <w:bCs/>
          <w:sz w:val="20"/>
          <w:szCs w:val="20"/>
          <w:lang w:eastAsia="en-US"/>
        </w:rPr>
        <w:t>S TROPICAUX</w:t>
      </w:r>
    </w:p>
    <w:p w14:paraId="1CA1F5E7" w14:textId="77777777" w:rsidR="00653D37" w:rsidRPr="00C84714" w:rsidRDefault="00653D37">
      <w:pPr>
        <w:pBdr>
          <w:top w:val="nil"/>
          <w:left w:val="nil"/>
          <w:bottom w:val="nil"/>
          <w:right w:val="nil"/>
          <w:between w:val="nil"/>
        </w:pBdr>
        <w:ind w:left="645"/>
        <w:rPr>
          <w:i/>
        </w:rPr>
      </w:pPr>
    </w:p>
    <w:p w14:paraId="00000005" w14:textId="7D3CF85F" w:rsidR="00901E45" w:rsidRPr="00C84714" w:rsidRDefault="002C75DC">
      <w:pPr>
        <w:pBdr>
          <w:top w:val="nil"/>
          <w:left w:val="nil"/>
          <w:bottom w:val="nil"/>
          <w:right w:val="nil"/>
          <w:between w:val="nil"/>
        </w:pBdr>
        <w:ind w:firstLine="426"/>
        <w:jc w:val="both"/>
        <w:rPr>
          <w:sz w:val="20"/>
          <w:szCs w:val="20"/>
        </w:rPr>
      </w:pPr>
      <w:r w:rsidRPr="00C84714">
        <w:rPr>
          <w:i/>
          <w:iCs/>
          <w:sz w:val="20"/>
          <w:szCs w:val="20"/>
        </w:rPr>
        <w:t>RECONNAISSANT</w:t>
      </w:r>
      <w:r w:rsidRPr="00C84714">
        <w:rPr>
          <w:sz w:val="20"/>
          <w:szCs w:val="20"/>
        </w:rPr>
        <w:t xml:space="preserve"> que la </w:t>
      </w:r>
      <w:r w:rsidR="008C1CAB" w:rsidRPr="00C84714">
        <w:rPr>
          <w:rFonts w:asciiTheme="majorHAnsi" w:hAnsiTheme="majorHAnsi"/>
          <w:i/>
          <w:iCs/>
          <w:sz w:val="20"/>
          <w:szCs w:val="20"/>
        </w:rPr>
        <w:t>Recommandation de l’ICCAT remplaçant la Recommandation 21-01 sur un programme pluriannuel de conservation et de gestion pour les thonidés tropicaux</w:t>
      </w:r>
      <w:r w:rsidRPr="00C84714">
        <w:rPr>
          <w:sz w:val="20"/>
          <w:szCs w:val="20"/>
        </w:rPr>
        <w:t xml:space="preserve"> (Rec. 22-01)</w:t>
      </w:r>
      <w:r w:rsidR="00743AEB" w:rsidRPr="00C84714">
        <w:rPr>
          <w:sz w:val="20"/>
          <w:szCs w:val="20"/>
        </w:rPr>
        <w:t xml:space="preserve"> </w:t>
      </w:r>
      <w:r w:rsidRPr="00C84714">
        <w:rPr>
          <w:sz w:val="20"/>
          <w:szCs w:val="20"/>
        </w:rPr>
        <w:t>s'applique en 2023 et les années suivantes, mais que certaines dispositions expirent en 2023 ou doivent être mises à jour pour une application appropriée en 2024</w:t>
      </w:r>
      <w:r w:rsidR="00596A32" w:rsidRPr="00C84714">
        <w:rPr>
          <w:sz w:val="20"/>
          <w:szCs w:val="20"/>
        </w:rPr>
        <w:t> ;</w:t>
      </w:r>
    </w:p>
    <w:p w14:paraId="00000006" w14:textId="77777777" w:rsidR="00901E45" w:rsidRPr="00C84714" w:rsidRDefault="00901E45">
      <w:pPr>
        <w:rPr>
          <w:sz w:val="20"/>
          <w:szCs w:val="20"/>
        </w:rPr>
      </w:pPr>
    </w:p>
    <w:p w14:paraId="21C7B713" w14:textId="77777777" w:rsidR="00396AEA" w:rsidRPr="00C84714" w:rsidRDefault="00396AEA">
      <w:pPr>
        <w:rPr>
          <w:sz w:val="20"/>
          <w:szCs w:val="20"/>
        </w:rPr>
      </w:pPr>
    </w:p>
    <w:p w14:paraId="00000007" w14:textId="77777777" w:rsidR="00901E45" w:rsidRPr="00C84714" w:rsidRDefault="002C75DC">
      <w:pPr>
        <w:pBdr>
          <w:top w:val="nil"/>
          <w:left w:val="nil"/>
          <w:bottom w:val="nil"/>
          <w:right w:val="nil"/>
          <w:between w:val="nil"/>
        </w:pBdr>
        <w:jc w:val="center"/>
        <w:rPr>
          <w:sz w:val="20"/>
          <w:szCs w:val="20"/>
        </w:rPr>
      </w:pPr>
      <w:r w:rsidRPr="00C84714">
        <w:rPr>
          <w:sz w:val="20"/>
          <w:szCs w:val="20"/>
        </w:rPr>
        <w:t>LA COMMISSION INTERNATIONALE POUR LA CONSERVATION</w:t>
      </w:r>
    </w:p>
    <w:p w14:paraId="00000008" w14:textId="77777777" w:rsidR="00901E45" w:rsidRPr="00C84714" w:rsidRDefault="002C75DC">
      <w:pPr>
        <w:pBdr>
          <w:top w:val="nil"/>
          <w:left w:val="nil"/>
          <w:bottom w:val="nil"/>
          <w:right w:val="nil"/>
          <w:between w:val="nil"/>
        </w:pBdr>
        <w:jc w:val="center"/>
        <w:rPr>
          <w:sz w:val="20"/>
          <w:szCs w:val="20"/>
        </w:rPr>
      </w:pPr>
      <w:r w:rsidRPr="00C84714">
        <w:rPr>
          <w:sz w:val="20"/>
          <w:szCs w:val="20"/>
        </w:rPr>
        <w:t>DES THONIDÉS DE L’ATLANTIQUE (ICCAT) RECOMMANDE CE QUI SUIT :</w:t>
      </w:r>
      <w:bookmarkStart w:id="0" w:name="bookmark=id.gjdgxs"/>
      <w:bookmarkEnd w:id="0"/>
    </w:p>
    <w:p w14:paraId="00000009" w14:textId="77777777" w:rsidR="00901E45" w:rsidRPr="00C84714" w:rsidRDefault="00901E45">
      <w:pPr>
        <w:pBdr>
          <w:top w:val="nil"/>
          <w:left w:val="nil"/>
          <w:bottom w:val="nil"/>
          <w:right w:val="nil"/>
          <w:between w:val="nil"/>
        </w:pBdr>
        <w:jc w:val="center"/>
        <w:rPr>
          <w:b/>
          <w:sz w:val="20"/>
          <w:szCs w:val="20"/>
        </w:rPr>
      </w:pPr>
    </w:p>
    <w:p w14:paraId="0000000A" w14:textId="77777777" w:rsidR="00901E45" w:rsidRPr="00C84714" w:rsidRDefault="00901E45">
      <w:pPr>
        <w:pBdr>
          <w:top w:val="nil"/>
          <w:left w:val="nil"/>
          <w:bottom w:val="nil"/>
          <w:right w:val="nil"/>
          <w:between w:val="nil"/>
        </w:pBdr>
        <w:spacing w:before="11"/>
        <w:rPr>
          <w:b/>
          <w:sz w:val="20"/>
          <w:szCs w:val="20"/>
        </w:rPr>
      </w:pPr>
    </w:p>
    <w:p w14:paraId="0000000B" w14:textId="00D28DF4" w:rsidR="00901E45" w:rsidRPr="00C84714" w:rsidRDefault="002C75DC" w:rsidP="00396AEA">
      <w:pPr>
        <w:numPr>
          <w:ilvl w:val="0"/>
          <w:numId w:val="1"/>
        </w:numPr>
        <w:pBdr>
          <w:top w:val="nil"/>
          <w:left w:val="nil"/>
          <w:bottom w:val="nil"/>
          <w:right w:val="nil"/>
          <w:between w:val="nil"/>
        </w:pBdr>
        <w:tabs>
          <w:tab w:val="left" w:pos="142"/>
        </w:tabs>
        <w:spacing w:before="1"/>
        <w:ind w:left="426" w:hanging="426"/>
        <w:jc w:val="both"/>
        <w:rPr>
          <w:sz w:val="20"/>
          <w:szCs w:val="20"/>
        </w:rPr>
      </w:pPr>
      <w:r w:rsidRPr="00C84714">
        <w:rPr>
          <w:sz w:val="20"/>
          <w:szCs w:val="20"/>
        </w:rPr>
        <w:t xml:space="preserve">La </w:t>
      </w:r>
      <w:r w:rsidR="008C1CAB" w:rsidRPr="00C84714">
        <w:rPr>
          <w:rFonts w:asciiTheme="majorHAnsi" w:hAnsiTheme="majorHAnsi"/>
          <w:i/>
          <w:iCs/>
          <w:sz w:val="20"/>
          <w:szCs w:val="20"/>
        </w:rPr>
        <w:t>Recommandation de l’ICCAT remplaçant la Recommandation 21-01 sur un programme pluriannuel de conservation et de gestion pour les thonidés tropicaux</w:t>
      </w:r>
      <w:r w:rsidR="008C1CAB" w:rsidRPr="00C84714">
        <w:rPr>
          <w:sz w:val="20"/>
          <w:szCs w:val="20"/>
        </w:rPr>
        <w:t xml:space="preserve"> </w:t>
      </w:r>
      <w:r w:rsidRPr="00C84714">
        <w:rPr>
          <w:sz w:val="20"/>
          <w:szCs w:val="20"/>
        </w:rPr>
        <w:t>(Rec. 22-01) est prolongée avec les amendements suivants</w:t>
      </w:r>
      <w:r w:rsidR="00743AEB" w:rsidRPr="00C84714">
        <w:rPr>
          <w:sz w:val="20"/>
          <w:szCs w:val="20"/>
        </w:rPr>
        <w:t> :</w:t>
      </w:r>
    </w:p>
    <w:p w14:paraId="0000000C" w14:textId="77777777" w:rsidR="00901E45" w:rsidRPr="00C84714" w:rsidRDefault="00901E45">
      <w:pPr>
        <w:pBdr>
          <w:top w:val="nil"/>
          <w:left w:val="nil"/>
          <w:bottom w:val="nil"/>
          <w:right w:val="nil"/>
          <w:between w:val="nil"/>
        </w:pBdr>
        <w:tabs>
          <w:tab w:val="left" w:pos="142"/>
        </w:tabs>
        <w:spacing w:before="1"/>
        <w:ind w:left="720"/>
        <w:jc w:val="both"/>
        <w:rPr>
          <w:sz w:val="20"/>
          <w:szCs w:val="20"/>
        </w:rPr>
      </w:pPr>
    </w:p>
    <w:p w14:paraId="0000000D" w14:textId="6BC0F818" w:rsidR="00901E45" w:rsidRPr="00C84714" w:rsidRDefault="002C75DC" w:rsidP="00596A32">
      <w:pPr>
        <w:numPr>
          <w:ilvl w:val="0"/>
          <w:numId w:val="2"/>
        </w:numPr>
        <w:pBdr>
          <w:top w:val="nil"/>
          <w:left w:val="nil"/>
          <w:bottom w:val="nil"/>
          <w:right w:val="nil"/>
          <w:between w:val="nil"/>
        </w:pBdr>
        <w:spacing w:before="1"/>
        <w:ind w:left="851" w:hanging="425"/>
        <w:jc w:val="both"/>
        <w:rPr>
          <w:sz w:val="20"/>
          <w:szCs w:val="20"/>
        </w:rPr>
      </w:pPr>
      <w:r w:rsidRPr="00C84714">
        <w:rPr>
          <w:sz w:val="20"/>
          <w:szCs w:val="20"/>
        </w:rPr>
        <w:t>Les dispositions des paragraphes</w:t>
      </w:r>
      <w:r w:rsidR="00204D31" w:rsidRPr="00C84714">
        <w:rPr>
          <w:sz w:val="20"/>
          <w:szCs w:val="20"/>
        </w:rPr>
        <w:t xml:space="preserve"> 1,</w:t>
      </w:r>
      <w:r w:rsidRPr="00C84714">
        <w:rPr>
          <w:sz w:val="20"/>
          <w:szCs w:val="20"/>
        </w:rPr>
        <w:t xml:space="preserve"> 3, 4, 8,</w:t>
      </w:r>
      <w:r w:rsidR="00FA0B0E" w:rsidRPr="00C84714">
        <w:rPr>
          <w:sz w:val="20"/>
          <w:szCs w:val="20"/>
        </w:rPr>
        <w:t xml:space="preserve"> 18,</w:t>
      </w:r>
      <w:r w:rsidR="0043169E" w:rsidRPr="00C84714">
        <w:rPr>
          <w:sz w:val="20"/>
          <w:szCs w:val="20"/>
        </w:rPr>
        <w:t xml:space="preserve"> </w:t>
      </w:r>
      <w:r w:rsidRPr="00C84714">
        <w:rPr>
          <w:sz w:val="20"/>
          <w:szCs w:val="20"/>
        </w:rPr>
        <w:t>22</w:t>
      </w:r>
      <w:r w:rsidR="003A524D" w:rsidRPr="00C84714">
        <w:rPr>
          <w:sz w:val="20"/>
          <w:szCs w:val="20"/>
        </w:rPr>
        <w:t xml:space="preserve"> </w:t>
      </w:r>
      <w:r w:rsidRPr="00C84714">
        <w:rPr>
          <w:sz w:val="20"/>
          <w:szCs w:val="20"/>
        </w:rPr>
        <w:t>b), 27, 28, 30, 31</w:t>
      </w:r>
      <w:r w:rsidR="00204D31" w:rsidRPr="00C84714">
        <w:rPr>
          <w:sz w:val="20"/>
          <w:szCs w:val="20"/>
        </w:rPr>
        <w:t>,</w:t>
      </w:r>
      <w:r w:rsidR="00FA0B0E" w:rsidRPr="00C84714">
        <w:rPr>
          <w:sz w:val="20"/>
          <w:szCs w:val="20"/>
        </w:rPr>
        <w:t xml:space="preserve"> 33</w:t>
      </w:r>
      <w:r w:rsidR="00204D31" w:rsidRPr="00C84714">
        <w:rPr>
          <w:sz w:val="20"/>
          <w:szCs w:val="20"/>
        </w:rPr>
        <w:t xml:space="preserve">, </w:t>
      </w:r>
      <w:r w:rsidR="003012B7" w:rsidRPr="00C84714">
        <w:rPr>
          <w:sz w:val="20"/>
          <w:szCs w:val="20"/>
        </w:rPr>
        <w:t>5</w:t>
      </w:r>
      <w:r w:rsidR="00596A32" w:rsidRPr="0090775D">
        <w:rPr>
          <w:sz w:val="20"/>
          <w:szCs w:val="20"/>
        </w:rPr>
        <w:t>5</w:t>
      </w:r>
      <w:r w:rsidR="00931B71" w:rsidRPr="0090775D">
        <w:rPr>
          <w:sz w:val="20"/>
          <w:szCs w:val="20"/>
          <w:vertAlign w:val="superscript"/>
        </w:rPr>
        <w:footnoteReference w:id="1"/>
      </w:r>
      <w:r w:rsidR="00931B71" w:rsidRPr="0090775D">
        <w:rPr>
          <w:sz w:val="20"/>
          <w:szCs w:val="20"/>
        </w:rPr>
        <w:t>,</w:t>
      </w:r>
      <w:r w:rsidR="00596A32" w:rsidRPr="0090775D">
        <w:rPr>
          <w:sz w:val="20"/>
          <w:szCs w:val="20"/>
        </w:rPr>
        <w:t xml:space="preserve"> 5</w:t>
      </w:r>
      <w:r w:rsidR="003012B7" w:rsidRPr="00C84714">
        <w:rPr>
          <w:sz w:val="20"/>
          <w:szCs w:val="20"/>
        </w:rPr>
        <w:t xml:space="preserve">6, 60, 67, </w:t>
      </w:r>
      <w:r w:rsidR="00204D31" w:rsidRPr="00C84714">
        <w:rPr>
          <w:sz w:val="20"/>
          <w:szCs w:val="20"/>
        </w:rPr>
        <w:t>68 et 69</w:t>
      </w:r>
      <w:r w:rsidRPr="00C84714">
        <w:rPr>
          <w:sz w:val="20"/>
          <w:szCs w:val="20"/>
        </w:rPr>
        <w:t xml:space="preserve"> devront être maintenues et s'appliquer jusqu'en 2024 </w:t>
      </w:r>
      <w:r w:rsidR="003A524D" w:rsidRPr="00C84714">
        <w:rPr>
          <w:sz w:val="20"/>
          <w:szCs w:val="20"/>
        </w:rPr>
        <w:t xml:space="preserve">y </w:t>
      </w:r>
      <w:r w:rsidRPr="00C84714">
        <w:rPr>
          <w:sz w:val="20"/>
          <w:szCs w:val="20"/>
        </w:rPr>
        <w:t>compris.</w:t>
      </w:r>
    </w:p>
    <w:p w14:paraId="0000000E" w14:textId="77777777" w:rsidR="00901E45" w:rsidRPr="00C84714" w:rsidRDefault="00901E45" w:rsidP="00596A32">
      <w:pPr>
        <w:pBdr>
          <w:top w:val="nil"/>
          <w:left w:val="nil"/>
          <w:bottom w:val="nil"/>
          <w:right w:val="nil"/>
          <w:between w:val="nil"/>
        </w:pBdr>
        <w:spacing w:before="1"/>
        <w:ind w:left="1440" w:hanging="425"/>
        <w:jc w:val="both"/>
        <w:rPr>
          <w:sz w:val="20"/>
          <w:szCs w:val="20"/>
        </w:rPr>
      </w:pPr>
    </w:p>
    <w:p w14:paraId="0000000F" w14:textId="45F7F604" w:rsidR="00901E45" w:rsidRPr="00C84714" w:rsidRDefault="002C75DC" w:rsidP="00596A32">
      <w:pPr>
        <w:numPr>
          <w:ilvl w:val="0"/>
          <w:numId w:val="2"/>
        </w:numPr>
        <w:pBdr>
          <w:top w:val="nil"/>
          <w:left w:val="nil"/>
          <w:bottom w:val="nil"/>
          <w:right w:val="nil"/>
          <w:between w:val="nil"/>
        </w:pBdr>
        <w:spacing w:before="1"/>
        <w:ind w:left="851" w:hanging="425"/>
        <w:jc w:val="both"/>
        <w:rPr>
          <w:sz w:val="20"/>
          <w:szCs w:val="20"/>
        </w:rPr>
      </w:pPr>
      <w:r w:rsidRPr="00C84714">
        <w:rPr>
          <w:sz w:val="20"/>
          <w:szCs w:val="20"/>
        </w:rPr>
        <w:t>Le tableau de remboursement de la sur</w:t>
      </w:r>
      <w:r w:rsidRPr="00C84714">
        <w:rPr>
          <w:sz w:val="20"/>
        </w:rPr>
        <w:t xml:space="preserve">consommation de la limite de capture figurant au paragraphe 10 devra être élargi de manière à inclure 2024 dans la colonne </w:t>
      </w:r>
      <w:r w:rsidR="00FA0B0E" w:rsidRPr="00C84714">
        <w:rPr>
          <w:sz w:val="20"/>
        </w:rPr>
        <w:t>« </w:t>
      </w:r>
      <w:r w:rsidRPr="00C84714">
        <w:rPr>
          <w:sz w:val="20"/>
        </w:rPr>
        <w:t>Année de capture</w:t>
      </w:r>
      <w:r w:rsidR="00FA0B0E" w:rsidRPr="00C84714">
        <w:rPr>
          <w:sz w:val="20"/>
        </w:rPr>
        <w:t> »</w:t>
      </w:r>
      <w:r w:rsidRPr="00C84714">
        <w:rPr>
          <w:sz w:val="20"/>
        </w:rPr>
        <w:t xml:space="preserve"> et 2026 dans la colonne</w:t>
      </w:r>
      <w:r w:rsidR="00FA0B0E" w:rsidRPr="00C84714">
        <w:rPr>
          <w:sz w:val="20"/>
        </w:rPr>
        <w:t xml:space="preserve"> « </w:t>
      </w:r>
      <w:r w:rsidRPr="00C84714">
        <w:rPr>
          <w:sz w:val="20"/>
        </w:rPr>
        <w:t>Année d'ajustement</w:t>
      </w:r>
      <w:r w:rsidR="00FA0B0E" w:rsidRPr="00C84714">
        <w:rPr>
          <w:sz w:val="20"/>
        </w:rPr>
        <w:t> »</w:t>
      </w:r>
      <w:r w:rsidRPr="00C84714">
        <w:rPr>
          <w:sz w:val="20"/>
        </w:rPr>
        <w:t>.</w:t>
      </w:r>
    </w:p>
    <w:p w14:paraId="00000010" w14:textId="77777777" w:rsidR="00901E45" w:rsidRPr="00C84714" w:rsidRDefault="00901E45" w:rsidP="00596A32">
      <w:pPr>
        <w:pBdr>
          <w:top w:val="nil"/>
          <w:left w:val="nil"/>
          <w:bottom w:val="nil"/>
          <w:right w:val="nil"/>
          <w:between w:val="nil"/>
        </w:pBdr>
        <w:spacing w:before="1"/>
        <w:ind w:left="1440" w:hanging="425"/>
        <w:jc w:val="both"/>
        <w:rPr>
          <w:sz w:val="20"/>
          <w:szCs w:val="20"/>
        </w:rPr>
      </w:pPr>
    </w:p>
    <w:p w14:paraId="194D9A63" w14:textId="50D1D27D" w:rsidR="00FA0B0E" w:rsidRPr="00C84714" w:rsidRDefault="00FA0B0E" w:rsidP="00596A32">
      <w:pPr>
        <w:numPr>
          <w:ilvl w:val="0"/>
          <w:numId w:val="2"/>
        </w:numPr>
        <w:pBdr>
          <w:top w:val="nil"/>
          <w:left w:val="nil"/>
          <w:bottom w:val="nil"/>
          <w:right w:val="nil"/>
          <w:between w:val="nil"/>
        </w:pBdr>
        <w:spacing w:before="1"/>
        <w:ind w:left="851" w:hanging="425"/>
        <w:jc w:val="both"/>
        <w:rPr>
          <w:sz w:val="20"/>
          <w:szCs w:val="20"/>
        </w:rPr>
      </w:pPr>
      <w:r w:rsidRPr="00C84714">
        <w:rPr>
          <w:sz w:val="20"/>
          <w:szCs w:val="20"/>
        </w:rPr>
        <w:t>Le paragraphe 12 devra être remplacé par le texte suivant : « En ce qui concerne les CPC visées au paragraphe 3 de la Rec. 16-01, la sous-consommation ou la surconsommation d'une limite de capture annuelle en 2022 devra être ajoutée à</w:t>
      </w:r>
      <w:r w:rsidR="00BA7BC5" w:rsidRPr="00C84714">
        <w:rPr>
          <w:sz w:val="20"/>
          <w:szCs w:val="20"/>
        </w:rPr>
        <w:t xml:space="preserve"> ou </w:t>
      </w:r>
      <w:r w:rsidRPr="00C84714">
        <w:rPr>
          <w:sz w:val="20"/>
          <w:szCs w:val="20"/>
        </w:rPr>
        <w:t>déduite de leur limite de capture annuelle de 2024, sous réserve des 10</w:t>
      </w:r>
      <w:r w:rsidR="003A524D" w:rsidRPr="00C84714">
        <w:rPr>
          <w:sz w:val="20"/>
          <w:szCs w:val="20"/>
        </w:rPr>
        <w:t> </w:t>
      </w:r>
      <w:r w:rsidRPr="00C84714">
        <w:rPr>
          <w:sz w:val="20"/>
          <w:szCs w:val="20"/>
        </w:rPr>
        <w:t>% des restrictions du quota initial signalées aux paragraphes 9 a) et 10 de la Rec. 16-01</w:t>
      </w:r>
      <w:r w:rsidR="00C84714" w:rsidRPr="00C84714">
        <w:rPr>
          <w:sz w:val="20"/>
          <w:szCs w:val="20"/>
        </w:rPr>
        <w:t> ».</w:t>
      </w:r>
    </w:p>
    <w:p w14:paraId="023C13E0" w14:textId="77777777" w:rsidR="00FA0B0E" w:rsidRPr="00C84714" w:rsidRDefault="00FA0B0E" w:rsidP="00596A32">
      <w:pPr>
        <w:pBdr>
          <w:top w:val="nil"/>
          <w:left w:val="nil"/>
          <w:bottom w:val="nil"/>
          <w:right w:val="nil"/>
          <w:between w:val="nil"/>
        </w:pBdr>
        <w:spacing w:before="1"/>
        <w:ind w:left="851" w:hanging="425"/>
        <w:jc w:val="both"/>
        <w:rPr>
          <w:sz w:val="20"/>
          <w:szCs w:val="20"/>
        </w:rPr>
      </w:pPr>
    </w:p>
    <w:p w14:paraId="44EBB3AD" w14:textId="68431BB9" w:rsidR="00596A32" w:rsidRPr="00C84714" w:rsidRDefault="00596A32" w:rsidP="00596A32">
      <w:pPr>
        <w:numPr>
          <w:ilvl w:val="0"/>
          <w:numId w:val="2"/>
        </w:numPr>
        <w:pBdr>
          <w:top w:val="nil"/>
          <w:left w:val="nil"/>
          <w:bottom w:val="nil"/>
          <w:right w:val="nil"/>
          <w:between w:val="nil"/>
        </w:pBdr>
        <w:spacing w:before="1"/>
        <w:ind w:left="851" w:hanging="425"/>
        <w:jc w:val="both"/>
        <w:rPr>
          <w:sz w:val="20"/>
          <w:szCs w:val="20"/>
        </w:rPr>
      </w:pPr>
      <w:r w:rsidRPr="00C84714">
        <w:rPr>
          <w:sz w:val="20"/>
          <w:szCs w:val="20"/>
        </w:rPr>
        <w:t>Le paragraphe 28 devra être remplacé par le texte suivant</w:t>
      </w:r>
      <w:r w:rsidR="00660D5F" w:rsidRPr="00C84714">
        <w:rPr>
          <w:sz w:val="20"/>
          <w:szCs w:val="20"/>
        </w:rPr>
        <w:t xml:space="preserve"> : </w:t>
      </w:r>
      <w:r w:rsidRPr="00C84714">
        <w:rPr>
          <w:sz w:val="20"/>
          <w:szCs w:val="20"/>
        </w:rPr>
        <w:t>« Du 1</w:t>
      </w:r>
      <w:r w:rsidRPr="00C84714">
        <w:rPr>
          <w:sz w:val="20"/>
          <w:szCs w:val="20"/>
          <w:vertAlign w:val="superscript"/>
        </w:rPr>
        <w:t>er</w:t>
      </w:r>
      <w:r w:rsidR="00C84714">
        <w:rPr>
          <w:sz w:val="20"/>
          <w:szCs w:val="20"/>
        </w:rPr>
        <w:t xml:space="preserve"> </w:t>
      </w:r>
      <w:r w:rsidRPr="00C84714">
        <w:rPr>
          <w:sz w:val="20"/>
          <w:szCs w:val="20"/>
        </w:rPr>
        <w:t>janvier au 12 mars 2024 dans l’ensemble de la zone de la Convention. Cette disposition devrait être réexaminée et, si nécessaire, révisée en se fondant sur l’avis du SCRS en tenant compte des tendances mensuelles des prises réalisées sur bancs libres et associées aux DCP et de la variabilité mensuelle dans la proportion des thonidés juvéniles dans les captures. Le SCRS devrait fournir cet avis à la Commission en 2024</w:t>
      </w:r>
      <w:r w:rsidR="00C84714">
        <w:rPr>
          <w:sz w:val="20"/>
          <w:szCs w:val="20"/>
        </w:rPr>
        <w:t> ».</w:t>
      </w:r>
    </w:p>
    <w:p w14:paraId="1ADACE6F" w14:textId="77777777" w:rsidR="00596A32" w:rsidRPr="00C84714" w:rsidRDefault="00596A32" w:rsidP="00596A32">
      <w:pPr>
        <w:pBdr>
          <w:top w:val="nil"/>
          <w:left w:val="nil"/>
          <w:bottom w:val="nil"/>
          <w:right w:val="nil"/>
          <w:between w:val="nil"/>
        </w:pBdr>
        <w:spacing w:before="1"/>
        <w:ind w:left="851" w:hanging="425"/>
        <w:jc w:val="both"/>
        <w:rPr>
          <w:sz w:val="20"/>
          <w:szCs w:val="20"/>
        </w:rPr>
      </w:pPr>
    </w:p>
    <w:p w14:paraId="00000014" w14:textId="28AD1FBD" w:rsidR="00901E45" w:rsidRPr="00C84714" w:rsidRDefault="002C75DC" w:rsidP="00660D5F">
      <w:pPr>
        <w:numPr>
          <w:ilvl w:val="0"/>
          <w:numId w:val="2"/>
        </w:numPr>
        <w:pBdr>
          <w:top w:val="nil"/>
          <w:left w:val="nil"/>
          <w:bottom w:val="nil"/>
          <w:right w:val="nil"/>
          <w:between w:val="nil"/>
        </w:pBdr>
        <w:spacing w:before="1"/>
        <w:ind w:left="851" w:hanging="425"/>
        <w:jc w:val="both"/>
        <w:rPr>
          <w:sz w:val="20"/>
          <w:szCs w:val="20"/>
        </w:rPr>
      </w:pPr>
      <w:r w:rsidRPr="00C84714">
        <w:rPr>
          <w:sz w:val="20"/>
        </w:rPr>
        <w:t>La Commission devra examiner en 2024 les mesures de conservation et de gestion pertinentes relatives aux thonidés tropicaux en vigueur.</w:t>
      </w:r>
      <w:bookmarkStart w:id="1" w:name="_heading=h.zhxwf8ajt6r"/>
      <w:bookmarkStart w:id="2" w:name="_heading=h.lq0eo9wp5ub9"/>
      <w:bookmarkEnd w:id="1"/>
      <w:bookmarkEnd w:id="2"/>
    </w:p>
    <w:sectPr w:rsidR="00901E45" w:rsidRPr="00C84714" w:rsidSect="00396AEA">
      <w:footerReference w:type="default" r:id="rId9"/>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BF556" w14:textId="77777777" w:rsidR="003D29D3" w:rsidRDefault="003D29D3">
      <w:r>
        <w:separator/>
      </w:r>
    </w:p>
  </w:endnote>
  <w:endnote w:type="continuationSeparator" w:id="0">
    <w:p w14:paraId="2BBC7FD5" w14:textId="77777777" w:rsidR="003D29D3" w:rsidRDefault="003D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803F9DA" w:rsidR="00901E45" w:rsidRDefault="002C75DC">
    <w:pPr>
      <w:tabs>
        <w:tab w:val="center" w:pos="4252"/>
        <w:tab w:val="right" w:pos="8504"/>
      </w:tabs>
      <w:jc w:val="center"/>
      <w:rPr>
        <w:rFonts w:ascii="Times New Roman" w:eastAsia="Times New Roman" w:hAnsi="Times New Roman" w:cs="Times New Roman"/>
        <w:sz w:val="20"/>
        <w:szCs w:val="20"/>
      </w:rPr>
    </w:pPr>
    <w:r>
      <w:rPr>
        <w:sz w:val="20"/>
      </w:rPr>
      <w:fldChar w:fldCharType="begin"/>
    </w:r>
    <w:r>
      <w:rPr>
        <w:sz w:val="20"/>
      </w:rPr>
      <w:instrText>PAGE</w:instrText>
    </w:r>
    <w:r>
      <w:rPr>
        <w:sz w:val="20"/>
      </w:rPr>
      <w:fldChar w:fldCharType="separate"/>
    </w:r>
    <w:r w:rsidR="00396AEA">
      <w:rPr>
        <w:sz w:val="20"/>
      </w:rPr>
      <w:t>1</w:t>
    </w:r>
    <w:r>
      <w:rPr>
        <w:sz w:val="20"/>
      </w:rPr>
      <w:fldChar w:fldCharType="end"/>
    </w:r>
  </w:p>
  <w:p w14:paraId="00000016" w14:textId="77777777" w:rsidR="00901E45" w:rsidRDefault="00901E4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F032" w14:textId="77777777" w:rsidR="003D29D3" w:rsidRDefault="003D29D3">
      <w:r>
        <w:separator/>
      </w:r>
    </w:p>
  </w:footnote>
  <w:footnote w:type="continuationSeparator" w:id="0">
    <w:p w14:paraId="23EB440C" w14:textId="77777777" w:rsidR="003D29D3" w:rsidRDefault="003D29D3">
      <w:r>
        <w:continuationSeparator/>
      </w:r>
    </w:p>
  </w:footnote>
  <w:footnote w:id="1">
    <w:p w14:paraId="6F3B343A" w14:textId="298A2105" w:rsidR="00931B71" w:rsidRPr="00A92A4C" w:rsidRDefault="00931B71" w:rsidP="00931B71">
      <w:pPr>
        <w:jc w:val="both"/>
        <w:rPr>
          <w:color w:val="000000"/>
          <w:sz w:val="16"/>
          <w:szCs w:val="16"/>
        </w:rPr>
      </w:pPr>
      <w:r w:rsidRPr="00A92A4C">
        <w:rPr>
          <w:vertAlign w:val="superscript"/>
        </w:rPr>
        <w:footnoteRef/>
      </w:r>
      <w:r w:rsidRPr="00A92A4C">
        <w:rPr>
          <w:color w:val="000000"/>
          <w:sz w:val="20"/>
          <w:szCs w:val="20"/>
        </w:rPr>
        <w:t xml:space="preserve"> </w:t>
      </w:r>
      <w:r w:rsidRPr="00A92A4C">
        <w:rPr>
          <w:color w:val="000000"/>
          <w:sz w:val="16"/>
          <w:szCs w:val="16"/>
        </w:rPr>
        <w:t xml:space="preserve">L'avant-dernière phrase du paragraphe 55 de la Rec. 22-01 est modifiée comme suit : </w:t>
      </w:r>
      <w:r w:rsidR="009043BC">
        <w:rPr>
          <w:color w:val="000000"/>
          <w:sz w:val="16"/>
          <w:szCs w:val="16"/>
        </w:rPr>
        <w:t>« </w:t>
      </w:r>
      <w:r w:rsidRPr="00A92A4C">
        <w:rPr>
          <w:color w:val="000000"/>
          <w:sz w:val="16"/>
          <w:szCs w:val="16"/>
        </w:rPr>
        <w:t>En 2024, les CPC sont encouragées à mener des essais de surveillance électronique et à communiquer les résultats au Groupe de travail sur l’EMS et au SCRS en 2024 pour qu'ils les examinent.</w:t>
      </w:r>
      <w:r w:rsidR="009043BC">
        <w:rPr>
          <w:color w:val="000000"/>
          <w:sz w:val="16"/>
          <w:szCs w:val="16"/>
        </w:rPr>
        <w:t> »</w:t>
      </w:r>
      <w:r w:rsidRPr="00A92A4C">
        <w:rPr>
          <w:color w:val="000000"/>
          <w:sz w:val="16"/>
          <w:szCs w:val="16"/>
        </w:rPr>
        <w:t xml:space="preserve"> Le reste du paragraphe 55 tel que reflété dans la Rec. 22-01 demeure inchangé.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B29"/>
    <w:multiLevelType w:val="multilevel"/>
    <w:tmpl w:val="321262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3A40039"/>
    <w:multiLevelType w:val="multilevel"/>
    <w:tmpl w:val="52308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36292478">
    <w:abstractNumId w:val="1"/>
  </w:num>
  <w:num w:numId="2" w16cid:durableId="70432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E45"/>
    <w:rsid w:val="00073496"/>
    <w:rsid w:val="000A543E"/>
    <w:rsid w:val="0012294B"/>
    <w:rsid w:val="00204D31"/>
    <w:rsid w:val="002C40C9"/>
    <w:rsid w:val="002C75DC"/>
    <w:rsid w:val="003012B7"/>
    <w:rsid w:val="00396AEA"/>
    <w:rsid w:val="003A524D"/>
    <w:rsid w:val="003D29D3"/>
    <w:rsid w:val="0043169E"/>
    <w:rsid w:val="004E157B"/>
    <w:rsid w:val="00592102"/>
    <w:rsid w:val="00596A32"/>
    <w:rsid w:val="005E2170"/>
    <w:rsid w:val="00603B17"/>
    <w:rsid w:val="00651BC4"/>
    <w:rsid w:val="00653D37"/>
    <w:rsid w:val="00660D5F"/>
    <w:rsid w:val="00743AEB"/>
    <w:rsid w:val="00885527"/>
    <w:rsid w:val="008B7402"/>
    <w:rsid w:val="008C1CAB"/>
    <w:rsid w:val="00901E45"/>
    <w:rsid w:val="009043BC"/>
    <w:rsid w:val="0090775D"/>
    <w:rsid w:val="00931B71"/>
    <w:rsid w:val="00A70274"/>
    <w:rsid w:val="00A92A4C"/>
    <w:rsid w:val="00BA7BC5"/>
    <w:rsid w:val="00BD0D80"/>
    <w:rsid w:val="00C84714"/>
    <w:rsid w:val="00C9728C"/>
    <w:rsid w:val="00CF2D6C"/>
    <w:rsid w:val="00D01440"/>
    <w:rsid w:val="00E146C3"/>
    <w:rsid w:val="00EE3708"/>
    <w:rsid w:val="00F60271"/>
    <w:rsid w:val="00F62855"/>
    <w:rsid w:val="00FA0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A6A6"/>
  <w15:docId w15:val="{1C2514DB-D059-4133-9DEB-F23937E5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fr-FR"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line="234" w:lineRule="exact"/>
      <w:ind w:left="199" w:right="2080"/>
      <w:jc w:val="center"/>
      <w:outlineLvl w:val="0"/>
    </w:pPr>
    <w:rPr>
      <w:b/>
      <w:bCs/>
      <w:sz w:val="20"/>
      <w:szCs w:val="20"/>
    </w:rPr>
  </w:style>
  <w:style w:type="paragraph" w:styleId="Heading2">
    <w:name w:val="heading 2"/>
    <w:basedOn w:val="Normal"/>
    <w:uiPriority w:val="9"/>
    <w:semiHidden/>
    <w:unhideWhenUsed/>
    <w:qFormat/>
    <w:pPr>
      <w:ind w:left="118"/>
      <w:outlineLvl w:val="1"/>
    </w:pPr>
    <w:rPr>
      <w:b/>
      <w:bCs/>
      <w:sz w:val="20"/>
      <w:szCs w:val="20"/>
    </w:rPr>
  </w:style>
  <w:style w:type="paragraph" w:styleId="Heading3">
    <w:name w:val="heading 3"/>
    <w:basedOn w:val="Normal"/>
    <w:uiPriority w:val="9"/>
    <w:semiHidden/>
    <w:unhideWhenUsed/>
    <w:qFormat/>
    <w:pPr>
      <w:ind w:left="218"/>
      <w:outlineLvl w:val="2"/>
    </w:pPr>
    <w:rPr>
      <w:b/>
      <w:bCs/>
      <w:i/>
      <w:iCs/>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45" w:hanging="428"/>
    </w:pPr>
  </w:style>
  <w:style w:type="paragraph" w:customStyle="1" w:styleId="TableParagraph">
    <w:name w:val="Table Paragraph"/>
    <w:basedOn w:val="Normal"/>
    <w:uiPriority w:val="1"/>
    <w:qFormat/>
  </w:style>
  <w:style w:type="paragraph" w:styleId="Revision">
    <w:name w:val="Revision"/>
    <w:hidden/>
    <w:uiPriority w:val="99"/>
    <w:semiHidden/>
    <w:rsid w:val="00403D2A"/>
    <w:pPr>
      <w:widowControl/>
    </w:pPr>
  </w:style>
  <w:style w:type="paragraph" w:styleId="FootnoteText">
    <w:name w:val="footnote text"/>
    <w:basedOn w:val="Normal"/>
    <w:link w:val="FootnoteTextChar"/>
    <w:uiPriority w:val="99"/>
    <w:unhideWhenUsed/>
    <w:rsid w:val="00641C99"/>
    <w:rPr>
      <w:sz w:val="20"/>
      <w:szCs w:val="20"/>
    </w:rPr>
  </w:style>
  <w:style w:type="character" w:customStyle="1" w:styleId="FootnoteTextChar">
    <w:name w:val="Footnote Text Char"/>
    <w:basedOn w:val="DefaultParagraphFont"/>
    <w:link w:val="FootnoteText"/>
    <w:uiPriority w:val="99"/>
    <w:rsid w:val="00641C99"/>
    <w:rPr>
      <w:rFonts w:ascii="Cambria" w:eastAsia="Cambria" w:hAnsi="Cambria" w:cs="Cambria"/>
      <w:sz w:val="20"/>
      <w:szCs w:val="20"/>
    </w:rPr>
  </w:style>
  <w:style w:type="character" w:styleId="FootnoteReference">
    <w:name w:val="footnote reference"/>
    <w:basedOn w:val="DefaultParagraphFont"/>
    <w:uiPriority w:val="99"/>
    <w:semiHidden/>
    <w:unhideWhenUsed/>
    <w:rsid w:val="00641C99"/>
    <w:rPr>
      <w:vertAlign w:val="superscript"/>
    </w:rPr>
  </w:style>
  <w:style w:type="paragraph" w:styleId="BalloonText">
    <w:name w:val="Balloon Text"/>
    <w:basedOn w:val="Normal"/>
    <w:link w:val="BalloonTextChar"/>
    <w:uiPriority w:val="99"/>
    <w:semiHidden/>
    <w:unhideWhenUsed/>
    <w:rsid w:val="00907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AB5"/>
    <w:rPr>
      <w:rFonts w:ascii="Segoe UI" w:eastAsia="Cambria" w:hAnsi="Segoe UI" w:cs="Segoe UI"/>
      <w:sz w:val="18"/>
      <w:szCs w:val="18"/>
    </w:rPr>
  </w:style>
  <w:style w:type="paragraph" w:styleId="Header">
    <w:name w:val="header"/>
    <w:basedOn w:val="Normal"/>
    <w:link w:val="HeaderChar"/>
    <w:uiPriority w:val="99"/>
    <w:unhideWhenUsed/>
    <w:rsid w:val="00874905"/>
    <w:pPr>
      <w:tabs>
        <w:tab w:val="center" w:pos="4680"/>
        <w:tab w:val="right" w:pos="9360"/>
      </w:tabs>
    </w:pPr>
  </w:style>
  <w:style w:type="character" w:customStyle="1" w:styleId="HeaderChar">
    <w:name w:val="Header Char"/>
    <w:basedOn w:val="DefaultParagraphFont"/>
    <w:link w:val="Header"/>
    <w:uiPriority w:val="99"/>
    <w:rsid w:val="00874905"/>
    <w:rPr>
      <w:rFonts w:ascii="Cambria" w:eastAsia="Cambria" w:hAnsi="Cambria" w:cs="Cambria"/>
    </w:rPr>
  </w:style>
  <w:style w:type="paragraph" w:styleId="Footer">
    <w:name w:val="footer"/>
    <w:basedOn w:val="Normal"/>
    <w:link w:val="FooterChar"/>
    <w:uiPriority w:val="99"/>
    <w:unhideWhenUsed/>
    <w:rsid w:val="00874905"/>
    <w:pPr>
      <w:tabs>
        <w:tab w:val="center" w:pos="4680"/>
        <w:tab w:val="right" w:pos="9360"/>
      </w:tabs>
    </w:pPr>
  </w:style>
  <w:style w:type="character" w:customStyle="1" w:styleId="FooterChar">
    <w:name w:val="Footer Char"/>
    <w:basedOn w:val="DefaultParagraphFont"/>
    <w:link w:val="Footer"/>
    <w:uiPriority w:val="99"/>
    <w:rsid w:val="00874905"/>
    <w:rPr>
      <w:rFonts w:ascii="Cambria" w:eastAsia="Cambria" w:hAnsi="Cambria" w:cs="Cambria"/>
    </w:rPr>
  </w:style>
  <w:style w:type="character" w:styleId="CommentReference">
    <w:name w:val="annotation reference"/>
    <w:basedOn w:val="DefaultParagraphFont"/>
    <w:uiPriority w:val="99"/>
    <w:semiHidden/>
    <w:unhideWhenUsed/>
    <w:rsid w:val="005D2180"/>
    <w:rPr>
      <w:sz w:val="16"/>
      <w:szCs w:val="16"/>
    </w:rPr>
  </w:style>
  <w:style w:type="paragraph" w:styleId="CommentText">
    <w:name w:val="annotation text"/>
    <w:basedOn w:val="Normal"/>
    <w:link w:val="CommentTextChar"/>
    <w:uiPriority w:val="99"/>
    <w:unhideWhenUsed/>
    <w:rsid w:val="00877125"/>
    <w:rPr>
      <w:sz w:val="20"/>
      <w:szCs w:val="20"/>
    </w:rPr>
  </w:style>
  <w:style w:type="character" w:customStyle="1" w:styleId="CommentTextChar">
    <w:name w:val="Comment Text Char"/>
    <w:basedOn w:val="DefaultParagraphFont"/>
    <w:link w:val="CommentText"/>
    <w:uiPriority w:val="99"/>
    <w:rsid w:val="005D2180"/>
    <w:rPr>
      <w:sz w:val="20"/>
      <w:szCs w:val="20"/>
    </w:rPr>
  </w:style>
  <w:style w:type="paragraph" w:styleId="CommentSubject">
    <w:name w:val="annotation subject"/>
    <w:basedOn w:val="CommentText"/>
    <w:next w:val="CommentText"/>
    <w:link w:val="CommentSubjectChar"/>
    <w:uiPriority w:val="99"/>
    <w:semiHidden/>
    <w:unhideWhenUsed/>
    <w:rsid w:val="005D2180"/>
    <w:rPr>
      <w:b/>
      <w:bCs/>
    </w:rPr>
  </w:style>
  <w:style w:type="character" w:customStyle="1" w:styleId="CommentSubjectChar">
    <w:name w:val="Comment Subject Char"/>
    <w:basedOn w:val="CommentTextChar"/>
    <w:link w:val="CommentSubject"/>
    <w:uiPriority w:val="99"/>
    <w:semiHidden/>
    <w:rsid w:val="005D2180"/>
    <w:rPr>
      <w:rFonts w:ascii="Cambria" w:eastAsia="Cambria" w:hAnsi="Cambria" w:cs="Cambria"/>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customStyle="1" w:styleId="Default">
    <w:name w:val="Default"/>
    <w:rsid w:val="00E44386"/>
    <w:pPr>
      <w:widowControl/>
      <w:autoSpaceDE w:val="0"/>
      <w:autoSpaceDN w:val="0"/>
      <w:adjustRightInd w:val="0"/>
    </w:pPr>
    <w:rPr>
      <w:color w:val="000000"/>
      <w:sz w:val="24"/>
      <w:szCs w:val="24"/>
    </w:rPr>
  </w:style>
  <w:style w:type="character" w:styleId="Hyperlink">
    <w:name w:val="Hyperlink"/>
    <w:basedOn w:val="DefaultParagraphFont"/>
    <w:uiPriority w:val="99"/>
    <w:unhideWhenUsed/>
    <w:rsid w:val="008359C3"/>
    <w:rPr>
      <w:color w:val="0000FF" w:themeColor="hyperlink"/>
      <w:u w:val="single"/>
    </w:rPr>
  </w:style>
  <w:style w:type="character" w:customStyle="1" w:styleId="ui-provider">
    <w:name w:val="ui-provider"/>
    <w:basedOn w:val="DefaultParagraphFont"/>
    <w:rsid w:val="00316CF6"/>
  </w:style>
  <w:style w:type="character" w:customStyle="1" w:styleId="UnresolvedMention1">
    <w:name w:val="Unresolved Mention1"/>
    <w:basedOn w:val="DefaultParagraphFont"/>
    <w:uiPriority w:val="99"/>
    <w:semiHidden/>
    <w:unhideWhenUsed/>
    <w:rsid w:val="00295621"/>
    <w:rPr>
      <w:color w:val="605E5C"/>
      <w:shd w:val="clear" w:color="auto" w:fill="E1DFDD"/>
    </w:rPr>
  </w:style>
  <w:style w:type="character" w:customStyle="1" w:styleId="Heading5Char">
    <w:name w:val="Heading 5 Char"/>
    <w:basedOn w:val="DefaultParagraphFont"/>
    <w:link w:val="Heading5"/>
    <w:rsid w:val="0007349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uoXjDDFP1mn+Z+8XrMprezKaqQ==">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72C34D-C40D-4F75-8A52-7B9511C9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auteur</cp:lastModifiedBy>
  <cp:revision>26</cp:revision>
  <dcterms:created xsi:type="dcterms:W3CDTF">2023-11-19T17:41:00Z</dcterms:created>
  <dcterms:modified xsi:type="dcterms:W3CDTF">2023-12-15T08:30:00Z</dcterms:modified>
</cp:coreProperties>
</file>