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9E5CA" w14:textId="04E1B4CD" w:rsidR="00B45716" w:rsidRPr="00B03453" w:rsidRDefault="00B45716" w:rsidP="00B45716">
      <w:pPr>
        <w:pBdr>
          <w:top w:val="double" w:sz="4" w:space="1" w:color="auto"/>
          <w:left w:val="double" w:sz="4" w:space="4" w:color="auto"/>
          <w:bottom w:val="double" w:sz="4" w:space="1" w:color="auto"/>
          <w:right w:val="double" w:sz="4" w:space="4" w:color="auto"/>
        </w:pBdr>
        <w:spacing w:after="160" w:line="259" w:lineRule="auto"/>
        <w:ind w:hanging="1"/>
        <w:contextualSpacing/>
        <w:jc w:val="center"/>
        <w:rPr>
          <w:rFonts w:eastAsia="Calibri" w:cs="Times New Roman"/>
          <w:b/>
          <w:lang w:val="en-US"/>
        </w:rPr>
      </w:pPr>
      <w:r w:rsidRPr="00B03453">
        <w:rPr>
          <w:rFonts w:eastAsia="Calibri" w:cs="Times New Roman"/>
          <w:b/>
          <w:lang w:val="en-US"/>
        </w:rPr>
        <w:t>22-20</w:t>
      </w:r>
      <w:r w:rsidRPr="00B03453">
        <w:rPr>
          <w:rFonts w:eastAsia="Calibri" w:cs="Times New Roman"/>
          <w:b/>
          <w:lang w:val="en-US"/>
        </w:rPr>
        <w:tab/>
      </w:r>
      <w:r w:rsidRPr="00B03453">
        <w:rPr>
          <w:rFonts w:eastAsia="Calibri" w:cs="Times New Roman"/>
          <w:b/>
          <w:lang w:val="en-US"/>
        </w:rPr>
        <w:tab/>
      </w:r>
      <w:r w:rsidRPr="00B03453">
        <w:rPr>
          <w:rFonts w:eastAsia="Calibri" w:cs="Times New Roman"/>
          <w:b/>
          <w:lang w:val="en-US"/>
        </w:rPr>
        <w:tab/>
      </w:r>
      <w:r w:rsidRPr="00B03453">
        <w:rPr>
          <w:rFonts w:eastAsia="Calibri" w:cs="Times New Roman"/>
          <w:b/>
          <w:lang w:val="en-US"/>
        </w:rPr>
        <w:tab/>
      </w:r>
      <w:r w:rsidRPr="00B03453">
        <w:rPr>
          <w:rFonts w:eastAsia="Calibri" w:cs="Times New Roman"/>
          <w:b/>
          <w:lang w:val="en-US"/>
        </w:rPr>
        <w:tab/>
      </w:r>
      <w:r w:rsidRPr="00B03453">
        <w:rPr>
          <w:rFonts w:eastAsia="Calibri" w:cs="Times New Roman"/>
          <w:b/>
          <w:lang w:val="en-US"/>
        </w:rPr>
        <w:tab/>
      </w:r>
      <w:r w:rsidRPr="00B03453">
        <w:rPr>
          <w:rFonts w:eastAsia="Calibri" w:cs="Times New Roman"/>
          <w:b/>
          <w:lang w:val="en-US"/>
        </w:rPr>
        <w:tab/>
      </w:r>
      <w:r w:rsidRPr="00B03453">
        <w:rPr>
          <w:rFonts w:eastAsia="Calibri" w:cs="Times New Roman"/>
          <w:b/>
          <w:lang w:val="en-US"/>
        </w:rPr>
        <w:tab/>
      </w:r>
      <w:r w:rsidRPr="00B03453">
        <w:rPr>
          <w:rFonts w:eastAsia="Calibri" w:cs="Times New Roman"/>
          <w:b/>
          <w:lang w:val="en-US"/>
        </w:rPr>
        <w:tab/>
      </w:r>
      <w:r w:rsidRPr="00B03453">
        <w:rPr>
          <w:rFonts w:eastAsia="Calibri" w:cs="Times New Roman"/>
          <w:b/>
          <w:lang w:val="en-US"/>
        </w:rPr>
        <w:tab/>
      </w:r>
      <w:r w:rsidRPr="00B03453">
        <w:rPr>
          <w:rFonts w:eastAsia="Calibri" w:cs="Times New Roman"/>
          <w:b/>
          <w:lang w:val="en-US"/>
        </w:rPr>
        <w:tab/>
      </w:r>
      <w:r w:rsidRPr="00B03453">
        <w:rPr>
          <w:rFonts w:eastAsia="Calibri" w:cs="Times New Roman"/>
          <w:b/>
          <w:lang w:val="en-US"/>
        </w:rPr>
        <w:tab/>
        <w:t>SWO</w:t>
      </w:r>
    </w:p>
    <w:p w14:paraId="2CD70744" w14:textId="77777777" w:rsidR="00B45716" w:rsidRPr="00B03453" w:rsidRDefault="00F461A6" w:rsidP="00B45716">
      <w:pPr>
        <w:pBdr>
          <w:top w:val="double" w:sz="4" w:space="1" w:color="auto"/>
          <w:left w:val="double" w:sz="4" w:space="4" w:color="auto"/>
          <w:bottom w:val="double" w:sz="4" w:space="1" w:color="auto"/>
          <w:right w:val="double" w:sz="4" w:space="4" w:color="auto"/>
        </w:pBdr>
        <w:spacing w:after="160" w:line="259" w:lineRule="auto"/>
        <w:ind w:hanging="1"/>
        <w:contextualSpacing/>
        <w:jc w:val="center"/>
        <w:rPr>
          <w:rFonts w:eastAsia="Calibri" w:cs="Times New Roman"/>
          <w:b/>
          <w:lang w:val="en-US"/>
        </w:rPr>
      </w:pPr>
      <w:r w:rsidRPr="00B03453">
        <w:rPr>
          <w:rFonts w:eastAsia="Calibri" w:cs="Times New Roman"/>
          <w:b/>
          <w:lang w:val="en-US"/>
        </w:rPr>
        <w:t xml:space="preserve">RECOMENDACIÓN SUPLEMENTARIA DE ICCAT QUE MODIFICA EL ANEXO 1 </w:t>
      </w:r>
    </w:p>
    <w:p w14:paraId="43E3B247" w14:textId="61E1C1DC" w:rsidR="00F461A6" w:rsidRPr="00B03453" w:rsidRDefault="00F461A6" w:rsidP="00B45716">
      <w:pPr>
        <w:pBdr>
          <w:top w:val="double" w:sz="4" w:space="1" w:color="auto"/>
          <w:left w:val="double" w:sz="4" w:space="4" w:color="auto"/>
          <w:bottom w:val="double" w:sz="4" w:space="1" w:color="auto"/>
          <w:right w:val="double" w:sz="4" w:space="4" w:color="auto"/>
        </w:pBdr>
        <w:spacing w:after="160" w:line="259" w:lineRule="auto"/>
        <w:ind w:hanging="1"/>
        <w:contextualSpacing/>
        <w:jc w:val="center"/>
        <w:rPr>
          <w:rFonts w:eastAsia="Calibri" w:cs="Times New Roman"/>
          <w:b/>
          <w:lang w:val="en-US"/>
        </w:rPr>
      </w:pPr>
      <w:r w:rsidRPr="00B03453">
        <w:rPr>
          <w:rFonts w:eastAsia="Calibri" w:cs="Times New Roman"/>
          <w:b/>
          <w:lang w:val="en-US"/>
        </w:rPr>
        <w:t>DE LA RECOMENDACIÓN 16-05 QUE SUSTITUYE A LA RECOMENDACIÓN 13-04 Y ESTABLECE UN PLAN DE RECUPERACIÓN PLURIANUAL PARA EL PEZ ESPADA DEL MEDITERRÁNEO</w:t>
      </w:r>
    </w:p>
    <w:p w14:paraId="7552B9F1" w14:textId="77777777" w:rsidR="006763A5" w:rsidRPr="00B03453" w:rsidRDefault="006763A5" w:rsidP="00B45716">
      <w:pPr>
        <w:pBdr>
          <w:top w:val="double" w:sz="4" w:space="1" w:color="auto"/>
          <w:left w:val="double" w:sz="4" w:space="4" w:color="auto"/>
          <w:bottom w:val="double" w:sz="4" w:space="1" w:color="auto"/>
          <w:right w:val="double" w:sz="4" w:space="4" w:color="auto"/>
        </w:pBdr>
        <w:spacing w:after="160" w:line="259" w:lineRule="auto"/>
        <w:ind w:hanging="1"/>
        <w:contextualSpacing/>
        <w:jc w:val="center"/>
        <w:rPr>
          <w:rFonts w:eastAsia="Calibri" w:cs="Times New Roman"/>
          <w:b/>
          <w:lang w:val="en-US"/>
        </w:rPr>
      </w:pPr>
    </w:p>
    <w:p w14:paraId="7D75CC41" w14:textId="77777777" w:rsidR="006763A5" w:rsidRPr="00B03453" w:rsidRDefault="006763A5" w:rsidP="006763A5">
      <w:pPr>
        <w:rPr>
          <w:b/>
          <w:lang w:val="es-ES"/>
        </w:rPr>
      </w:pPr>
    </w:p>
    <w:p w14:paraId="5670A3D6" w14:textId="1067CE79" w:rsidR="00B45716" w:rsidRPr="00B03453" w:rsidRDefault="006763A5" w:rsidP="00B45716">
      <w:pPr>
        <w:ind w:firstLine="426"/>
        <w:rPr>
          <w:bCs/>
          <w:lang w:val="en-US"/>
        </w:rPr>
      </w:pPr>
      <w:r w:rsidRPr="00B03453">
        <w:rPr>
          <w:bCs/>
          <w:i/>
          <w:iCs/>
          <w:lang w:val="es-ES"/>
        </w:rPr>
        <w:t>OBSERVANDO</w:t>
      </w:r>
      <w:r w:rsidRPr="00B03453">
        <w:rPr>
          <w:b/>
          <w:lang w:val="es-ES"/>
        </w:rPr>
        <w:t xml:space="preserve"> </w:t>
      </w:r>
      <w:r w:rsidRPr="00B03453">
        <w:rPr>
          <w:bCs/>
          <w:lang w:val="es-ES"/>
        </w:rPr>
        <w:t xml:space="preserve">que durante la reunión del Grupo de trabajo de ICCAT sobre medidas de seguimiento integradas (IMM) de junio de 2022, se propuso incluir disposiciones específicas sobre escalas de embarque en los programas conjuntos de inspección (JIS) de </w:t>
      </w:r>
      <w:r w:rsidRPr="00B03453">
        <w:rPr>
          <w:bCs/>
          <w:lang w:val="es-AR"/>
        </w:rPr>
        <w:t xml:space="preserve">atún rojo del este y de pez espada para adecuar los JIS a las disposiciones de la </w:t>
      </w:r>
      <w:r w:rsidR="00B45716" w:rsidRPr="00B03453">
        <w:rPr>
          <w:bCs/>
          <w:lang w:val="es-AR"/>
        </w:rPr>
        <w:t>Organización de Pesca del Atlántico Noroeste (NAFO), la Comisión de Pesca del Atlántico Nordeste (NEAFC) y la Comisión General de Pesca del Mediterráneo (GFCM).</w:t>
      </w:r>
    </w:p>
    <w:p w14:paraId="7E9F3AC4" w14:textId="3A4A3C35" w:rsidR="006763A5" w:rsidRPr="00B03453" w:rsidRDefault="006763A5" w:rsidP="00B45716">
      <w:pPr>
        <w:ind w:firstLine="426"/>
        <w:rPr>
          <w:b/>
          <w:lang w:val="es-ES"/>
        </w:rPr>
      </w:pPr>
    </w:p>
    <w:p w14:paraId="0362E9AB" w14:textId="3F12571B" w:rsidR="006763A5" w:rsidRPr="00B03453" w:rsidRDefault="006106EA" w:rsidP="00B45716">
      <w:pPr>
        <w:ind w:firstLine="426"/>
        <w:rPr>
          <w:bCs/>
          <w:lang w:val="es-ES"/>
        </w:rPr>
      </w:pPr>
      <w:r w:rsidRPr="00B03453">
        <w:rPr>
          <w:bCs/>
          <w:i/>
          <w:iCs/>
          <w:lang w:val="es-ES"/>
        </w:rPr>
        <w:t>OBSERVANDO ADEMÁS</w:t>
      </w:r>
      <w:r w:rsidR="006763A5" w:rsidRPr="00B03453">
        <w:rPr>
          <w:bCs/>
          <w:lang w:val="es-ES"/>
        </w:rPr>
        <w:t xml:space="preserve"> que, en el marco del JIS de atún rojo del este, algunos buques pesqueros no fueron capaces de proporcionar sistemáticamente escalas para permitir a los inspectores de ICCAT subir a bordo con seguridad; </w:t>
      </w:r>
    </w:p>
    <w:p w14:paraId="04AAFE38" w14:textId="77777777" w:rsidR="006763A5" w:rsidRPr="00B03453" w:rsidRDefault="006763A5" w:rsidP="006763A5">
      <w:pPr>
        <w:jc w:val="center"/>
        <w:rPr>
          <w:bCs/>
          <w:lang w:val="es-ES"/>
        </w:rPr>
      </w:pPr>
    </w:p>
    <w:p w14:paraId="2EE76D8E" w14:textId="783B3024" w:rsidR="006763A5" w:rsidRPr="00B03453" w:rsidRDefault="006763A5" w:rsidP="006763A5">
      <w:pPr>
        <w:jc w:val="center"/>
        <w:rPr>
          <w:bCs/>
          <w:lang w:val="es-ES"/>
        </w:rPr>
      </w:pPr>
      <w:r w:rsidRPr="00B03453">
        <w:rPr>
          <w:bCs/>
          <w:lang w:val="es-ES"/>
        </w:rPr>
        <w:t>La COMISIÓN INTERNACIONAL PARA LA CONSERVACIÓN DEL ATÚN ATLÁNTICO</w:t>
      </w:r>
    </w:p>
    <w:p w14:paraId="7F62B7CD" w14:textId="1F816F91" w:rsidR="006763A5" w:rsidRPr="00B03453" w:rsidRDefault="006763A5" w:rsidP="006763A5">
      <w:pPr>
        <w:jc w:val="center"/>
        <w:rPr>
          <w:bCs/>
          <w:lang w:val="es-ES"/>
        </w:rPr>
      </w:pPr>
      <w:r w:rsidRPr="00B03453">
        <w:rPr>
          <w:bCs/>
          <w:lang w:val="es-ES"/>
        </w:rPr>
        <w:t>RECOMIENDA LO SIGUIENTE:</w:t>
      </w:r>
    </w:p>
    <w:p w14:paraId="62ADEB5B" w14:textId="77777777" w:rsidR="006763A5" w:rsidRPr="00B03453" w:rsidRDefault="006763A5" w:rsidP="006763A5">
      <w:pPr>
        <w:rPr>
          <w:b/>
          <w:lang w:val="es-ES"/>
        </w:rPr>
      </w:pPr>
    </w:p>
    <w:p w14:paraId="452AF081" w14:textId="4D101F1C" w:rsidR="006763A5" w:rsidRPr="00B03453" w:rsidRDefault="006763A5" w:rsidP="006763A5">
      <w:pPr>
        <w:ind w:left="426" w:hanging="426"/>
        <w:rPr>
          <w:b/>
          <w:lang w:val="es-ES"/>
        </w:rPr>
      </w:pPr>
      <w:r w:rsidRPr="00B03453">
        <w:rPr>
          <w:bCs/>
          <w:lang w:val="es-ES"/>
        </w:rPr>
        <w:t>1.</w:t>
      </w:r>
      <w:r w:rsidRPr="00B03453">
        <w:rPr>
          <w:b/>
          <w:lang w:val="es-ES"/>
        </w:rPr>
        <w:tab/>
      </w:r>
      <w:r w:rsidRPr="00B03453">
        <w:rPr>
          <w:bCs/>
          <w:lang w:val="es-ES"/>
        </w:rPr>
        <w:t>El Anexo 1 de la Recomendación 16-05 (</w:t>
      </w:r>
      <w:r w:rsidR="00BF7066" w:rsidRPr="00B03453">
        <w:rPr>
          <w:bCs/>
          <w:lang w:val="es-ES"/>
        </w:rPr>
        <w:t>Programa conjunto ICCAT de inspección internacional para el pez espada del Mediterráneo</w:t>
      </w:r>
      <w:r w:rsidRPr="00B03453">
        <w:rPr>
          <w:bCs/>
          <w:lang w:val="es-ES"/>
        </w:rPr>
        <w:t xml:space="preserve">) se </w:t>
      </w:r>
      <w:r w:rsidR="006106EA" w:rsidRPr="00B03453">
        <w:rPr>
          <w:bCs/>
          <w:lang w:val="es-ES"/>
        </w:rPr>
        <w:t>modificará</w:t>
      </w:r>
      <w:r w:rsidRPr="00B03453">
        <w:rPr>
          <w:bCs/>
          <w:lang w:val="es-ES"/>
        </w:rPr>
        <w:t xml:space="preserve"> como sigue:</w:t>
      </w:r>
      <w:r w:rsidRPr="00B03453">
        <w:rPr>
          <w:b/>
          <w:lang w:val="es-ES"/>
        </w:rPr>
        <w:t xml:space="preserve"> </w:t>
      </w:r>
    </w:p>
    <w:p w14:paraId="08ABD4A6" w14:textId="77777777" w:rsidR="006763A5" w:rsidRPr="00B03453" w:rsidRDefault="006763A5" w:rsidP="006763A5">
      <w:pPr>
        <w:ind w:left="851" w:hanging="425"/>
        <w:rPr>
          <w:bCs/>
          <w:lang w:val="es-ES"/>
        </w:rPr>
      </w:pPr>
    </w:p>
    <w:p w14:paraId="1B5954AA" w14:textId="29C9D9FA" w:rsidR="006763A5" w:rsidRPr="00B03453" w:rsidRDefault="006763A5" w:rsidP="006763A5">
      <w:pPr>
        <w:ind w:left="851" w:hanging="425"/>
        <w:rPr>
          <w:bCs/>
          <w:lang w:val="es-ES"/>
        </w:rPr>
      </w:pPr>
      <w:r w:rsidRPr="00B03453">
        <w:rPr>
          <w:bCs/>
          <w:lang w:val="es-ES"/>
        </w:rPr>
        <w:t xml:space="preserve">- </w:t>
      </w:r>
      <w:r w:rsidRPr="00B03453">
        <w:rPr>
          <w:bCs/>
          <w:lang w:val="es-ES"/>
        </w:rPr>
        <w:tab/>
        <w:t xml:space="preserve">Se </w:t>
      </w:r>
      <w:r w:rsidR="006106EA" w:rsidRPr="00B03453">
        <w:rPr>
          <w:bCs/>
          <w:lang w:val="es-ES"/>
        </w:rPr>
        <w:t>añadirá</w:t>
      </w:r>
      <w:r w:rsidRPr="00B03453">
        <w:rPr>
          <w:bCs/>
          <w:lang w:val="es-ES"/>
        </w:rPr>
        <w:t xml:space="preserve"> un nuevo </w:t>
      </w:r>
      <w:r w:rsidR="00BF7066" w:rsidRPr="00B03453">
        <w:rPr>
          <w:bCs/>
          <w:lang w:val="es-ES"/>
        </w:rPr>
        <w:t>sub</w:t>
      </w:r>
      <w:r w:rsidRPr="00B03453">
        <w:rPr>
          <w:bCs/>
          <w:lang w:val="es-ES"/>
        </w:rPr>
        <w:t>párrafo al final de</w:t>
      </w:r>
      <w:r w:rsidR="006106EA" w:rsidRPr="00B03453">
        <w:rPr>
          <w:bCs/>
          <w:lang w:val="es-ES"/>
        </w:rPr>
        <w:t>l párrafo 1 de la</w:t>
      </w:r>
      <w:r w:rsidRPr="00B03453">
        <w:rPr>
          <w:bCs/>
          <w:lang w:val="es-ES"/>
        </w:rPr>
        <w:t xml:space="preserve"> sección 1 (Infracciones graves).</w:t>
      </w:r>
    </w:p>
    <w:p w14:paraId="3FBC08AA" w14:textId="77777777" w:rsidR="006106EA" w:rsidRPr="00B03453" w:rsidRDefault="006106EA" w:rsidP="006763A5">
      <w:pPr>
        <w:ind w:left="851" w:hanging="425"/>
        <w:rPr>
          <w:bCs/>
          <w:lang w:val="es-ES"/>
        </w:rPr>
      </w:pPr>
    </w:p>
    <w:p w14:paraId="25062132" w14:textId="6EDEF5C6" w:rsidR="00F461A6" w:rsidRPr="00B03453" w:rsidRDefault="006763A5" w:rsidP="006763A5">
      <w:pPr>
        <w:ind w:left="851" w:hanging="425"/>
        <w:rPr>
          <w:bCs/>
          <w:lang w:val="es-ES"/>
        </w:rPr>
      </w:pPr>
      <w:r w:rsidRPr="00B03453">
        <w:rPr>
          <w:bCs/>
          <w:lang w:val="es-ES"/>
        </w:rPr>
        <w:t xml:space="preserve">-  </w:t>
      </w:r>
      <w:r w:rsidRPr="00B03453">
        <w:rPr>
          <w:bCs/>
          <w:lang w:val="es-ES"/>
        </w:rPr>
        <w:tab/>
      </w:r>
      <w:r w:rsidR="00BF7066" w:rsidRPr="00B03453">
        <w:rPr>
          <w:bCs/>
          <w:lang w:val="es-ES"/>
        </w:rPr>
        <w:t>E</w:t>
      </w:r>
      <w:r w:rsidR="006106EA" w:rsidRPr="00B03453">
        <w:rPr>
          <w:bCs/>
          <w:lang w:val="es-ES"/>
        </w:rPr>
        <w:t>l</w:t>
      </w:r>
      <w:r w:rsidR="00BF7066" w:rsidRPr="00B03453">
        <w:rPr>
          <w:bCs/>
          <w:lang w:val="es-ES"/>
        </w:rPr>
        <w:t xml:space="preserve"> párrafo 9 de la</w:t>
      </w:r>
      <w:r w:rsidRPr="00B03453">
        <w:rPr>
          <w:bCs/>
          <w:lang w:val="es-ES"/>
        </w:rPr>
        <w:t xml:space="preserve"> sección II, (Realización de las inspecciones) se </w:t>
      </w:r>
      <w:r w:rsidR="006106EA" w:rsidRPr="00B03453">
        <w:rPr>
          <w:bCs/>
          <w:lang w:val="es-ES"/>
        </w:rPr>
        <w:t>modificará</w:t>
      </w:r>
      <w:r w:rsidRPr="00B03453">
        <w:rPr>
          <w:bCs/>
          <w:lang w:val="es-ES"/>
        </w:rPr>
        <w:t xml:space="preserve"> tal y como se indica a continuación.</w:t>
      </w:r>
    </w:p>
    <w:p w14:paraId="46C52ED9" w14:textId="77777777" w:rsidR="006763A5" w:rsidRPr="00B03453" w:rsidRDefault="006763A5" w:rsidP="006763A5">
      <w:pPr>
        <w:ind w:left="851" w:hanging="425"/>
        <w:rPr>
          <w:b/>
          <w:lang w:val="es-ES"/>
        </w:rPr>
      </w:pPr>
    </w:p>
    <w:p w14:paraId="2D6EDE4B" w14:textId="0A096220" w:rsidR="0038036E" w:rsidRPr="00B03453" w:rsidRDefault="0038036E" w:rsidP="0038036E">
      <w:pPr>
        <w:rPr>
          <w:b/>
          <w:lang w:val="es-ES"/>
        </w:rPr>
      </w:pPr>
      <w:r w:rsidRPr="00B03453">
        <w:rPr>
          <w:b/>
          <w:lang w:val="es-ES"/>
        </w:rPr>
        <w:t xml:space="preserve">I. Infracciones graves </w:t>
      </w:r>
    </w:p>
    <w:p w14:paraId="1152A0FD" w14:textId="77777777" w:rsidR="0038036E" w:rsidRPr="00B03453" w:rsidRDefault="0038036E" w:rsidP="0038036E">
      <w:pPr>
        <w:rPr>
          <w:b/>
          <w:lang w:val="es-ES"/>
        </w:rPr>
      </w:pPr>
    </w:p>
    <w:p w14:paraId="29F6D72A" w14:textId="45267B22" w:rsidR="0038036E" w:rsidRPr="00B03453" w:rsidRDefault="0038036E" w:rsidP="006106EA">
      <w:pPr>
        <w:ind w:left="426" w:hanging="426"/>
        <w:rPr>
          <w:lang w:val="es-ES"/>
        </w:rPr>
      </w:pPr>
      <w:r w:rsidRPr="00B03453">
        <w:rPr>
          <w:lang w:val="es-ES"/>
        </w:rPr>
        <w:t xml:space="preserve">1. </w:t>
      </w:r>
      <w:r w:rsidR="006106EA" w:rsidRPr="00B03453">
        <w:rPr>
          <w:lang w:val="es-ES"/>
        </w:rPr>
        <w:tab/>
      </w:r>
      <w:r w:rsidRPr="00B03453">
        <w:rPr>
          <w:lang w:val="es-ES"/>
        </w:rPr>
        <w:t>A efectos de estos procedimientos, se entiende por infracción grave las siguientes infracciones de las disposiciones de las medidas de conservación y ordenación aprobadas por la Comisión:</w:t>
      </w:r>
    </w:p>
    <w:p w14:paraId="7DA92425" w14:textId="77777777" w:rsidR="0038036E" w:rsidRPr="00B03453" w:rsidRDefault="0038036E" w:rsidP="0038036E">
      <w:pPr>
        <w:rPr>
          <w:lang w:val="es-ES"/>
        </w:rPr>
      </w:pPr>
    </w:p>
    <w:p w14:paraId="5CDCA0FE" w14:textId="5B64F260" w:rsidR="0038036E" w:rsidRPr="00B03453" w:rsidRDefault="0038036E" w:rsidP="006106EA">
      <w:pPr>
        <w:ind w:left="709" w:hanging="425"/>
        <w:rPr>
          <w:lang w:val="es-ES"/>
        </w:rPr>
      </w:pPr>
      <w:r w:rsidRPr="00B03453">
        <w:rPr>
          <w:lang w:val="es-ES"/>
        </w:rPr>
        <w:t xml:space="preserve">p) </w:t>
      </w:r>
      <w:r w:rsidR="006106EA" w:rsidRPr="00B03453">
        <w:rPr>
          <w:lang w:val="es-ES"/>
        </w:rPr>
        <w:tab/>
      </w:r>
      <w:r w:rsidRPr="00B03453">
        <w:rPr>
          <w:lang w:val="es-ES"/>
        </w:rPr>
        <w:t xml:space="preserve">No proporcionar a los inspectores de ICCAT una escala de embarque que cumpla los requisitos de la Resolución A.889(21) de la OMI para facilitar el acceso seguro a cualquier buque pesquero que requiera un ascenso de 1,5 </w:t>
      </w:r>
      <w:r w:rsidR="006106EA" w:rsidRPr="00B03453">
        <w:rPr>
          <w:lang w:val="es-ES"/>
        </w:rPr>
        <w:t>m</w:t>
      </w:r>
      <w:r w:rsidRPr="00B03453">
        <w:rPr>
          <w:lang w:val="es-ES"/>
        </w:rPr>
        <w:t xml:space="preserve"> o más.</w:t>
      </w:r>
    </w:p>
    <w:p w14:paraId="17190C5D" w14:textId="77777777" w:rsidR="0038036E" w:rsidRPr="00B03453" w:rsidRDefault="0038036E" w:rsidP="0038036E">
      <w:pPr>
        <w:rPr>
          <w:b/>
          <w:lang w:val="es-ES"/>
        </w:rPr>
      </w:pPr>
    </w:p>
    <w:p w14:paraId="36FC0854" w14:textId="77777777" w:rsidR="0038036E" w:rsidRPr="00B03453" w:rsidRDefault="0038036E" w:rsidP="0038036E">
      <w:pPr>
        <w:rPr>
          <w:b/>
          <w:lang w:val="es-ES"/>
        </w:rPr>
      </w:pPr>
      <w:r w:rsidRPr="00B03453">
        <w:rPr>
          <w:b/>
          <w:lang w:val="es-ES"/>
        </w:rPr>
        <w:t>II. Realización de las inspecciones</w:t>
      </w:r>
    </w:p>
    <w:p w14:paraId="7DD84F5C" w14:textId="77777777" w:rsidR="0038036E" w:rsidRPr="00B03453" w:rsidRDefault="0038036E" w:rsidP="0038036E">
      <w:pPr>
        <w:rPr>
          <w:lang w:val="es-ES"/>
        </w:rPr>
      </w:pPr>
    </w:p>
    <w:p w14:paraId="4C7A9A7F" w14:textId="0CD013F0" w:rsidR="00087507" w:rsidRPr="00B03453" w:rsidRDefault="0038036E" w:rsidP="006106EA">
      <w:pPr>
        <w:ind w:left="284" w:hanging="284"/>
        <w:rPr>
          <w:lang w:val="es-ES"/>
        </w:rPr>
      </w:pPr>
      <w:r w:rsidRPr="00B03453">
        <w:rPr>
          <w:lang w:val="es-ES"/>
        </w:rPr>
        <w:t xml:space="preserve">9. </w:t>
      </w:r>
      <w:r w:rsidR="00087507" w:rsidRPr="00B03453">
        <w:rPr>
          <w:lang w:val="es-ES"/>
        </w:rPr>
        <w:tab/>
      </w:r>
      <w:r w:rsidRPr="00B03453">
        <w:rPr>
          <w:lang w:val="es-ES"/>
        </w:rPr>
        <w:t xml:space="preserve">A reserva de lo establecido en el párrafo 16 de este </w:t>
      </w:r>
      <w:r w:rsidRPr="00B03453">
        <w:rPr>
          <w:b/>
          <w:bCs/>
          <w:lang w:val="es-ES"/>
        </w:rPr>
        <w:t>Anexo</w:t>
      </w:r>
      <w:r w:rsidRPr="00B03453">
        <w:rPr>
          <w:lang w:val="es-ES"/>
        </w:rPr>
        <w:t>, cualquier buque con pabellón de un Gobierno contratante y que se esté dedicando a la pesca de túnidos o especies afines en la zona del Convenio, fuera de aguas bajo jurisdicción nacional, se detendrá cuando un buque que enarbole el banderín de ICCAT descrito en el párrafo 7</w:t>
      </w:r>
      <w:r w:rsidR="006106EA" w:rsidRPr="00B03453">
        <w:rPr>
          <w:lang w:val="es-ES"/>
        </w:rPr>
        <w:t xml:space="preserve"> de este </w:t>
      </w:r>
      <w:r w:rsidR="006106EA" w:rsidRPr="00B03453">
        <w:rPr>
          <w:b/>
          <w:bCs/>
          <w:lang w:val="es-ES"/>
        </w:rPr>
        <w:t>Anexo</w:t>
      </w:r>
      <w:r w:rsidRPr="00B03453">
        <w:rPr>
          <w:lang w:val="es-ES"/>
        </w:rPr>
        <w:t xml:space="preserve"> y que transporte un Inspector ice la señal pertinente del Código Internacional de Señales, a menos que el buque esté realizando maniobras de pesca en ese momento, en cuyo caso se detendrá inmediatamente cuando éstas hayan concluido. El patrón del buque</w:t>
      </w:r>
      <w:r w:rsidR="00087507" w:rsidRPr="00B03453">
        <w:rPr>
          <w:rStyle w:val="FootnoteReference"/>
          <w:lang w:val="es-ES"/>
        </w:rPr>
        <w:footnoteReference w:customMarkFollows="1" w:id="1"/>
        <w:t>*</w:t>
      </w:r>
      <w:r w:rsidRPr="00B03453">
        <w:rPr>
          <w:lang w:val="es-ES"/>
        </w:rPr>
        <w:t xml:space="preserve"> permitirá embarcar al equipo de inspección, tal y como se especifica en el párrafo 10 de este Anexo, y para ello le facilitará una escala de embarque que cumpla los requisitos de la Resolución A.889(21) de la OMI para facilitar un acceso seguro y conveniente a cualquier buque que requiera un ascenso de 1,5 metros o más. </w:t>
      </w:r>
    </w:p>
    <w:p w14:paraId="2935B792" w14:textId="77777777" w:rsidR="00087507" w:rsidRPr="00B03453" w:rsidRDefault="00087507" w:rsidP="006106EA">
      <w:pPr>
        <w:ind w:left="284" w:hanging="284"/>
        <w:rPr>
          <w:lang w:val="es-ES"/>
        </w:rPr>
      </w:pPr>
    </w:p>
    <w:p w14:paraId="6E697C3F" w14:textId="1685E1D7" w:rsidR="0038036E" w:rsidRPr="00B03453" w:rsidRDefault="0038036E" w:rsidP="00087507">
      <w:pPr>
        <w:ind w:left="284"/>
        <w:rPr>
          <w:lang w:val="es-ES"/>
        </w:rPr>
      </w:pPr>
      <w:r w:rsidRPr="00B03453">
        <w:rPr>
          <w:lang w:val="es-ES"/>
        </w:rPr>
        <w:t>El patrón permitirá al equipo de inspección realizar exámenes del equipo, las capturas o de los artes de pesca y de cualquier documento pertinente que el inspector considere necesario para verificar el cumplimiento de las recomendaciones vigentes de la Comisión, en lo que concierne al Estado del pabellón del buque que se está inspeccionando. Además, el inspector podrá solicitar las explicaciones que juzgue convenientes.</w:t>
      </w:r>
    </w:p>
    <w:p w14:paraId="5FD07897" w14:textId="77777777" w:rsidR="0038036E" w:rsidRPr="00B03453" w:rsidRDefault="0038036E" w:rsidP="0038036E">
      <w:pPr>
        <w:rPr>
          <w:lang w:val="es-ES"/>
        </w:rPr>
      </w:pPr>
    </w:p>
    <w:p w14:paraId="2AD7F0B0" w14:textId="77777777" w:rsidR="00095D39" w:rsidRPr="00B03453" w:rsidRDefault="00095D39"/>
    <w:sectPr w:rsidR="00095D39" w:rsidRPr="00B0345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41B27" w14:textId="77777777" w:rsidR="00A8161B" w:rsidRDefault="00A8161B" w:rsidP="0038036E">
      <w:r>
        <w:separator/>
      </w:r>
    </w:p>
  </w:endnote>
  <w:endnote w:type="continuationSeparator" w:id="0">
    <w:p w14:paraId="438E6B31" w14:textId="77777777" w:rsidR="00A8161B" w:rsidRDefault="00A8161B" w:rsidP="0038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B03A" w14:textId="60EAC664" w:rsidR="00D3121C" w:rsidRDefault="00B03453" w:rsidP="00D3121C">
    <w:pPr>
      <w:pStyle w:val="Footer"/>
      <w:jc w:val="center"/>
    </w:pPr>
    <w:sdt>
      <w:sdtPr>
        <w:rPr>
          <w:rFonts w:ascii="Cambria" w:hAnsi="Cambria" w:cs="Calibri"/>
          <w:sz w:val="20"/>
          <w:szCs w:val="20"/>
        </w:rPr>
        <w:id w:val="810910487"/>
        <w:docPartObj>
          <w:docPartGallery w:val="Page Numbers (Top of Page)"/>
          <w:docPartUnique/>
        </w:docPartObj>
      </w:sdtPr>
      <w:sdtEndPr/>
      <w:sdtContent>
        <w:r w:rsidR="006106EA">
          <w:rPr>
            <w:rFonts w:ascii="Cambria" w:hAnsi="Cambria" w:cs="Calibri"/>
            <w:sz w:val="20"/>
            <w:szCs w:val="20"/>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809B2" w14:textId="77777777" w:rsidR="00A8161B" w:rsidRDefault="00A8161B" w:rsidP="0038036E">
      <w:r>
        <w:separator/>
      </w:r>
    </w:p>
  </w:footnote>
  <w:footnote w:type="continuationSeparator" w:id="0">
    <w:p w14:paraId="6E40682D" w14:textId="77777777" w:rsidR="00A8161B" w:rsidRDefault="00A8161B" w:rsidP="0038036E">
      <w:r>
        <w:continuationSeparator/>
      </w:r>
    </w:p>
  </w:footnote>
  <w:footnote w:id="1">
    <w:p w14:paraId="04FA8337" w14:textId="2F83B255" w:rsidR="00087507" w:rsidRPr="00087507" w:rsidRDefault="00087507">
      <w:pPr>
        <w:pStyle w:val="FootnoteText"/>
        <w:rPr>
          <w:lang w:val="es-ES"/>
        </w:rPr>
      </w:pPr>
      <w:r>
        <w:rPr>
          <w:rStyle w:val="FootnoteReference"/>
        </w:rPr>
        <w:t>*</w:t>
      </w:r>
      <w:r>
        <w:t xml:space="preserve"> </w:t>
      </w:r>
      <w:r w:rsidRPr="00A1058F">
        <w:rPr>
          <w:sz w:val="16"/>
          <w:lang w:val="es-ES_tradnl"/>
        </w:rPr>
        <w:t>Patrón se refiere a la persona a cargo del buque.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6E"/>
    <w:rsid w:val="00087507"/>
    <w:rsid w:val="00095D39"/>
    <w:rsid w:val="002E4176"/>
    <w:rsid w:val="0038036E"/>
    <w:rsid w:val="00476D8B"/>
    <w:rsid w:val="006106EA"/>
    <w:rsid w:val="00616DED"/>
    <w:rsid w:val="006763A5"/>
    <w:rsid w:val="00743EF0"/>
    <w:rsid w:val="00767FDF"/>
    <w:rsid w:val="0081045C"/>
    <w:rsid w:val="008A6FDC"/>
    <w:rsid w:val="00945648"/>
    <w:rsid w:val="00A431D0"/>
    <w:rsid w:val="00A8161B"/>
    <w:rsid w:val="00AD5FBD"/>
    <w:rsid w:val="00B03453"/>
    <w:rsid w:val="00B45716"/>
    <w:rsid w:val="00BF7066"/>
    <w:rsid w:val="00C71E50"/>
    <w:rsid w:val="00D4338E"/>
    <w:rsid w:val="00D6559E"/>
    <w:rsid w:val="00F461A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F4652"/>
  <w15:chartTrackingRefBased/>
  <w15:docId w15:val="{E58D5AE3-5787-44A9-AF0C-A518541F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_trad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50"/>
    <w:pPr>
      <w:spacing w:after="0" w:line="240" w:lineRule="auto"/>
      <w:jc w:val="both"/>
    </w:pPr>
    <w:rPr>
      <w:rFonts w:ascii="Cambria" w:hAnsi="Cambria"/>
      <w:kern w:val="0"/>
      <w:sz w:val="20"/>
      <w:lang w:val="tr-T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36E"/>
    <w:pPr>
      <w:tabs>
        <w:tab w:val="center" w:pos="4513"/>
        <w:tab w:val="right" w:pos="9026"/>
      </w:tabs>
      <w:jc w:val="left"/>
    </w:pPr>
    <w:rPr>
      <w:rFonts w:ascii="Calibri" w:eastAsia="Calibri" w:hAnsi="Calibri" w:cs="Times New Roman"/>
      <w:sz w:val="22"/>
      <w:lang w:val="es-ES" w:eastAsia="es-ES"/>
    </w:rPr>
  </w:style>
  <w:style w:type="character" w:customStyle="1" w:styleId="HeaderChar">
    <w:name w:val="Header Char"/>
    <w:basedOn w:val="DefaultParagraphFont"/>
    <w:link w:val="Header"/>
    <w:uiPriority w:val="99"/>
    <w:rsid w:val="0038036E"/>
    <w:rPr>
      <w:rFonts w:ascii="Calibri" w:eastAsia="Calibri" w:hAnsi="Calibri" w:cs="Times New Roman"/>
      <w:kern w:val="0"/>
      <w:lang w:val="es-ES" w:eastAsia="es-ES"/>
      <w14:ligatures w14:val="none"/>
    </w:rPr>
  </w:style>
  <w:style w:type="paragraph" w:styleId="Footer">
    <w:name w:val="footer"/>
    <w:basedOn w:val="Normal"/>
    <w:link w:val="FooterChar"/>
    <w:uiPriority w:val="99"/>
    <w:unhideWhenUsed/>
    <w:rsid w:val="0038036E"/>
    <w:pPr>
      <w:tabs>
        <w:tab w:val="center" w:pos="4513"/>
        <w:tab w:val="right" w:pos="9026"/>
      </w:tabs>
      <w:jc w:val="left"/>
    </w:pPr>
    <w:rPr>
      <w:rFonts w:ascii="Calibri" w:eastAsia="Calibri" w:hAnsi="Calibri" w:cs="Times New Roman"/>
      <w:sz w:val="22"/>
      <w:lang w:val="es-ES" w:eastAsia="es-ES"/>
    </w:rPr>
  </w:style>
  <w:style w:type="character" w:customStyle="1" w:styleId="FooterChar">
    <w:name w:val="Footer Char"/>
    <w:basedOn w:val="DefaultParagraphFont"/>
    <w:link w:val="Footer"/>
    <w:uiPriority w:val="99"/>
    <w:rsid w:val="0038036E"/>
    <w:rPr>
      <w:rFonts w:ascii="Calibri" w:eastAsia="Calibri" w:hAnsi="Calibri" w:cs="Times New Roman"/>
      <w:kern w:val="0"/>
      <w:lang w:val="es-ES" w:eastAsia="es-ES"/>
      <w14:ligatures w14:val="none"/>
    </w:rPr>
  </w:style>
  <w:style w:type="paragraph" w:styleId="ListParagraph">
    <w:name w:val="List Paragraph"/>
    <w:basedOn w:val="Normal"/>
    <w:uiPriority w:val="34"/>
    <w:qFormat/>
    <w:rsid w:val="006763A5"/>
    <w:pPr>
      <w:ind w:left="720"/>
      <w:contextualSpacing/>
    </w:pPr>
  </w:style>
  <w:style w:type="character" w:styleId="FootnoteReference">
    <w:name w:val="footnote reference"/>
    <w:aliases w:val="fr"/>
    <w:basedOn w:val="DefaultParagraphFont"/>
    <w:uiPriority w:val="99"/>
    <w:unhideWhenUsed/>
    <w:rsid w:val="00D4338E"/>
    <w:rPr>
      <w:vertAlign w:val="superscript"/>
    </w:rPr>
  </w:style>
  <w:style w:type="paragraph" w:styleId="FootnoteText">
    <w:name w:val="footnote text"/>
    <w:basedOn w:val="Normal"/>
    <w:link w:val="FootnoteTextChar"/>
    <w:uiPriority w:val="99"/>
    <w:semiHidden/>
    <w:unhideWhenUsed/>
    <w:rsid w:val="00087507"/>
    <w:rPr>
      <w:szCs w:val="20"/>
    </w:rPr>
  </w:style>
  <w:style w:type="character" w:customStyle="1" w:styleId="FootnoteTextChar">
    <w:name w:val="Footnote Text Char"/>
    <w:basedOn w:val="DefaultParagraphFont"/>
    <w:link w:val="FootnoteText"/>
    <w:uiPriority w:val="99"/>
    <w:semiHidden/>
    <w:rsid w:val="00087507"/>
    <w:rPr>
      <w:rFonts w:ascii="Cambria" w:hAnsi="Cambria"/>
      <w:kern w:val="0"/>
      <w:sz w:val="20"/>
      <w:szCs w:val="20"/>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AA131-6D2A-427E-9F66-AC7029C0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2</cp:revision>
  <dcterms:created xsi:type="dcterms:W3CDTF">2023-04-17T12:51:00Z</dcterms:created>
  <dcterms:modified xsi:type="dcterms:W3CDTF">2023-04-17T12:51:00Z</dcterms:modified>
</cp:coreProperties>
</file>