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628BF" w14:textId="1AA92C0E" w:rsidR="00007587" w:rsidRPr="00CE025B" w:rsidRDefault="00007587" w:rsidP="00AE0DF8">
      <w:pPr>
        <w:pBdr>
          <w:top w:val="double" w:sz="4" w:space="1" w:color="auto"/>
          <w:left w:val="double" w:sz="4" w:space="4" w:color="auto"/>
          <w:bottom w:val="double" w:sz="4" w:space="6" w:color="auto"/>
          <w:right w:val="double" w:sz="4" w:space="4" w:color="auto"/>
        </w:pBdr>
        <w:ind w:left="8505" w:hanging="8505"/>
        <w:jc w:val="center"/>
        <w:rPr>
          <w:rFonts w:ascii="Cambria" w:hAnsi="Cambria"/>
          <w:b/>
          <w:bCs/>
          <w:sz w:val="20"/>
          <w:szCs w:val="20"/>
        </w:rPr>
      </w:pPr>
      <w:bookmarkStart w:id="0" w:name="_Hlk130379483"/>
      <w:r w:rsidRPr="00CE025B">
        <w:rPr>
          <w:rFonts w:ascii="Cambria" w:hAnsi="Cambria"/>
          <w:b/>
          <w:bCs/>
          <w:sz w:val="20"/>
          <w:szCs w:val="20"/>
        </w:rPr>
        <w:t>22-20</w:t>
      </w:r>
      <w:r w:rsidRPr="00CE025B">
        <w:rPr>
          <w:rFonts w:ascii="Cambria" w:hAnsi="Cambria"/>
          <w:b/>
          <w:bCs/>
          <w:sz w:val="20"/>
          <w:szCs w:val="20"/>
        </w:rPr>
        <w:tab/>
        <w:t>SWO</w:t>
      </w:r>
    </w:p>
    <w:p w14:paraId="51B575EE" w14:textId="77777777" w:rsidR="00007587" w:rsidRPr="00CE025B" w:rsidRDefault="00007587" w:rsidP="00AE0DF8">
      <w:pPr>
        <w:pBdr>
          <w:top w:val="double" w:sz="4" w:space="1" w:color="auto"/>
          <w:left w:val="double" w:sz="4" w:space="4" w:color="auto"/>
          <w:bottom w:val="double" w:sz="4" w:space="6" w:color="auto"/>
          <w:right w:val="double" w:sz="4" w:space="4" w:color="auto"/>
        </w:pBdr>
        <w:jc w:val="center"/>
        <w:rPr>
          <w:rFonts w:ascii="Cambria" w:hAnsi="Cambria"/>
          <w:b/>
          <w:bCs/>
          <w:sz w:val="20"/>
          <w:szCs w:val="20"/>
        </w:rPr>
      </w:pPr>
    </w:p>
    <w:p w14:paraId="75BCA526" w14:textId="7EBAC6FB" w:rsidR="006817B4" w:rsidRPr="00CE025B" w:rsidRDefault="00075EE5" w:rsidP="00AE0DF8">
      <w:pPr>
        <w:pBdr>
          <w:top w:val="double" w:sz="4" w:space="1" w:color="auto"/>
          <w:left w:val="double" w:sz="4" w:space="4" w:color="auto"/>
          <w:bottom w:val="double" w:sz="4" w:space="6" w:color="auto"/>
          <w:right w:val="double" w:sz="4" w:space="4" w:color="auto"/>
        </w:pBdr>
        <w:jc w:val="center"/>
        <w:rPr>
          <w:rFonts w:ascii="Cambria" w:hAnsi="Cambria" w:cs="Times New Roman"/>
          <w:b/>
          <w:bCs/>
          <w:caps/>
          <w:sz w:val="20"/>
          <w:szCs w:val="20"/>
        </w:rPr>
      </w:pPr>
      <w:r w:rsidRPr="00CE025B">
        <w:rPr>
          <w:rFonts w:ascii="Cambria" w:hAnsi="Cambria"/>
          <w:b/>
          <w:bCs/>
          <w:sz w:val="20"/>
          <w:szCs w:val="20"/>
        </w:rPr>
        <w:t>RECOMMANDATION SUPPLEMENTAIRE DE L’ ICCAT MODIFIANT L’ANNEXE 1 DE LA RECOMMANDATION 16-05 QUI REMPLACE LA RECOMMANDATION 13-04 ET ETABLIT UN PROGRAMME PLURIANNUEL DE RETABLISSEMENT POUR L'ESPADON DE LA MEDITERRANEE</w:t>
      </w:r>
    </w:p>
    <w:bookmarkEnd w:id="0"/>
    <w:p w14:paraId="072A0CF6" w14:textId="77777777" w:rsidR="006817B4" w:rsidRPr="00CE025B" w:rsidRDefault="006817B4" w:rsidP="006817B4">
      <w:pPr>
        <w:jc w:val="both"/>
        <w:rPr>
          <w:rFonts w:ascii="Cambria" w:hAnsi="Cambria" w:cs="Times New Roman"/>
          <w:b/>
          <w:bCs/>
          <w:i/>
          <w:iCs/>
          <w:caps/>
          <w:sz w:val="20"/>
          <w:szCs w:val="20"/>
        </w:rPr>
      </w:pPr>
    </w:p>
    <w:p w14:paraId="6827F2A2" w14:textId="2164A2D6" w:rsidR="006817B4" w:rsidRPr="00CE025B" w:rsidRDefault="006817B4" w:rsidP="006817B4">
      <w:pPr>
        <w:ind w:firstLine="426"/>
        <w:jc w:val="both"/>
        <w:rPr>
          <w:rFonts w:ascii="Cambria" w:hAnsi="Cambria" w:cs="Times New Roman"/>
          <w:sz w:val="20"/>
          <w:szCs w:val="20"/>
        </w:rPr>
      </w:pPr>
      <w:r w:rsidRPr="00CE025B">
        <w:rPr>
          <w:rFonts w:ascii="Cambria" w:hAnsi="Cambria"/>
          <w:i/>
          <w:iCs/>
          <w:sz w:val="20"/>
          <w:szCs w:val="20"/>
        </w:rPr>
        <w:t xml:space="preserve">NOTANT </w:t>
      </w:r>
      <w:r w:rsidR="00AE0DF8" w:rsidRPr="00CE025B">
        <w:rPr>
          <w:rFonts w:ascii="Cambria" w:hAnsi="Cambria"/>
          <w:sz w:val="20"/>
          <w:szCs w:val="20"/>
        </w:rPr>
        <w:t>que</w:t>
      </w:r>
      <w:r w:rsidRPr="00CE025B">
        <w:rPr>
          <w:rFonts w:ascii="Cambria" w:hAnsi="Cambria"/>
          <w:sz w:val="20"/>
          <w:szCs w:val="20"/>
        </w:rPr>
        <w:t xml:space="preserve">, lors de la réunion du Groupe de travail sur les mesures de contrôle intégré (IMM) de l’ICCAT </w:t>
      </w:r>
      <w:r w:rsidR="00AE0DF8" w:rsidRPr="00CE025B">
        <w:rPr>
          <w:rFonts w:ascii="Cambria" w:hAnsi="Cambria"/>
          <w:sz w:val="20"/>
          <w:szCs w:val="20"/>
        </w:rPr>
        <w:t xml:space="preserve">tenue </w:t>
      </w:r>
      <w:r w:rsidRPr="00CE025B">
        <w:rPr>
          <w:rFonts w:ascii="Cambria" w:hAnsi="Cambria"/>
          <w:sz w:val="20"/>
          <w:szCs w:val="20"/>
        </w:rPr>
        <w:t xml:space="preserve">au mois de juin 2022, il a été proposé d’inclure des dispositions spécifiques sur les échelles de coupée dans les programmes d'inspection conjointe (JIS) pour le thon rouge de l’Est et l’espadon afin d’aligner le JIS sur </w:t>
      </w:r>
      <w:r w:rsidR="00007587" w:rsidRPr="00CE025B">
        <w:rPr>
          <w:rFonts w:ascii="Cambria" w:hAnsi="Cambria"/>
          <w:sz w:val="20"/>
          <w:szCs w:val="20"/>
        </w:rPr>
        <w:t>l’Organisation des pêches de l'Atlantique Nord-Ouest (OPANO), la Commission des pêches de l'Atlantique Nord-Est (CPANE) et la Commission générale des pêches pour la Méditerranée (CGPM) ;</w:t>
      </w:r>
    </w:p>
    <w:p w14:paraId="5F941002" w14:textId="77777777" w:rsidR="006817B4" w:rsidRPr="00CE025B" w:rsidRDefault="006817B4" w:rsidP="006817B4">
      <w:pPr>
        <w:ind w:firstLine="426"/>
        <w:jc w:val="both"/>
        <w:rPr>
          <w:rFonts w:ascii="Cambria" w:hAnsi="Cambria" w:cs="Times New Roman"/>
          <w:sz w:val="20"/>
          <w:szCs w:val="20"/>
        </w:rPr>
      </w:pPr>
    </w:p>
    <w:p w14:paraId="4E3710CA" w14:textId="04FCAD70" w:rsidR="006817B4" w:rsidRPr="00CE025B" w:rsidRDefault="006817B4" w:rsidP="006817B4">
      <w:pPr>
        <w:ind w:firstLine="426"/>
        <w:jc w:val="both"/>
        <w:rPr>
          <w:rFonts w:ascii="Cambria" w:hAnsi="Cambria" w:cs="Times New Roman"/>
          <w:sz w:val="20"/>
          <w:szCs w:val="20"/>
        </w:rPr>
      </w:pPr>
      <w:r w:rsidRPr="00CE025B">
        <w:rPr>
          <w:rFonts w:ascii="Cambria" w:hAnsi="Cambria"/>
          <w:i/>
          <w:iCs/>
          <w:sz w:val="20"/>
          <w:szCs w:val="20"/>
        </w:rPr>
        <w:t xml:space="preserve">NOTANT EN OUTRE </w:t>
      </w:r>
      <w:r w:rsidR="00AE0DF8" w:rsidRPr="00CE025B">
        <w:rPr>
          <w:rFonts w:ascii="Cambria" w:hAnsi="Cambria"/>
          <w:sz w:val="20"/>
          <w:szCs w:val="20"/>
        </w:rPr>
        <w:t>que</w:t>
      </w:r>
      <w:r w:rsidRPr="00CE025B">
        <w:rPr>
          <w:rFonts w:ascii="Cambria" w:hAnsi="Cambria"/>
          <w:i/>
          <w:iCs/>
          <w:sz w:val="20"/>
          <w:szCs w:val="20"/>
        </w:rPr>
        <w:t>,</w:t>
      </w:r>
      <w:r w:rsidRPr="00CE025B">
        <w:rPr>
          <w:rFonts w:ascii="Cambria" w:hAnsi="Cambria"/>
          <w:sz w:val="20"/>
          <w:szCs w:val="20"/>
        </w:rPr>
        <w:t xml:space="preserve"> dans le cadre du JIS pour le thon rouge de l’Est, certains navires de pêche n’étaient pas en mesure de fournir systématiquement des échelles pour permettre aux inspecteurs de l’ICCAT d’embarquer en toute sécurité</w:t>
      </w:r>
      <w:r w:rsidR="00007587" w:rsidRPr="00CE025B">
        <w:rPr>
          <w:rFonts w:ascii="Cambria" w:hAnsi="Cambria"/>
          <w:sz w:val="20"/>
          <w:szCs w:val="20"/>
        </w:rPr>
        <w:t> ;</w:t>
      </w:r>
    </w:p>
    <w:p w14:paraId="318BFD16" w14:textId="77777777" w:rsidR="006817B4" w:rsidRPr="00CE025B" w:rsidRDefault="006817B4" w:rsidP="006817B4">
      <w:pPr>
        <w:jc w:val="center"/>
        <w:rPr>
          <w:rFonts w:ascii="Cambria" w:hAnsi="Cambria" w:cs="Times New Roman"/>
          <w:sz w:val="20"/>
          <w:szCs w:val="20"/>
        </w:rPr>
      </w:pPr>
    </w:p>
    <w:p w14:paraId="009F5D97" w14:textId="77777777" w:rsidR="006817B4" w:rsidRPr="00CE025B" w:rsidRDefault="006817B4" w:rsidP="006817B4">
      <w:pPr>
        <w:jc w:val="center"/>
        <w:rPr>
          <w:rFonts w:ascii="Cambria" w:hAnsi="Cambria" w:cs="Times New Roman"/>
          <w:sz w:val="20"/>
          <w:szCs w:val="20"/>
        </w:rPr>
      </w:pPr>
      <w:r w:rsidRPr="00CE025B">
        <w:rPr>
          <w:rFonts w:ascii="Cambria" w:hAnsi="Cambria"/>
          <w:sz w:val="20"/>
          <w:szCs w:val="20"/>
        </w:rPr>
        <w:t xml:space="preserve">LA COMMISSION INTERNATIONALE POUR LA CONSERVATION DES THONIDÉS DE L'ATLANTIQUE </w:t>
      </w:r>
    </w:p>
    <w:p w14:paraId="6278F774" w14:textId="5EB27E2D" w:rsidR="006817B4" w:rsidRPr="00CE025B" w:rsidRDefault="006817B4" w:rsidP="006817B4">
      <w:pPr>
        <w:jc w:val="center"/>
        <w:rPr>
          <w:rFonts w:ascii="Cambria" w:hAnsi="Cambria" w:cs="Times New Roman"/>
          <w:sz w:val="20"/>
          <w:szCs w:val="20"/>
        </w:rPr>
      </w:pPr>
      <w:r w:rsidRPr="00CE025B">
        <w:rPr>
          <w:rFonts w:ascii="Cambria" w:hAnsi="Cambria"/>
          <w:sz w:val="20"/>
          <w:szCs w:val="20"/>
        </w:rPr>
        <w:t>RECOMMANDE CE QUI SUIT :</w:t>
      </w:r>
    </w:p>
    <w:p w14:paraId="06AE2E80" w14:textId="77777777" w:rsidR="006817B4" w:rsidRPr="00CE025B" w:rsidRDefault="006817B4" w:rsidP="006817B4">
      <w:pPr>
        <w:jc w:val="both"/>
        <w:rPr>
          <w:rFonts w:ascii="Cambria" w:hAnsi="Cambria" w:cs="Times New Roman"/>
          <w:sz w:val="20"/>
          <w:szCs w:val="20"/>
        </w:rPr>
      </w:pPr>
    </w:p>
    <w:p w14:paraId="633AA277" w14:textId="7A3CC877" w:rsidR="006817B4" w:rsidRPr="00CE025B" w:rsidRDefault="00007587" w:rsidP="00007587">
      <w:pPr>
        <w:ind w:left="426" w:hanging="426"/>
        <w:jc w:val="both"/>
        <w:rPr>
          <w:rFonts w:ascii="Cambria" w:hAnsi="Cambria"/>
          <w:sz w:val="20"/>
          <w:szCs w:val="20"/>
        </w:rPr>
      </w:pPr>
      <w:r w:rsidRPr="00CE025B">
        <w:rPr>
          <w:rFonts w:ascii="Cambria" w:hAnsi="Cambria"/>
          <w:sz w:val="20"/>
          <w:szCs w:val="20"/>
        </w:rPr>
        <w:t>1.</w:t>
      </w:r>
      <w:r w:rsidRPr="00CE025B">
        <w:rPr>
          <w:rFonts w:ascii="Cambria" w:hAnsi="Cambria"/>
          <w:sz w:val="20"/>
          <w:szCs w:val="20"/>
        </w:rPr>
        <w:tab/>
      </w:r>
      <w:r w:rsidR="006817B4" w:rsidRPr="00CE025B">
        <w:rPr>
          <w:rFonts w:ascii="Cambria" w:hAnsi="Cambria"/>
          <w:sz w:val="20"/>
          <w:szCs w:val="20"/>
        </w:rPr>
        <w:t>L’</w:t>
      </w:r>
      <w:r w:rsidRPr="00CE025B">
        <w:rPr>
          <w:rFonts w:ascii="Cambria" w:hAnsi="Cambria"/>
          <w:sz w:val="20"/>
          <w:szCs w:val="20"/>
        </w:rPr>
        <w:t>a</w:t>
      </w:r>
      <w:r w:rsidR="006817B4" w:rsidRPr="00CE025B">
        <w:rPr>
          <w:rFonts w:ascii="Cambria" w:hAnsi="Cambria"/>
          <w:sz w:val="20"/>
          <w:szCs w:val="20"/>
        </w:rPr>
        <w:t>nnexe 1 de la Recommandation 16-05 (Programme ICCAT d’inspection internationale conjointe pour l’espadon de la Méditerranée) devra être modifiée comme suit</w:t>
      </w:r>
      <w:r w:rsidRPr="00CE025B">
        <w:rPr>
          <w:rFonts w:ascii="Cambria" w:hAnsi="Cambria"/>
          <w:sz w:val="20"/>
          <w:szCs w:val="20"/>
        </w:rPr>
        <w:t> :</w:t>
      </w:r>
    </w:p>
    <w:p w14:paraId="08E3744C" w14:textId="77777777" w:rsidR="00007587" w:rsidRPr="00CE025B" w:rsidRDefault="00007587" w:rsidP="00007587">
      <w:pPr>
        <w:ind w:left="426" w:hanging="426"/>
        <w:jc w:val="both"/>
        <w:rPr>
          <w:rFonts w:ascii="Cambria" w:hAnsi="Cambria" w:cs="Times New Roman"/>
          <w:sz w:val="20"/>
          <w:szCs w:val="20"/>
        </w:rPr>
      </w:pPr>
    </w:p>
    <w:p w14:paraId="75F85D68" w14:textId="4846C224" w:rsidR="006817B4" w:rsidRPr="00CE025B" w:rsidRDefault="006817B4" w:rsidP="00007587">
      <w:pPr>
        <w:pStyle w:val="ListParagraph"/>
        <w:numPr>
          <w:ilvl w:val="0"/>
          <w:numId w:val="2"/>
        </w:numPr>
        <w:spacing w:after="0" w:line="240" w:lineRule="auto"/>
        <w:ind w:left="851" w:hanging="425"/>
        <w:jc w:val="both"/>
        <w:rPr>
          <w:rFonts w:ascii="Cambria" w:hAnsi="Cambria" w:cs="Times New Roman"/>
          <w:sz w:val="20"/>
          <w:szCs w:val="20"/>
        </w:rPr>
      </w:pPr>
      <w:r w:rsidRPr="00CE025B">
        <w:rPr>
          <w:rFonts w:ascii="Cambria" w:hAnsi="Cambria"/>
          <w:sz w:val="20"/>
          <w:szCs w:val="20"/>
        </w:rPr>
        <w:t>Un nouve</w:t>
      </w:r>
      <w:r w:rsidR="00AE0DF8" w:rsidRPr="00CE025B">
        <w:rPr>
          <w:rFonts w:ascii="Cambria" w:hAnsi="Cambria"/>
          <w:sz w:val="20"/>
          <w:szCs w:val="20"/>
        </w:rPr>
        <w:t>au</w:t>
      </w:r>
      <w:r w:rsidRPr="00CE025B">
        <w:rPr>
          <w:rFonts w:ascii="Cambria" w:hAnsi="Cambria"/>
          <w:sz w:val="20"/>
          <w:szCs w:val="20"/>
        </w:rPr>
        <w:t xml:space="preserve"> sous-paragraphe devra être ajouté à la fin de la section 1, paragraphe 1 (Infractions graves).</w:t>
      </w:r>
    </w:p>
    <w:p w14:paraId="02B562D8" w14:textId="095E72A9" w:rsidR="006817B4" w:rsidRPr="00CE025B" w:rsidRDefault="006817B4" w:rsidP="00007587">
      <w:pPr>
        <w:pStyle w:val="ListParagraph"/>
        <w:numPr>
          <w:ilvl w:val="0"/>
          <w:numId w:val="2"/>
        </w:numPr>
        <w:spacing w:after="0" w:line="240" w:lineRule="auto"/>
        <w:ind w:left="851" w:hanging="425"/>
        <w:jc w:val="both"/>
        <w:rPr>
          <w:rFonts w:ascii="Cambria" w:hAnsi="Cambria" w:cs="Times New Roman"/>
          <w:sz w:val="20"/>
          <w:szCs w:val="20"/>
        </w:rPr>
      </w:pPr>
      <w:r w:rsidRPr="00CE025B">
        <w:rPr>
          <w:rFonts w:ascii="Cambria" w:hAnsi="Cambria"/>
          <w:sz w:val="20"/>
          <w:szCs w:val="20"/>
        </w:rPr>
        <w:t xml:space="preserve">La section II, paragraphe </w:t>
      </w:r>
      <w:r w:rsidR="00AE0DF8" w:rsidRPr="00CE025B">
        <w:rPr>
          <w:rFonts w:ascii="Cambria" w:hAnsi="Cambria"/>
          <w:sz w:val="20"/>
          <w:szCs w:val="20"/>
        </w:rPr>
        <w:t xml:space="preserve">9 </w:t>
      </w:r>
      <w:r w:rsidRPr="00CE025B">
        <w:rPr>
          <w:rFonts w:ascii="Cambria" w:hAnsi="Cambria"/>
          <w:sz w:val="20"/>
          <w:szCs w:val="20"/>
        </w:rPr>
        <w:t>(Conduite des inspections)</w:t>
      </w:r>
      <w:r w:rsidR="00AE0DF8" w:rsidRPr="00CE025B">
        <w:rPr>
          <w:rFonts w:ascii="Cambria" w:hAnsi="Cambria"/>
          <w:sz w:val="20"/>
          <w:szCs w:val="20"/>
        </w:rPr>
        <w:t xml:space="preserve">, </w:t>
      </w:r>
      <w:r w:rsidRPr="00CE025B">
        <w:rPr>
          <w:rFonts w:ascii="Cambria" w:hAnsi="Cambria"/>
          <w:sz w:val="20"/>
          <w:szCs w:val="20"/>
        </w:rPr>
        <w:t>devra être modifiée comme suit.</w:t>
      </w:r>
    </w:p>
    <w:p w14:paraId="15115ADC" w14:textId="77777777" w:rsidR="006817B4" w:rsidRPr="00CE025B" w:rsidRDefault="006817B4" w:rsidP="006817B4">
      <w:pPr>
        <w:pStyle w:val="ListParagraph"/>
        <w:spacing w:after="0" w:line="240" w:lineRule="auto"/>
        <w:jc w:val="both"/>
        <w:rPr>
          <w:rFonts w:ascii="Cambria" w:hAnsi="Cambria" w:cs="Times New Roman"/>
          <w:sz w:val="20"/>
          <w:szCs w:val="20"/>
        </w:rPr>
      </w:pPr>
    </w:p>
    <w:p w14:paraId="55D75FDF" w14:textId="5D92AC07" w:rsidR="006817B4" w:rsidRPr="00CE025B" w:rsidRDefault="006817B4" w:rsidP="006817B4">
      <w:pPr>
        <w:jc w:val="both"/>
        <w:rPr>
          <w:rFonts w:ascii="Cambria" w:hAnsi="Cambria" w:cs="Times New Roman"/>
          <w:b/>
          <w:sz w:val="20"/>
          <w:szCs w:val="20"/>
        </w:rPr>
      </w:pPr>
      <w:r w:rsidRPr="00CE025B">
        <w:rPr>
          <w:rFonts w:ascii="Cambria" w:hAnsi="Cambria"/>
          <w:b/>
          <w:sz w:val="20"/>
          <w:szCs w:val="20"/>
        </w:rPr>
        <w:t>I. Infractions graves</w:t>
      </w:r>
    </w:p>
    <w:p w14:paraId="4285BF75" w14:textId="77777777" w:rsidR="006817B4" w:rsidRPr="00CE025B" w:rsidRDefault="006817B4" w:rsidP="006817B4">
      <w:pPr>
        <w:jc w:val="both"/>
        <w:rPr>
          <w:rFonts w:ascii="Cambria" w:hAnsi="Cambria" w:cs="Times New Roman"/>
          <w:b/>
          <w:sz w:val="20"/>
          <w:szCs w:val="20"/>
        </w:rPr>
      </w:pPr>
    </w:p>
    <w:p w14:paraId="200ED65B" w14:textId="7DB49A6C" w:rsidR="006817B4" w:rsidRPr="00CE025B" w:rsidRDefault="006817B4" w:rsidP="00007587">
      <w:pPr>
        <w:ind w:left="426" w:hanging="426"/>
        <w:jc w:val="both"/>
        <w:rPr>
          <w:rFonts w:ascii="Cambria" w:hAnsi="Cambria" w:cs="Times New Roman"/>
          <w:sz w:val="20"/>
          <w:szCs w:val="20"/>
        </w:rPr>
      </w:pPr>
      <w:r w:rsidRPr="00CE025B">
        <w:rPr>
          <w:rFonts w:ascii="Cambria" w:hAnsi="Cambria"/>
          <w:sz w:val="20"/>
          <w:szCs w:val="20"/>
        </w:rPr>
        <w:t xml:space="preserve">1. </w:t>
      </w:r>
      <w:r w:rsidR="00007587" w:rsidRPr="00CE025B">
        <w:rPr>
          <w:rFonts w:ascii="Cambria" w:hAnsi="Cambria"/>
          <w:sz w:val="20"/>
          <w:szCs w:val="20"/>
        </w:rPr>
        <w:tab/>
      </w:r>
      <w:r w:rsidRPr="00CE025B">
        <w:rPr>
          <w:rFonts w:ascii="Cambria" w:hAnsi="Cambria"/>
          <w:sz w:val="20"/>
          <w:szCs w:val="20"/>
        </w:rPr>
        <w:t>Aux fins des présentes procédures, les infractions suivantes aux dispositions des mesures de conservation et de gestion de l’ICCAT adoptées par la Commission constitueront une « infraction grave » :</w:t>
      </w:r>
    </w:p>
    <w:p w14:paraId="34D6F459" w14:textId="77777777" w:rsidR="006817B4" w:rsidRPr="00CE025B" w:rsidRDefault="006817B4" w:rsidP="006817B4">
      <w:pPr>
        <w:jc w:val="both"/>
        <w:rPr>
          <w:rFonts w:ascii="Cambria" w:hAnsi="Cambria" w:cs="Times New Roman"/>
          <w:sz w:val="20"/>
          <w:szCs w:val="20"/>
        </w:rPr>
      </w:pPr>
    </w:p>
    <w:p w14:paraId="3568CC4E" w14:textId="456E4E21" w:rsidR="006817B4" w:rsidRPr="00CE025B" w:rsidRDefault="006817B4" w:rsidP="00007587">
      <w:pPr>
        <w:ind w:left="426" w:hanging="426"/>
        <w:jc w:val="both"/>
        <w:rPr>
          <w:rFonts w:ascii="Cambria" w:hAnsi="Cambria" w:cs="Times New Roman"/>
          <w:sz w:val="20"/>
          <w:szCs w:val="20"/>
        </w:rPr>
      </w:pPr>
      <w:r w:rsidRPr="00CE025B">
        <w:rPr>
          <w:rFonts w:ascii="Cambria" w:hAnsi="Cambria"/>
          <w:sz w:val="20"/>
          <w:szCs w:val="20"/>
        </w:rPr>
        <w:t xml:space="preserve">p) </w:t>
      </w:r>
      <w:r w:rsidR="00007587" w:rsidRPr="00CE025B">
        <w:rPr>
          <w:rFonts w:ascii="Cambria" w:hAnsi="Cambria"/>
          <w:sz w:val="20"/>
          <w:szCs w:val="20"/>
        </w:rPr>
        <w:tab/>
      </w:r>
      <w:r w:rsidRPr="00CE025B">
        <w:rPr>
          <w:rFonts w:ascii="Cambria" w:hAnsi="Cambria"/>
          <w:sz w:val="20"/>
          <w:szCs w:val="20"/>
        </w:rPr>
        <w:t>Ne pas fournir aux inspecteurs de l'ICCAT une échelle de coupée répondant aux exigences de la Résolution A.889(21) de l’OMI pour faciliter l'accès en toute sécurité à tout navire de pêche nécessitant une montée de 1,5 mètre ou plus.</w:t>
      </w:r>
    </w:p>
    <w:p w14:paraId="69FE2B32" w14:textId="77777777" w:rsidR="00AE0DF8" w:rsidRPr="00CE025B" w:rsidRDefault="00AE0DF8" w:rsidP="006817B4">
      <w:pPr>
        <w:jc w:val="both"/>
        <w:rPr>
          <w:rFonts w:ascii="Cambria" w:hAnsi="Cambria" w:cs="Times New Roman"/>
          <w:b/>
          <w:sz w:val="20"/>
          <w:szCs w:val="20"/>
        </w:rPr>
      </w:pPr>
    </w:p>
    <w:p w14:paraId="17BA30E7" w14:textId="77777777" w:rsidR="006817B4" w:rsidRPr="00CE025B" w:rsidRDefault="006817B4" w:rsidP="006817B4">
      <w:pPr>
        <w:jc w:val="both"/>
        <w:rPr>
          <w:rFonts w:ascii="Cambria" w:hAnsi="Cambria" w:cs="Times New Roman"/>
          <w:b/>
          <w:sz w:val="20"/>
          <w:szCs w:val="20"/>
        </w:rPr>
      </w:pPr>
      <w:r w:rsidRPr="00CE025B">
        <w:rPr>
          <w:rFonts w:ascii="Cambria" w:hAnsi="Cambria"/>
          <w:b/>
          <w:sz w:val="20"/>
          <w:szCs w:val="20"/>
        </w:rPr>
        <w:t>II. Conduite des inspections</w:t>
      </w:r>
    </w:p>
    <w:p w14:paraId="5CF2DB2B" w14:textId="77777777" w:rsidR="006817B4" w:rsidRPr="00CE025B" w:rsidRDefault="006817B4" w:rsidP="006817B4">
      <w:pPr>
        <w:jc w:val="both"/>
        <w:rPr>
          <w:rFonts w:ascii="Cambria" w:hAnsi="Cambria" w:cs="Times New Roman"/>
          <w:sz w:val="20"/>
          <w:szCs w:val="20"/>
        </w:rPr>
      </w:pPr>
    </w:p>
    <w:p w14:paraId="17C08C9E" w14:textId="33B8347C" w:rsidR="00700797" w:rsidRPr="00CE025B" w:rsidRDefault="006817B4" w:rsidP="00F16726">
      <w:pPr>
        <w:ind w:left="426" w:hanging="426"/>
        <w:jc w:val="both"/>
        <w:rPr>
          <w:rFonts w:ascii="Cambria" w:hAnsi="Cambria" w:cs="Times New Roman"/>
          <w:sz w:val="20"/>
          <w:szCs w:val="20"/>
        </w:rPr>
      </w:pPr>
      <w:r w:rsidRPr="00CE025B">
        <w:rPr>
          <w:rFonts w:ascii="Cambria" w:hAnsi="Cambria"/>
          <w:sz w:val="20"/>
          <w:szCs w:val="20"/>
        </w:rPr>
        <w:t xml:space="preserve">9. </w:t>
      </w:r>
      <w:r w:rsidR="00007587" w:rsidRPr="00CE025B">
        <w:rPr>
          <w:rFonts w:ascii="Cambria" w:hAnsi="Cambria"/>
          <w:sz w:val="20"/>
          <w:szCs w:val="20"/>
        </w:rPr>
        <w:tab/>
      </w:r>
      <w:r w:rsidRPr="00CE025B">
        <w:rPr>
          <w:rFonts w:ascii="Cambria" w:hAnsi="Cambria"/>
          <w:sz w:val="20"/>
          <w:szCs w:val="20"/>
        </w:rPr>
        <w:t xml:space="preserve">Sous réserve des dispositions du paragraphe 16 de la présente </w:t>
      </w:r>
      <w:r w:rsidR="00AE0DF8" w:rsidRPr="00CE025B">
        <w:rPr>
          <w:rFonts w:ascii="Cambria" w:hAnsi="Cambria"/>
          <w:b/>
          <w:bCs/>
          <w:sz w:val="20"/>
          <w:szCs w:val="20"/>
        </w:rPr>
        <w:t>annexe</w:t>
      </w:r>
      <w:r w:rsidRPr="00CE025B">
        <w:rPr>
          <w:rFonts w:ascii="Cambria" w:hAnsi="Cambria"/>
          <w:sz w:val="20"/>
          <w:szCs w:val="20"/>
        </w:rPr>
        <w:t xml:space="preserve">, tout navire battant le pavillon d’un gouvernement contractant et se livrant à la pêche de thonidés ou d’espèces voisines dans la zone de la Convention, hors des eaux relevant de la juridiction nationale, devra s’arrêter quand il en aura reçu l'ordre, au moyen du code international des signaux, d'un navire arborant le guidon de l’ICCAT décrit au paragraphe 7 </w:t>
      </w:r>
      <w:r w:rsidR="00AE0DF8" w:rsidRPr="00CE025B">
        <w:rPr>
          <w:rFonts w:ascii="Cambria" w:hAnsi="Cambria"/>
          <w:sz w:val="20"/>
          <w:szCs w:val="20"/>
        </w:rPr>
        <w:t xml:space="preserve">de la présente </w:t>
      </w:r>
      <w:r w:rsidR="00AE0DF8" w:rsidRPr="00CE025B">
        <w:rPr>
          <w:rFonts w:ascii="Cambria" w:hAnsi="Cambria"/>
          <w:b/>
          <w:bCs/>
          <w:sz w:val="20"/>
          <w:szCs w:val="20"/>
        </w:rPr>
        <w:t>annexe</w:t>
      </w:r>
      <w:r w:rsidR="00AE0DF8" w:rsidRPr="00CE025B">
        <w:rPr>
          <w:rFonts w:ascii="Cambria" w:hAnsi="Cambria"/>
          <w:sz w:val="20"/>
          <w:szCs w:val="20"/>
        </w:rPr>
        <w:t xml:space="preserve"> </w:t>
      </w:r>
      <w:r w:rsidRPr="00CE025B">
        <w:rPr>
          <w:rFonts w:ascii="Cambria" w:hAnsi="Cambria"/>
          <w:sz w:val="20"/>
          <w:szCs w:val="20"/>
        </w:rPr>
        <w:t>et ayant à son bord un inspecteur, à moins qu'il ne se trouve à ce moment-là en train de réaliser une opération de pêche, auquel cas il devra s’arrêter dès la fin de l’opération. Le capitaine</w:t>
      </w:r>
      <w:r w:rsidR="00AE0DF8" w:rsidRPr="00CE025B">
        <w:rPr>
          <w:rStyle w:val="FootnoteReference"/>
          <w:rFonts w:ascii="Cambria" w:hAnsi="Cambria"/>
          <w:sz w:val="20"/>
          <w:szCs w:val="20"/>
        </w:rPr>
        <w:footnoteReference w:customMarkFollows="1" w:id="1"/>
        <w:sym w:font="Symbol" w:char="F02A"/>
      </w:r>
      <w:r w:rsidR="00AE0DF8" w:rsidRPr="00CE025B">
        <w:rPr>
          <w:rFonts w:ascii="Cambria" w:hAnsi="Cambria"/>
          <w:sz w:val="20"/>
          <w:szCs w:val="20"/>
        </w:rPr>
        <w:t xml:space="preserve"> </w:t>
      </w:r>
      <w:r w:rsidRPr="00CE025B">
        <w:rPr>
          <w:rFonts w:ascii="Cambria" w:hAnsi="Cambria"/>
          <w:sz w:val="20"/>
          <w:szCs w:val="20"/>
        </w:rPr>
        <w:t xml:space="preserve">du navire devra permettre à l’équipe d'inspection, telle que spécifiée au paragraphe 10 de la présente </w:t>
      </w:r>
      <w:r w:rsidR="00AE0DF8" w:rsidRPr="00CE025B">
        <w:rPr>
          <w:rFonts w:ascii="Cambria" w:hAnsi="Cambria"/>
          <w:b/>
          <w:bCs/>
          <w:sz w:val="20"/>
          <w:szCs w:val="20"/>
        </w:rPr>
        <w:t>annexe</w:t>
      </w:r>
      <w:r w:rsidRPr="00CE025B">
        <w:rPr>
          <w:rFonts w:ascii="Cambria" w:hAnsi="Cambria"/>
          <w:sz w:val="20"/>
          <w:szCs w:val="20"/>
        </w:rPr>
        <w:t>, de monter à bord et devra fournir une échelle d'embarquement à cet égard, répondant aux exigences de la Résolution A.889(21) de l’OMI, pour faciliter l'accès sûr et pratique à tout navire qui nécessite une montée de 1,5 mètre ou plus. Le capitaine devra donner à l’équipe d’inspection les moyens de procéder à tout examen de l’équipement, des prises ou des engins, ainsi qu'à celui de tout document y ayant trait, si un inspecteur l'estime nécessaire pour vérifier que les recommandations de la Commission en vigueur applicables à l'État du pavillon du navire contrôlé sont bien respectées. En outre, un inspecteur pourra demander toutes les explications qu'il jugera nécessaires.</w:t>
      </w:r>
    </w:p>
    <w:sectPr w:rsidR="00700797" w:rsidRPr="00CE025B" w:rsidSect="00007587">
      <w:footerReference w:type="default" r:id="rId8"/>
      <w:pgSz w:w="12240" w:h="15840"/>
      <w:pgMar w:top="1440" w:right="1440" w:bottom="1440" w:left="1440"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751F" w14:textId="77777777" w:rsidR="00DA472A" w:rsidRDefault="00DA472A" w:rsidP="00007587">
      <w:r>
        <w:separator/>
      </w:r>
    </w:p>
  </w:endnote>
  <w:endnote w:type="continuationSeparator" w:id="0">
    <w:p w14:paraId="1412D53D" w14:textId="77777777" w:rsidR="00DA472A" w:rsidRDefault="00DA472A" w:rsidP="0000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390703"/>
      <w:docPartObj>
        <w:docPartGallery w:val="Page Numbers (Bottom of Page)"/>
        <w:docPartUnique/>
      </w:docPartObj>
    </w:sdtPr>
    <w:sdtEndPr>
      <w:rPr>
        <w:rFonts w:ascii="Cambria" w:hAnsi="Cambria"/>
        <w:noProof/>
        <w:sz w:val="20"/>
        <w:szCs w:val="20"/>
      </w:rPr>
    </w:sdtEndPr>
    <w:sdtContent>
      <w:p w14:paraId="038FF45D" w14:textId="30F62805" w:rsidR="00007587" w:rsidRPr="009A450B" w:rsidRDefault="009A450B" w:rsidP="009A450B">
        <w:pPr>
          <w:pStyle w:val="Footer"/>
          <w:jc w:val="center"/>
          <w:rPr>
            <w:rFonts w:ascii="Cambria" w:hAnsi="Cambria"/>
            <w:sz w:val="20"/>
            <w:szCs w:val="20"/>
          </w:rPr>
        </w:pPr>
        <w:r w:rsidRPr="009A450B">
          <w:rPr>
            <w:rFonts w:ascii="Cambria" w:hAnsi="Cambria"/>
            <w:sz w:val="20"/>
            <w:szCs w:val="20"/>
          </w:rPr>
          <w:fldChar w:fldCharType="begin"/>
        </w:r>
        <w:r w:rsidRPr="009A450B">
          <w:rPr>
            <w:rFonts w:ascii="Cambria" w:hAnsi="Cambria"/>
            <w:sz w:val="20"/>
            <w:szCs w:val="20"/>
          </w:rPr>
          <w:instrText xml:space="preserve"> PAGE   \* MERGEFORMAT </w:instrText>
        </w:r>
        <w:r w:rsidRPr="009A450B">
          <w:rPr>
            <w:rFonts w:ascii="Cambria" w:hAnsi="Cambria"/>
            <w:sz w:val="20"/>
            <w:szCs w:val="20"/>
          </w:rPr>
          <w:fldChar w:fldCharType="separate"/>
        </w:r>
        <w:r w:rsidRPr="009A450B">
          <w:rPr>
            <w:rFonts w:ascii="Cambria" w:hAnsi="Cambria"/>
            <w:noProof/>
            <w:sz w:val="20"/>
            <w:szCs w:val="20"/>
          </w:rPr>
          <w:t>2</w:t>
        </w:r>
        <w:r w:rsidRPr="009A450B">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EC0D" w14:textId="77777777" w:rsidR="00DA472A" w:rsidRDefault="00DA472A" w:rsidP="00007587">
      <w:r>
        <w:separator/>
      </w:r>
    </w:p>
  </w:footnote>
  <w:footnote w:type="continuationSeparator" w:id="0">
    <w:p w14:paraId="0D594760" w14:textId="77777777" w:rsidR="00DA472A" w:rsidRDefault="00DA472A" w:rsidP="00007587">
      <w:r>
        <w:continuationSeparator/>
      </w:r>
    </w:p>
  </w:footnote>
  <w:footnote w:id="1">
    <w:p w14:paraId="159DAC67" w14:textId="130B2825" w:rsidR="00AE0DF8" w:rsidRPr="00B233A4" w:rsidRDefault="00AE0DF8">
      <w:pPr>
        <w:pStyle w:val="FootnoteText"/>
        <w:rPr>
          <w:sz w:val="16"/>
          <w:szCs w:val="16"/>
        </w:rPr>
      </w:pPr>
      <w:r w:rsidRPr="00B233A4">
        <w:rPr>
          <w:rStyle w:val="FootnoteReference"/>
          <w:sz w:val="16"/>
          <w:szCs w:val="16"/>
        </w:rPr>
        <w:sym w:font="Symbol" w:char="F02A"/>
      </w:r>
      <w:r w:rsidRPr="00B233A4">
        <w:rPr>
          <w:sz w:val="16"/>
          <w:szCs w:val="16"/>
        </w:rPr>
        <w:t xml:space="preserve"> </w:t>
      </w:r>
      <w:r w:rsidRPr="00B233A4">
        <w:rPr>
          <w:rFonts w:ascii="Cambria" w:hAnsi="Cambria"/>
          <w:sz w:val="16"/>
          <w:szCs w:val="16"/>
        </w:rPr>
        <w:t>Le « capitaine » se réfère à la personne qui commande le navire.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51C"/>
    <w:multiLevelType w:val="hybridMultilevel"/>
    <w:tmpl w:val="9B36FE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3855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5009681">
    <w:abstractNumId w:val="2"/>
  </w:num>
  <w:num w:numId="3" w16cid:durableId="1311982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B4"/>
    <w:rsid w:val="00007587"/>
    <w:rsid w:val="00075EE5"/>
    <w:rsid w:val="001624CC"/>
    <w:rsid w:val="00416C85"/>
    <w:rsid w:val="006817B4"/>
    <w:rsid w:val="006D1716"/>
    <w:rsid w:val="00700797"/>
    <w:rsid w:val="00760B7F"/>
    <w:rsid w:val="0079670D"/>
    <w:rsid w:val="008358C1"/>
    <w:rsid w:val="009A450B"/>
    <w:rsid w:val="00AE0DF8"/>
    <w:rsid w:val="00B233A4"/>
    <w:rsid w:val="00B776D1"/>
    <w:rsid w:val="00CE025B"/>
    <w:rsid w:val="00D73BE7"/>
    <w:rsid w:val="00DA472A"/>
    <w:rsid w:val="00DA7B9F"/>
    <w:rsid w:val="00F1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29E0"/>
  <w15:chartTrackingRefBased/>
  <w15:docId w15:val="{5DE7FED3-F7AA-4803-BEE6-6BAFFA36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7B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7B4"/>
    <w:pPr>
      <w:spacing w:after="200" w:line="276" w:lineRule="auto"/>
      <w:ind w:left="720"/>
      <w:contextualSpacing/>
    </w:pPr>
    <w:rPr>
      <w:kern w:val="0"/>
      <w14:ligatures w14:val="none"/>
    </w:rPr>
  </w:style>
  <w:style w:type="character" w:styleId="Hyperlink">
    <w:name w:val="Hyperlink"/>
    <w:basedOn w:val="DefaultParagraphFont"/>
    <w:uiPriority w:val="99"/>
    <w:semiHidden/>
    <w:unhideWhenUsed/>
    <w:rsid w:val="006817B4"/>
    <w:rPr>
      <w:color w:val="0000FF"/>
      <w:u w:val="single"/>
    </w:rPr>
  </w:style>
  <w:style w:type="paragraph" w:styleId="Header">
    <w:name w:val="header"/>
    <w:basedOn w:val="Normal"/>
    <w:link w:val="HeaderChar"/>
    <w:uiPriority w:val="99"/>
    <w:unhideWhenUsed/>
    <w:rsid w:val="00007587"/>
    <w:pPr>
      <w:tabs>
        <w:tab w:val="center" w:pos="4680"/>
        <w:tab w:val="right" w:pos="9360"/>
      </w:tabs>
    </w:pPr>
  </w:style>
  <w:style w:type="character" w:customStyle="1" w:styleId="HeaderChar">
    <w:name w:val="Header Char"/>
    <w:basedOn w:val="DefaultParagraphFont"/>
    <w:link w:val="Header"/>
    <w:uiPriority w:val="99"/>
    <w:rsid w:val="00007587"/>
  </w:style>
  <w:style w:type="paragraph" w:styleId="Footer">
    <w:name w:val="footer"/>
    <w:basedOn w:val="Normal"/>
    <w:link w:val="FooterChar"/>
    <w:uiPriority w:val="99"/>
    <w:unhideWhenUsed/>
    <w:rsid w:val="00007587"/>
    <w:pPr>
      <w:tabs>
        <w:tab w:val="center" w:pos="4680"/>
        <w:tab w:val="right" w:pos="9360"/>
      </w:tabs>
    </w:pPr>
  </w:style>
  <w:style w:type="character" w:customStyle="1" w:styleId="FooterChar">
    <w:name w:val="Footer Char"/>
    <w:basedOn w:val="DefaultParagraphFont"/>
    <w:link w:val="Footer"/>
    <w:uiPriority w:val="99"/>
    <w:rsid w:val="00007587"/>
  </w:style>
  <w:style w:type="paragraph" w:styleId="FootnoteText">
    <w:name w:val="footnote text"/>
    <w:basedOn w:val="Normal"/>
    <w:link w:val="FootnoteTextChar"/>
    <w:uiPriority w:val="99"/>
    <w:semiHidden/>
    <w:unhideWhenUsed/>
    <w:rsid w:val="00AE0DF8"/>
    <w:rPr>
      <w:sz w:val="20"/>
      <w:szCs w:val="20"/>
    </w:rPr>
  </w:style>
  <w:style w:type="character" w:customStyle="1" w:styleId="FootnoteTextChar">
    <w:name w:val="Footnote Text Char"/>
    <w:basedOn w:val="DefaultParagraphFont"/>
    <w:link w:val="FootnoteText"/>
    <w:uiPriority w:val="99"/>
    <w:semiHidden/>
    <w:rsid w:val="00AE0DF8"/>
    <w:rPr>
      <w:sz w:val="20"/>
      <w:szCs w:val="20"/>
    </w:rPr>
  </w:style>
  <w:style w:type="character" w:styleId="FootnoteReference">
    <w:name w:val="footnote reference"/>
    <w:basedOn w:val="DefaultParagraphFont"/>
    <w:uiPriority w:val="99"/>
    <w:semiHidden/>
    <w:unhideWhenUsed/>
    <w:rsid w:val="00AE0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CBEE1-1DFA-4419-91B1-CF77B3DF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13</cp:revision>
  <dcterms:created xsi:type="dcterms:W3CDTF">2023-03-22T10:07:00Z</dcterms:created>
  <dcterms:modified xsi:type="dcterms:W3CDTF">2023-04-17T13:05:00Z</dcterms:modified>
</cp:coreProperties>
</file>