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A2E0" w14:textId="236F4AE6" w:rsidR="00AC763A" w:rsidRPr="007E736B" w:rsidRDefault="00AC763A" w:rsidP="00AC763A">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cs="Times New Roman"/>
          <w:b/>
          <w:kern w:val="0"/>
          <w:sz w:val="20"/>
          <w14:ligatures w14:val="none"/>
        </w:rPr>
      </w:pPr>
      <w:bookmarkStart w:id="0" w:name="_Hlk130379483"/>
      <w:r w:rsidRPr="007E736B">
        <w:rPr>
          <w:rFonts w:ascii="Cambria" w:eastAsia="Calibri" w:hAnsi="Cambria" w:cs="Times New Roman"/>
          <w:b/>
          <w:kern w:val="0"/>
          <w:sz w:val="20"/>
          <w14:ligatures w14:val="none"/>
        </w:rPr>
        <w:t>22-</w:t>
      </w:r>
      <w:r w:rsidR="00A34612" w:rsidRPr="007E736B">
        <w:rPr>
          <w:rFonts w:ascii="Cambria" w:eastAsia="Calibri" w:hAnsi="Cambria" w:cs="Times New Roman"/>
          <w:b/>
          <w:kern w:val="0"/>
          <w:sz w:val="20"/>
          <w14:ligatures w14:val="none"/>
        </w:rPr>
        <w:t>20</w:t>
      </w:r>
      <w:r w:rsidRPr="007E736B">
        <w:rPr>
          <w:rFonts w:ascii="Cambria" w:eastAsia="Calibri" w:hAnsi="Cambria" w:cs="Times New Roman"/>
          <w:b/>
          <w:kern w:val="0"/>
          <w:sz w:val="20"/>
          <w14:ligatures w14:val="none"/>
        </w:rPr>
        <w:tab/>
      </w:r>
      <w:r w:rsidR="00A34612" w:rsidRPr="007E736B">
        <w:rPr>
          <w:rFonts w:ascii="Cambria" w:eastAsia="Calibri" w:hAnsi="Cambria" w:cs="Times New Roman"/>
          <w:b/>
          <w:kern w:val="0"/>
          <w:sz w:val="20"/>
          <w14:ligatures w14:val="none"/>
        </w:rPr>
        <w:t>SWO</w:t>
      </w:r>
    </w:p>
    <w:p w14:paraId="757BEF9C" w14:textId="77777777" w:rsidR="00D93B02" w:rsidRPr="007E736B" w:rsidRDefault="00A34612" w:rsidP="00A34612">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cs="Times New Roman"/>
          <w:b/>
          <w:kern w:val="0"/>
          <w:sz w:val="20"/>
          <w14:ligatures w14:val="none"/>
        </w:rPr>
      </w:pPr>
      <w:r w:rsidRPr="007E736B">
        <w:rPr>
          <w:rFonts w:ascii="Cambria" w:eastAsia="Calibri" w:hAnsi="Cambria" w:cs="Times New Roman"/>
          <w:b/>
          <w:kern w:val="0"/>
          <w:sz w:val="20"/>
          <w14:ligatures w14:val="none"/>
        </w:rPr>
        <w:t xml:space="preserve">SUPPLEMENTARY RECOMMENDATION BY ICCAT MODIFYING ANNEX 1 </w:t>
      </w:r>
    </w:p>
    <w:p w14:paraId="6BA0931E" w14:textId="77777777" w:rsidR="00D93B02" w:rsidRPr="007E736B" w:rsidRDefault="00A34612" w:rsidP="00A34612">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cs="Times New Roman"/>
          <w:b/>
          <w:kern w:val="0"/>
          <w:sz w:val="20"/>
          <w14:ligatures w14:val="none"/>
        </w:rPr>
      </w:pPr>
      <w:r w:rsidRPr="007E736B">
        <w:rPr>
          <w:rFonts w:ascii="Cambria" w:eastAsia="Calibri" w:hAnsi="Cambria" w:cs="Times New Roman"/>
          <w:b/>
          <w:kern w:val="0"/>
          <w:sz w:val="20"/>
          <w14:ligatures w14:val="none"/>
        </w:rPr>
        <w:t>OF THE RECOMMENDATION 16-05 REPLACING THE RECOMMENDATION 13-04</w:t>
      </w:r>
    </w:p>
    <w:p w14:paraId="47AA9557" w14:textId="0A38DD0A" w:rsidR="00A34612" w:rsidRPr="007E736B" w:rsidRDefault="00A34612" w:rsidP="00A34612">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cs="Times New Roman"/>
          <w:b/>
          <w:kern w:val="0"/>
          <w:sz w:val="20"/>
          <w14:ligatures w14:val="none"/>
        </w:rPr>
      </w:pPr>
      <w:r w:rsidRPr="007E736B">
        <w:rPr>
          <w:rFonts w:ascii="Cambria" w:eastAsia="Calibri" w:hAnsi="Cambria" w:cs="Times New Roman"/>
          <w:b/>
          <w:kern w:val="0"/>
          <w:sz w:val="20"/>
          <w14:ligatures w14:val="none"/>
        </w:rPr>
        <w:t>AND ESTABLISHING A MULTI-ANNUAL RECOVERY PLAN FOR MEDITERRANEAN SWORDFISH</w:t>
      </w:r>
    </w:p>
    <w:p w14:paraId="4A021348" w14:textId="77777777" w:rsidR="00AC763A" w:rsidRPr="007E736B" w:rsidRDefault="00AC763A" w:rsidP="00AC763A">
      <w:pPr>
        <w:ind w:left="440" w:right="353" w:hanging="10"/>
        <w:jc w:val="center"/>
        <w:rPr>
          <w:rFonts w:ascii="Cambria" w:eastAsia="Cambria" w:hAnsi="Cambria" w:cs="Cambria"/>
          <w:b/>
          <w:color w:val="000000"/>
          <w:kern w:val="0"/>
          <w:sz w:val="20"/>
          <w14:ligatures w14:val="none"/>
        </w:rPr>
      </w:pPr>
    </w:p>
    <w:bookmarkEnd w:id="0"/>
    <w:p w14:paraId="072A0CF6" w14:textId="77777777" w:rsidR="006817B4" w:rsidRPr="007E736B" w:rsidRDefault="006817B4" w:rsidP="006817B4">
      <w:pPr>
        <w:jc w:val="both"/>
        <w:rPr>
          <w:rFonts w:ascii="Cambria" w:hAnsi="Cambria" w:cs="Times New Roman"/>
          <w:b/>
          <w:bCs/>
          <w:i/>
          <w:iCs/>
          <w:caps/>
          <w:sz w:val="20"/>
          <w:szCs w:val="20"/>
        </w:rPr>
      </w:pPr>
    </w:p>
    <w:p w14:paraId="6827F2A2" w14:textId="3535919C" w:rsidR="006817B4" w:rsidRPr="007E736B" w:rsidRDefault="006817B4" w:rsidP="00184FBD">
      <w:pPr>
        <w:ind w:firstLine="426"/>
        <w:jc w:val="both"/>
        <w:rPr>
          <w:rFonts w:ascii="Cambria" w:hAnsi="Cambria" w:cs="Times New Roman"/>
          <w:sz w:val="20"/>
          <w:szCs w:val="20"/>
        </w:rPr>
      </w:pPr>
      <w:r w:rsidRPr="007E736B">
        <w:rPr>
          <w:rFonts w:ascii="Cambria" w:hAnsi="Cambria" w:cs="Times New Roman"/>
          <w:i/>
          <w:iCs/>
          <w:caps/>
          <w:sz w:val="20"/>
          <w:szCs w:val="20"/>
        </w:rPr>
        <w:t>Noting</w:t>
      </w:r>
      <w:r w:rsidRPr="007E736B">
        <w:rPr>
          <w:rFonts w:ascii="Cambria" w:hAnsi="Cambria" w:cs="Times New Roman"/>
          <w:sz w:val="20"/>
          <w:szCs w:val="20"/>
        </w:rPr>
        <w:t xml:space="preserve"> that during the meeting of the ICCAT Working Group on Integrated Monitoring Measures (IMM) in June 2022, it was proposed to include specific boarding ladder provisions in the E-BFT and SWO Joint Inspection Schemes (JIS) to bring the JIS into line with</w:t>
      </w:r>
      <w:r w:rsidR="00D3604E" w:rsidRPr="007E736B">
        <w:rPr>
          <w:rFonts w:ascii="Cambria" w:hAnsi="Cambria" w:cs="Times New Roman"/>
          <w:sz w:val="20"/>
          <w:szCs w:val="20"/>
        </w:rPr>
        <w:t xml:space="preserve"> the</w:t>
      </w:r>
      <w:r w:rsidR="00184FBD" w:rsidRPr="007E736B">
        <w:rPr>
          <w:rFonts w:ascii="Cambria" w:hAnsi="Cambria" w:cs="Times New Roman"/>
          <w:sz w:val="20"/>
          <w:szCs w:val="20"/>
        </w:rPr>
        <w:t xml:space="preserve"> </w:t>
      </w:r>
      <w:r w:rsidR="00D3604E" w:rsidRPr="007E736B">
        <w:rPr>
          <w:rFonts w:ascii="Cambria" w:hAnsi="Cambria" w:cs="Times New Roman"/>
          <w:sz w:val="20"/>
          <w:szCs w:val="20"/>
        </w:rPr>
        <w:t xml:space="preserve">Northwest Atlantic Fisheries Organization </w:t>
      </w:r>
      <w:r w:rsidRPr="007E736B">
        <w:rPr>
          <w:rFonts w:ascii="Cambria" w:hAnsi="Cambria" w:cs="Times New Roman"/>
          <w:sz w:val="20"/>
          <w:szCs w:val="20"/>
        </w:rPr>
        <w:t>(NAFO</w:t>
      </w:r>
      <w:r w:rsidR="00D3604E" w:rsidRPr="007E736B">
        <w:rPr>
          <w:rFonts w:ascii="Cambria" w:hAnsi="Cambria" w:cs="Times New Roman"/>
          <w:sz w:val="20"/>
          <w:szCs w:val="20"/>
        </w:rPr>
        <w:t>)</w:t>
      </w:r>
      <w:r w:rsidRPr="007E736B">
        <w:rPr>
          <w:rFonts w:ascii="Cambria" w:hAnsi="Cambria" w:cs="Times New Roman"/>
          <w:sz w:val="20"/>
          <w:szCs w:val="20"/>
        </w:rPr>
        <w:t>,</w:t>
      </w:r>
      <w:r w:rsidR="00EA1541" w:rsidRPr="007E736B">
        <w:t xml:space="preserve"> </w:t>
      </w:r>
      <w:proofErr w:type="gramStart"/>
      <w:r w:rsidR="00EA1541" w:rsidRPr="007E736B">
        <w:rPr>
          <w:rFonts w:ascii="Cambria" w:hAnsi="Cambria" w:cs="Times New Roman"/>
          <w:sz w:val="20"/>
          <w:szCs w:val="20"/>
        </w:rPr>
        <w:t>North</w:t>
      </w:r>
      <w:r w:rsidR="009011E2" w:rsidRPr="007E736B">
        <w:rPr>
          <w:rFonts w:ascii="Cambria" w:hAnsi="Cambria" w:cs="Times New Roman"/>
          <w:sz w:val="20"/>
          <w:szCs w:val="20"/>
        </w:rPr>
        <w:t xml:space="preserve"> </w:t>
      </w:r>
      <w:r w:rsidR="00EA1541" w:rsidRPr="007E736B">
        <w:rPr>
          <w:rFonts w:ascii="Cambria" w:hAnsi="Cambria" w:cs="Times New Roman"/>
          <w:sz w:val="20"/>
          <w:szCs w:val="20"/>
        </w:rPr>
        <w:t>East</w:t>
      </w:r>
      <w:proofErr w:type="gramEnd"/>
      <w:r w:rsidR="00EA1541" w:rsidRPr="007E736B">
        <w:rPr>
          <w:rFonts w:ascii="Cambria" w:hAnsi="Cambria" w:cs="Times New Roman"/>
          <w:sz w:val="20"/>
          <w:szCs w:val="20"/>
        </w:rPr>
        <w:t xml:space="preserve"> Atlantic Fisheries Commission (</w:t>
      </w:r>
      <w:r w:rsidRPr="007E736B">
        <w:rPr>
          <w:rFonts w:ascii="Cambria" w:hAnsi="Cambria" w:cs="Times New Roman"/>
          <w:sz w:val="20"/>
          <w:szCs w:val="20"/>
        </w:rPr>
        <w:t>NEAFC</w:t>
      </w:r>
      <w:r w:rsidR="00EA1541" w:rsidRPr="007E736B">
        <w:rPr>
          <w:rFonts w:ascii="Cambria" w:hAnsi="Cambria" w:cs="Times New Roman"/>
          <w:sz w:val="20"/>
          <w:szCs w:val="20"/>
        </w:rPr>
        <w:t>)</w:t>
      </w:r>
      <w:r w:rsidR="009011E2" w:rsidRPr="007E736B">
        <w:rPr>
          <w:rFonts w:ascii="Cambria" w:hAnsi="Cambria" w:cs="Times New Roman"/>
          <w:sz w:val="20"/>
          <w:szCs w:val="20"/>
        </w:rPr>
        <w:t xml:space="preserve"> and</w:t>
      </w:r>
      <w:r w:rsidRPr="007E736B">
        <w:rPr>
          <w:rFonts w:ascii="Cambria" w:hAnsi="Cambria" w:cs="Times New Roman"/>
          <w:sz w:val="20"/>
          <w:szCs w:val="20"/>
        </w:rPr>
        <w:t xml:space="preserve"> </w:t>
      </w:r>
      <w:r w:rsidR="009011E2" w:rsidRPr="007E736B">
        <w:rPr>
          <w:rFonts w:ascii="Cambria" w:hAnsi="Cambria" w:cs="Times New Roman"/>
          <w:sz w:val="20"/>
          <w:szCs w:val="20"/>
        </w:rPr>
        <w:t>General Fisheries Commission for the Mediterranean (</w:t>
      </w:r>
      <w:r w:rsidRPr="007E736B">
        <w:rPr>
          <w:rFonts w:ascii="Cambria" w:hAnsi="Cambria" w:cs="Times New Roman"/>
          <w:sz w:val="20"/>
          <w:szCs w:val="20"/>
        </w:rPr>
        <w:t>GFCM).</w:t>
      </w:r>
    </w:p>
    <w:p w14:paraId="5F941002" w14:textId="77777777" w:rsidR="006817B4" w:rsidRPr="007E736B" w:rsidRDefault="006817B4" w:rsidP="006817B4">
      <w:pPr>
        <w:jc w:val="both"/>
        <w:rPr>
          <w:rFonts w:ascii="Cambria" w:hAnsi="Cambria" w:cs="Times New Roman"/>
          <w:sz w:val="20"/>
          <w:szCs w:val="20"/>
        </w:rPr>
      </w:pPr>
    </w:p>
    <w:p w14:paraId="4E3710CA" w14:textId="49B4EE62" w:rsidR="006817B4" w:rsidRPr="007E736B" w:rsidRDefault="006817B4" w:rsidP="009011E2">
      <w:pPr>
        <w:ind w:firstLine="426"/>
        <w:jc w:val="both"/>
        <w:rPr>
          <w:rFonts w:ascii="Cambria" w:hAnsi="Cambria" w:cs="Times New Roman"/>
          <w:sz w:val="20"/>
          <w:szCs w:val="20"/>
        </w:rPr>
      </w:pPr>
      <w:r w:rsidRPr="007E736B">
        <w:rPr>
          <w:rFonts w:ascii="Cambria" w:hAnsi="Cambria" w:cs="Times New Roman"/>
          <w:i/>
          <w:iCs/>
          <w:sz w:val="20"/>
          <w:szCs w:val="20"/>
        </w:rPr>
        <w:t>FURTHER NOTING</w:t>
      </w:r>
      <w:r w:rsidR="00BE65DD" w:rsidRPr="007E736B">
        <w:rPr>
          <w:rFonts w:ascii="Cambria" w:hAnsi="Cambria" w:cs="Times New Roman"/>
          <w:sz w:val="20"/>
          <w:szCs w:val="20"/>
        </w:rPr>
        <w:t xml:space="preserve"> that </w:t>
      </w:r>
      <w:r w:rsidRPr="007E736B">
        <w:rPr>
          <w:rFonts w:ascii="Cambria" w:hAnsi="Cambria" w:cs="Times New Roman"/>
          <w:sz w:val="20"/>
          <w:szCs w:val="20"/>
        </w:rPr>
        <w:t xml:space="preserve">under the E-BFT JIS, some fishing vessels were not able to consistently provide ladders to allow ICCAT inspectors to board safely. </w:t>
      </w:r>
    </w:p>
    <w:p w14:paraId="318BFD16" w14:textId="77777777" w:rsidR="006817B4" w:rsidRPr="007E736B" w:rsidRDefault="006817B4" w:rsidP="006817B4">
      <w:pPr>
        <w:jc w:val="center"/>
        <w:rPr>
          <w:rFonts w:ascii="Cambria" w:hAnsi="Cambria" w:cs="Times New Roman"/>
          <w:sz w:val="20"/>
          <w:szCs w:val="20"/>
        </w:rPr>
      </w:pPr>
    </w:p>
    <w:p w14:paraId="009F5D97" w14:textId="77777777" w:rsidR="006817B4" w:rsidRPr="007E736B" w:rsidRDefault="006817B4" w:rsidP="006817B4">
      <w:pPr>
        <w:jc w:val="center"/>
        <w:rPr>
          <w:rFonts w:ascii="Cambria" w:hAnsi="Cambria" w:cs="Times New Roman"/>
          <w:sz w:val="20"/>
          <w:szCs w:val="20"/>
        </w:rPr>
      </w:pPr>
      <w:r w:rsidRPr="007E736B">
        <w:rPr>
          <w:rFonts w:ascii="Cambria" w:hAnsi="Cambria" w:cs="Times New Roman"/>
          <w:sz w:val="20"/>
          <w:szCs w:val="20"/>
        </w:rPr>
        <w:t xml:space="preserve">The INTERNATIONAL COMMISSION FOR THE CONSERVATION OF ATLANTIC TUNAS </w:t>
      </w:r>
    </w:p>
    <w:p w14:paraId="6278F774" w14:textId="5EB27E2D" w:rsidR="006817B4" w:rsidRPr="007E736B" w:rsidRDefault="006817B4" w:rsidP="006817B4">
      <w:pPr>
        <w:jc w:val="center"/>
        <w:rPr>
          <w:rFonts w:ascii="Cambria" w:hAnsi="Cambria" w:cs="Times New Roman"/>
          <w:sz w:val="20"/>
          <w:szCs w:val="20"/>
        </w:rPr>
      </w:pPr>
      <w:r w:rsidRPr="007E736B">
        <w:rPr>
          <w:rFonts w:ascii="Cambria" w:hAnsi="Cambria" w:cs="Times New Roman"/>
          <w:sz w:val="20"/>
          <w:szCs w:val="20"/>
        </w:rPr>
        <w:t>RECOMMENDS THAT:</w:t>
      </w:r>
    </w:p>
    <w:p w14:paraId="55B9FB66" w14:textId="77777777" w:rsidR="006817B4" w:rsidRPr="007E736B" w:rsidRDefault="006817B4" w:rsidP="006817B4">
      <w:pPr>
        <w:jc w:val="center"/>
        <w:rPr>
          <w:rFonts w:ascii="Cambria" w:hAnsi="Cambria" w:cs="Times New Roman"/>
          <w:sz w:val="20"/>
          <w:szCs w:val="20"/>
        </w:rPr>
      </w:pPr>
    </w:p>
    <w:p w14:paraId="5E257946" w14:textId="77777777" w:rsidR="004858CF" w:rsidRPr="007E736B" w:rsidRDefault="004858CF" w:rsidP="006817B4">
      <w:pPr>
        <w:jc w:val="center"/>
        <w:rPr>
          <w:rFonts w:ascii="Cambria" w:hAnsi="Cambria" w:cs="Times New Roman"/>
          <w:sz w:val="20"/>
          <w:szCs w:val="20"/>
        </w:rPr>
      </w:pPr>
    </w:p>
    <w:p w14:paraId="633AA277" w14:textId="73578F03" w:rsidR="006817B4" w:rsidRPr="007E736B" w:rsidRDefault="006817B4" w:rsidP="00BE65DD">
      <w:pPr>
        <w:pStyle w:val="ListParagraph"/>
        <w:numPr>
          <w:ilvl w:val="0"/>
          <w:numId w:val="3"/>
        </w:numPr>
        <w:ind w:left="426" w:hanging="426"/>
        <w:jc w:val="both"/>
        <w:rPr>
          <w:rFonts w:ascii="Cambria" w:hAnsi="Cambria" w:cs="Times New Roman"/>
          <w:sz w:val="20"/>
          <w:szCs w:val="20"/>
        </w:rPr>
      </w:pPr>
      <w:r w:rsidRPr="007E736B">
        <w:rPr>
          <w:rFonts w:ascii="Cambria" w:hAnsi="Cambria" w:cs="Times New Roman"/>
          <w:sz w:val="20"/>
          <w:szCs w:val="20"/>
        </w:rPr>
        <w:t>Annex 1 of the Recommendation 16-05 (</w:t>
      </w:r>
      <w:r w:rsidRPr="007E736B">
        <w:rPr>
          <w:rFonts w:ascii="Cambria" w:hAnsi="Cambria" w:cs="Times New Roman"/>
          <w:bCs/>
          <w:sz w:val="20"/>
          <w:szCs w:val="20"/>
        </w:rPr>
        <w:t>M</w:t>
      </w:r>
      <w:r w:rsidR="004858CF" w:rsidRPr="007E736B">
        <w:rPr>
          <w:rFonts w:ascii="Cambria" w:hAnsi="Cambria" w:cs="Times New Roman"/>
          <w:bCs/>
          <w:sz w:val="20"/>
          <w:szCs w:val="20"/>
        </w:rPr>
        <w:t>editerranean swordfish</w:t>
      </w:r>
      <w:r w:rsidRPr="007E736B">
        <w:rPr>
          <w:rFonts w:ascii="Cambria" w:hAnsi="Cambria" w:cs="Times New Roman"/>
          <w:bCs/>
          <w:sz w:val="20"/>
          <w:szCs w:val="20"/>
        </w:rPr>
        <w:t xml:space="preserve"> ICCAT Scheme of Joint International Inspection</w:t>
      </w:r>
      <w:r w:rsidRPr="007E736B">
        <w:rPr>
          <w:rFonts w:ascii="Cambria" w:hAnsi="Cambria" w:cs="Times New Roman"/>
          <w:sz w:val="20"/>
          <w:szCs w:val="20"/>
        </w:rPr>
        <w:t xml:space="preserve">) be modified as follows: </w:t>
      </w:r>
    </w:p>
    <w:p w14:paraId="47F91CB8" w14:textId="77777777" w:rsidR="00BE65DD" w:rsidRPr="007E736B" w:rsidRDefault="00BE65DD" w:rsidP="00BE65DD">
      <w:pPr>
        <w:pStyle w:val="ListParagraph"/>
        <w:ind w:left="426"/>
        <w:jc w:val="both"/>
        <w:rPr>
          <w:rFonts w:ascii="Cambria" w:hAnsi="Cambria" w:cs="Times New Roman"/>
          <w:sz w:val="20"/>
          <w:szCs w:val="20"/>
        </w:rPr>
      </w:pPr>
    </w:p>
    <w:p w14:paraId="75F85D68" w14:textId="66F09F58" w:rsidR="006817B4" w:rsidRPr="007E736B" w:rsidRDefault="006817B4" w:rsidP="008076D3">
      <w:pPr>
        <w:pStyle w:val="ListParagraph"/>
        <w:numPr>
          <w:ilvl w:val="0"/>
          <w:numId w:val="2"/>
        </w:numPr>
        <w:spacing w:after="0" w:line="240" w:lineRule="auto"/>
        <w:ind w:left="851" w:hanging="425"/>
        <w:jc w:val="both"/>
        <w:rPr>
          <w:rFonts w:ascii="Cambria" w:hAnsi="Cambria" w:cs="Times New Roman"/>
          <w:sz w:val="20"/>
          <w:szCs w:val="20"/>
        </w:rPr>
      </w:pPr>
      <w:r w:rsidRPr="007E736B">
        <w:rPr>
          <w:rFonts w:ascii="Cambria" w:hAnsi="Cambria" w:cs="Times New Roman"/>
          <w:sz w:val="20"/>
          <w:szCs w:val="20"/>
        </w:rPr>
        <w:t>A new subparagraph shall be added at the end of Section 1, paragraph 1 (Serious Violations)</w:t>
      </w:r>
      <w:r w:rsidR="0079670D" w:rsidRPr="007E736B">
        <w:rPr>
          <w:rFonts w:ascii="Cambria" w:hAnsi="Cambria" w:cs="Times New Roman"/>
          <w:sz w:val="20"/>
          <w:szCs w:val="20"/>
        </w:rPr>
        <w:t>.</w:t>
      </w:r>
    </w:p>
    <w:p w14:paraId="02B562D8" w14:textId="34EF1E75" w:rsidR="006817B4" w:rsidRPr="007E736B" w:rsidRDefault="006817B4" w:rsidP="008076D3">
      <w:pPr>
        <w:pStyle w:val="ListParagraph"/>
        <w:numPr>
          <w:ilvl w:val="0"/>
          <w:numId w:val="2"/>
        </w:numPr>
        <w:spacing w:after="0" w:line="240" w:lineRule="auto"/>
        <w:ind w:left="851" w:hanging="425"/>
        <w:jc w:val="both"/>
        <w:rPr>
          <w:rFonts w:ascii="Cambria" w:hAnsi="Cambria" w:cs="Times New Roman"/>
          <w:sz w:val="20"/>
          <w:szCs w:val="20"/>
        </w:rPr>
      </w:pPr>
      <w:r w:rsidRPr="007E736B">
        <w:rPr>
          <w:rFonts w:ascii="Cambria" w:hAnsi="Cambria" w:cs="Times New Roman"/>
          <w:sz w:val="20"/>
          <w:szCs w:val="20"/>
        </w:rPr>
        <w:t xml:space="preserve">Section II, </w:t>
      </w:r>
      <w:r w:rsidR="00CE6BE1" w:rsidRPr="007E736B">
        <w:rPr>
          <w:rFonts w:ascii="Cambria" w:hAnsi="Cambria" w:cs="Times New Roman"/>
          <w:sz w:val="20"/>
          <w:szCs w:val="20"/>
        </w:rPr>
        <w:t>p</w:t>
      </w:r>
      <w:r w:rsidRPr="007E736B">
        <w:rPr>
          <w:rFonts w:ascii="Cambria" w:hAnsi="Cambria" w:cs="Times New Roman"/>
          <w:sz w:val="20"/>
          <w:szCs w:val="20"/>
        </w:rPr>
        <w:t>aragraph</w:t>
      </w:r>
      <w:r w:rsidR="00CE6BE1" w:rsidRPr="007E736B">
        <w:rPr>
          <w:rFonts w:ascii="Cambria" w:hAnsi="Cambria" w:cs="Times New Roman"/>
          <w:sz w:val="20"/>
          <w:szCs w:val="20"/>
        </w:rPr>
        <w:t xml:space="preserve"> 9</w:t>
      </w:r>
      <w:r w:rsidRPr="007E736B">
        <w:rPr>
          <w:rFonts w:ascii="Cambria" w:hAnsi="Cambria" w:cs="Times New Roman"/>
          <w:sz w:val="20"/>
          <w:szCs w:val="20"/>
        </w:rPr>
        <w:t xml:space="preserve"> (Conduct of inspections) shall be amended as below.</w:t>
      </w:r>
    </w:p>
    <w:p w14:paraId="5B779163" w14:textId="77777777" w:rsidR="006817B4" w:rsidRPr="007E736B" w:rsidRDefault="006817B4" w:rsidP="006817B4">
      <w:pPr>
        <w:pStyle w:val="ListParagraph"/>
        <w:spacing w:after="0" w:line="240" w:lineRule="auto"/>
        <w:jc w:val="both"/>
        <w:rPr>
          <w:rFonts w:ascii="Cambria" w:hAnsi="Cambria" w:cs="Times New Roman"/>
          <w:sz w:val="20"/>
          <w:szCs w:val="20"/>
        </w:rPr>
      </w:pPr>
    </w:p>
    <w:p w14:paraId="15115ADC" w14:textId="77777777" w:rsidR="006817B4" w:rsidRPr="007E736B" w:rsidRDefault="006817B4" w:rsidP="006817B4">
      <w:pPr>
        <w:pStyle w:val="ListParagraph"/>
        <w:spacing w:after="0" w:line="240" w:lineRule="auto"/>
        <w:jc w:val="both"/>
        <w:rPr>
          <w:rFonts w:ascii="Cambria" w:hAnsi="Cambria" w:cs="Times New Roman"/>
          <w:sz w:val="20"/>
          <w:szCs w:val="20"/>
        </w:rPr>
      </w:pPr>
    </w:p>
    <w:p w14:paraId="55D75FDF" w14:textId="77777777" w:rsidR="006817B4" w:rsidRPr="007E736B" w:rsidRDefault="006817B4" w:rsidP="006817B4">
      <w:pPr>
        <w:jc w:val="both"/>
        <w:rPr>
          <w:rFonts w:ascii="Cambria" w:hAnsi="Cambria" w:cs="Times New Roman"/>
          <w:b/>
          <w:sz w:val="20"/>
          <w:szCs w:val="20"/>
        </w:rPr>
      </w:pPr>
      <w:r w:rsidRPr="007E736B">
        <w:rPr>
          <w:rFonts w:ascii="Cambria" w:hAnsi="Cambria" w:cs="Times New Roman"/>
          <w:b/>
          <w:sz w:val="20"/>
          <w:szCs w:val="20"/>
        </w:rPr>
        <w:t xml:space="preserve">I. Serious violations </w:t>
      </w:r>
    </w:p>
    <w:p w14:paraId="4285BF75" w14:textId="77777777" w:rsidR="006817B4" w:rsidRPr="007E736B" w:rsidRDefault="006817B4" w:rsidP="006817B4">
      <w:pPr>
        <w:jc w:val="both"/>
        <w:rPr>
          <w:rFonts w:ascii="Cambria" w:hAnsi="Cambria" w:cs="Times New Roman"/>
          <w:b/>
          <w:sz w:val="20"/>
          <w:szCs w:val="20"/>
        </w:rPr>
      </w:pPr>
    </w:p>
    <w:p w14:paraId="200ED65B" w14:textId="3EE47C3D" w:rsidR="006817B4" w:rsidRPr="007E736B" w:rsidRDefault="006817B4" w:rsidP="002E0E0D">
      <w:pPr>
        <w:tabs>
          <w:tab w:val="left" w:pos="426"/>
        </w:tabs>
        <w:ind w:left="426" w:hanging="426"/>
        <w:jc w:val="both"/>
        <w:rPr>
          <w:rFonts w:ascii="Cambria" w:hAnsi="Cambria" w:cs="Times New Roman"/>
          <w:sz w:val="20"/>
          <w:szCs w:val="20"/>
        </w:rPr>
      </w:pPr>
      <w:r w:rsidRPr="007E736B">
        <w:rPr>
          <w:rFonts w:ascii="Cambria" w:hAnsi="Cambria" w:cs="Times New Roman"/>
          <w:sz w:val="20"/>
          <w:szCs w:val="20"/>
        </w:rPr>
        <w:t xml:space="preserve">1. </w:t>
      </w:r>
      <w:r w:rsidR="002E0E0D" w:rsidRPr="007E736B">
        <w:rPr>
          <w:rFonts w:ascii="Cambria" w:hAnsi="Cambria" w:cs="Times New Roman"/>
          <w:sz w:val="20"/>
          <w:szCs w:val="20"/>
        </w:rPr>
        <w:tab/>
      </w:r>
      <w:r w:rsidRPr="007E736B">
        <w:rPr>
          <w:rFonts w:ascii="Cambria" w:hAnsi="Cambria" w:cs="Times New Roman"/>
          <w:sz w:val="20"/>
          <w:szCs w:val="20"/>
        </w:rPr>
        <w:t>For the purposes of these procedures, a serious violation means the following violations of the provisions of the ICCAT conservation and management measures adopted by the Commission:</w:t>
      </w:r>
    </w:p>
    <w:p w14:paraId="34D6F459" w14:textId="77777777" w:rsidR="006817B4" w:rsidRPr="007E736B" w:rsidRDefault="006817B4" w:rsidP="006817B4">
      <w:pPr>
        <w:jc w:val="both"/>
        <w:rPr>
          <w:rFonts w:ascii="Cambria" w:hAnsi="Cambria" w:cs="Times New Roman"/>
          <w:sz w:val="20"/>
          <w:szCs w:val="20"/>
        </w:rPr>
      </w:pPr>
    </w:p>
    <w:p w14:paraId="3568CC4E" w14:textId="0DE1297A" w:rsidR="006817B4" w:rsidRPr="007E736B" w:rsidRDefault="006817B4" w:rsidP="002E0E0D">
      <w:pPr>
        <w:tabs>
          <w:tab w:val="left" w:pos="426"/>
        </w:tabs>
        <w:ind w:left="426" w:hanging="426"/>
        <w:jc w:val="both"/>
        <w:rPr>
          <w:rFonts w:ascii="Cambria" w:hAnsi="Cambria" w:cs="Times New Roman"/>
          <w:sz w:val="20"/>
          <w:szCs w:val="20"/>
        </w:rPr>
      </w:pPr>
      <w:r w:rsidRPr="007E736B">
        <w:rPr>
          <w:rFonts w:ascii="Cambria" w:hAnsi="Cambria" w:cs="Times New Roman"/>
          <w:sz w:val="20"/>
          <w:szCs w:val="20"/>
        </w:rPr>
        <w:t xml:space="preserve">p) </w:t>
      </w:r>
      <w:r w:rsidR="002E0E0D" w:rsidRPr="007E736B">
        <w:rPr>
          <w:rFonts w:ascii="Cambria" w:hAnsi="Cambria" w:cs="Times New Roman"/>
          <w:sz w:val="20"/>
          <w:szCs w:val="20"/>
        </w:rPr>
        <w:tab/>
      </w:r>
      <w:r w:rsidRPr="007E736B">
        <w:rPr>
          <w:rFonts w:ascii="Cambria" w:hAnsi="Cambria" w:cs="Times New Roman"/>
          <w:sz w:val="20"/>
          <w:szCs w:val="20"/>
        </w:rPr>
        <w:t xml:space="preserve">Not </w:t>
      </w:r>
      <w:proofErr w:type="gramStart"/>
      <w:r w:rsidRPr="007E736B">
        <w:rPr>
          <w:rFonts w:ascii="Cambria" w:hAnsi="Cambria" w:cs="Times New Roman"/>
          <w:sz w:val="20"/>
          <w:szCs w:val="20"/>
        </w:rPr>
        <w:t>providing to</w:t>
      </w:r>
      <w:proofErr w:type="gramEnd"/>
      <w:r w:rsidRPr="007E736B">
        <w:rPr>
          <w:rFonts w:ascii="Cambria" w:hAnsi="Cambria" w:cs="Times New Roman"/>
          <w:sz w:val="20"/>
          <w:szCs w:val="20"/>
        </w:rPr>
        <w:t xml:space="preserve"> ICCAT inspectors a boarding ladder meeting the requirements of IMO Resolution</w:t>
      </w:r>
      <w:r w:rsidR="00CE2E86" w:rsidRPr="007E736B">
        <w:rPr>
          <w:rFonts w:ascii="Cambria" w:hAnsi="Cambria" w:cs="Times New Roman"/>
          <w:sz w:val="20"/>
          <w:szCs w:val="20"/>
        </w:rPr>
        <w:t> </w:t>
      </w:r>
      <w:r w:rsidRPr="007E736B">
        <w:rPr>
          <w:rFonts w:ascii="Cambria" w:hAnsi="Cambria" w:cs="Times New Roman"/>
          <w:sz w:val="20"/>
          <w:szCs w:val="20"/>
        </w:rPr>
        <w:t>A.889(21) to facilitate safe access to any fishing vessel which requires a climb of 1</w:t>
      </w:r>
      <w:r w:rsidR="002E0E0D" w:rsidRPr="007E736B">
        <w:rPr>
          <w:rFonts w:ascii="Cambria" w:hAnsi="Cambria" w:cs="Times New Roman"/>
          <w:sz w:val="20"/>
          <w:szCs w:val="20"/>
        </w:rPr>
        <w:t>.</w:t>
      </w:r>
      <w:r w:rsidRPr="007E736B">
        <w:rPr>
          <w:rFonts w:ascii="Cambria" w:hAnsi="Cambria" w:cs="Times New Roman"/>
          <w:sz w:val="20"/>
          <w:szCs w:val="20"/>
        </w:rPr>
        <w:t xml:space="preserve">5 </w:t>
      </w:r>
      <w:proofErr w:type="spellStart"/>
      <w:r w:rsidRPr="007E736B">
        <w:rPr>
          <w:rFonts w:ascii="Cambria" w:hAnsi="Cambria" w:cs="Times New Roman"/>
          <w:sz w:val="20"/>
          <w:szCs w:val="20"/>
        </w:rPr>
        <w:t>metres</w:t>
      </w:r>
      <w:proofErr w:type="spellEnd"/>
      <w:r w:rsidRPr="007E736B">
        <w:rPr>
          <w:rFonts w:ascii="Cambria" w:hAnsi="Cambria" w:cs="Times New Roman"/>
          <w:sz w:val="20"/>
          <w:szCs w:val="20"/>
        </w:rPr>
        <w:t xml:space="preserve"> or more.</w:t>
      </w:r>
    </w:p>
    <w:p w14:paraId="10729B3D" w14:textId="77777777" w:rsidR="006817B4" w:rsidRPr="007E736B" w:rsidRDefault="006817B4" w:rsidP="006817B4">
      <w:pPr>
        <w:jc w:val="both"/>
        <w:rPr>
          <w:rFonts w:ascii="Cambria" w:hAnsi="Cambria" w:cs="Times New Roman"/>
          <w:b/>
          <w:sz w:val="20"/>
          <w:szCs w:val="20"/>
        </w:rPr>
      </w:pPr>
    </w:p>
    <w:p w14:paraId="17BA30E7" w14:textId="77777777" w:rsidR="006817B4" w:rsidRPr="007E736B" w:rsidRDefault="006817B4" w:rsidP="006817B4">
      <w:pPr>
        <w:jc w:val="both"/>
        <w:rPr>
          <w:rFonts w:ascii="Cambria" w:hAnsi="Cambria" w:cs="Times New Roman"/>
          <w:b/>
          <w:sz w:val="20"/>
          <w:szCs w:val="20"/>
        </w:rPr>
      </w:pPr>
      <w:r w:rsidRPr="007E736B">
        <w:rPr>
          <w:rFonts w:ascii="Cambria" w:hAnsi="Cambria" w:cs="Times New Roman"/>
          <w:b/>
          <w:sz w:val="20"/>
          <w:szCs w:val="20"/>
        </w:rPr>
        <w:t>II. Conduct of inspections</w:t>
      </w:r>
    </w:p>
    <w:p w14:paraId="5CF2DB2B" w14:textId="77777777" w:rsidR="006817B4" w:rsidRPr="007E736B" w:rsidRDefault="006817B4" w:rsidP="006817B4">
      <w:pPr>
        <w:jc w:val="both"/>
        <w:rPr>
          <w:rFonts w:ascii="Cambria" w:hAnsi="Cambria" w:cs="Times New Roman"/>
          <w:sz w:val="20"/>
          <w:szCs w:val="20"/>
        </w:rPr>
      </w:pPr>
    </w:p>
    <w:p w14:paraId="6BCEE4DF" w14:textId="549875BE" w:rsidR="006817B4" w:rsidRPr="007E736B" w:rsidRDefault="006817B4" w:rsidP="00503619">
      <w:pPr>
        <w:ind w:left="426" w:hanging="426"/>
        <w:jc w:val="both"/>
        <w:rPr>
          <w:rFonts w:ascii="Cambria" w:hAnsi="Cambria" w:cs="Times New Roman"/>
          <w:sz w:val="20"/>
          <w:szCs w:val="20"/>
        </w:rPr>
      </w:pPr>
      <w:r w:rsidRPr="007E736B">
        <w:rPr>
          <w:rFonts w:ascii="Cambria" w:hAnsi="Cambria" w:cs="Times New Roman"/>
          <w:sz w:val="20"/>
          <w:szCs w:val="20"/>
        </w:rPr>
        <w:t>9.</w:t>
      </w:r>
      <w:r w:rsidR="00503619" w:rsidRPr="007E736B">
        <w:rPr>
          <w:rFonts w:ascii="Cambria" w:hAnsi="Cambria" w:cs="Times New Roman"/>
          <w:sz w:val="20"/>
          <w:szCs w:val="20"/>
        </w:rPr>
        <w:tab/>
      </w:r>
      <w:r w:rsidRPr="007E736B">
        <w:rPr>
          <w:rFonts w:ascii="Cambria" w:hAnsi="Cambria" w:cs="Times New Roman"/>
          <w:sz w:val="20"/>
          <w:szCs w:val="20"/>
        </w:rPr>
        <w:t>Subject to the arrangements agreed under paragraph 16 of this</w:t>
      </w:r>
      <w:r w:rsidRPr="007E736B">
        <w:rPr>
          <w:rFonts w:ascii="Cambria" w:hAnsi="Cambria" w:cs="Times New Roman"/>
          <w:b/>
          <w:bCs/>
          <w:sz w:val="20"/>
          <w:szCs w:val="20"/>
        </w:rPr>
        <w:t xml:space="preserve"> Annex</w:t>
      </w:r>
      <w:r w:rsidRPr="007E736B">
        <w:rPr>
          <w:rFonts w:ascii="Cambria" w:hAnsi="Cambria" w:cs="Times New Roman"/>
          <w:sz w:val="20"/>
          <w:szCs w:val="20"/>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w:t>
      </w:r>
      <w:r w:rsidR="00EC2E64" w:rsidRPr="007E736B">
        <w:rPr>
          <w:rFonts w:ascii="Cambria" w:hAnsi="Cambria" w:cs="Times New Roman"/>
          <w:sz w:val="20"/>
          <w:szCs w:val="20"/>
        </w:rPr>
        <w:t xml:space="preserve"> of this </w:t>
      </w:r>
      <w:r w:rsidR="00EC2E64" w:rsidRPr="007E736B">
        <w:rPr>
          <w:rFonts w:ascii="Cambria" w:hAnsi="Cambria" w:cs="Times New Roman"/>
          <w:b/>
          <w:bCs/>
          <w:sz w:val="20"/>
          <w:szCs w:val="20"/>
        </w:rPr>
        <w:t>Annex</w:t>
      </w:r>
      <w:r w:rsidRPr="007E736B">
        <w:rPr>
          <w:rFonts w:ascii="Cambria" w:hAnsi="Cambria" w:cs="Times New Roman"/>
          <w:sz w:val="20"/>
          <w:szCs w:val="20"/>
        </w:rPr>
        <w:t xml:space="preserve"> and carrying an inspector unless the vessel is actually carrying out fishing operations, in which case it shall stop immediately once it has finished such operations. The master</w:t>
      </w:r>
      <w:r w:rsidR="005F193E" w:rsidRPr="007E736B">
        <w:rPr>
          <w:rStyle w:val="FootnoteReference"/>
          <w:rFonts w:ascii="Cambria" w:hAnsi="Cambria" w:cs="Times New Roman"/>
          <w:sz w:val="20"/>
          <w:szCs w:val="20"/>
        </w:rPr>
        <w:footnoteReference w:customMarkFollows="1" w:id="1"/>
        <w:t>*</w:t>
      </w:r>
      <w:r w:rsidR="007354B9" w:rsidRPr="007E736B">
        <w:rPr>
          <w:rFonts w:ascii="Cambria" w:eastAsia="Cambria" w:hAnsi="Cambria" w:cs="Times New Roman"/>
          <w:color w:val="000000"/>
          <w:kern w:val="0"/>
          <w:sz w:val="20"/>
          <w:szCs w:val="20"/>
          <w:vertAlign w:val="superscript"/>
          <w14:ligatures w14:val="none"/>
        </w:rPr>
        <w:t xml:space="preserve"> </w:t>
      </w:r>
      <w:r w:rsidRPr="007E736B">
        <w:rPr>
          <w:rFonts w:ascii="Cambria" w:hAnsi="Cambria" w:cs="Times New Roman"/>
          <w:sz w:val="20"/>
          <w:szCs w:val="20"/>
        </w:rPr>
        <w:t xml:space="preserve">of the vessel shall permit the inspection party, as specified in paragraph 10 of this </w:t>
      </w:r>
      <w:r w:rsidRPr="007E736B">
        <w:rPr>
          <w:rFonts w:ascii="Cambria" w:hAnsi="Cambria" w:cs="Times New Roman"/>
          <w:b/>
          <w:bCs/>
          <w:sz w:val="20"/>
          <w:szCs w:val="20"/>
        </w:rPr>
        <w:t>Annex</w:t>
      </w:r>
      <w:r w:rsidRPr="007E736B">
        <w:rPr>
          <w:rFonts w:ascii="Cambria" w:hAnsi="Cambria" w:cs="Times New Roman"/>
          <w:sz w:val="20"/>
          <w:szCs w:val="20"/>
        </w:rPr>
        <w:t>, to board it and must provide a boarding ladder meeting the requirements of IMO Resolution A.889(21), to facilitate safe and convenient access to any vessel which requires a climb of 1</w:t>
      </w:r>
      <w:r w:rsidR="002018B8" w:rsidRPr="007E736B">
        <w:rPr>
          <w:rFonts w:ascii="Cambria" w:hAnsi="Cambria" w:cs="Times New Roman"/>
          <w:sz w:val="20"/>
          <w:szCs w:val="20"/>
        </w:rPr>
        <w:t>.</w:t>
      </w:r>
      <w:r w:rsidRPr="007E736B">
        <w:rPr>
          <w:rFonts w:ascii="Cambria" w:hAnsi="Cambria" w:cs="Times New Roman"/>
          <w:sz w:val="20"/>
          <w:szCs w:val="20"/>
        </w:rPr>
        <w:t xml:space="preserve">5 </w:t>
      </w:r>
      <w:proofErr w:type="spellStart"/>
      <w:r w:rsidRPr="007E736B">
        <w:rPr>
          <w:rFonts w:ascii="Cambria" w:hAnsi="Cambria" w:cs="Times New Roman"/>
          <w:sz w:val="20"/>
          <w:szCs w:val="20"/>
        </w:rPr>
        <w:t>metre</w:t>
      </w:r>
      <w:r w:rsidR="002018B8" w:rsidRPr="007E736B">
        <w:rPr>
          <w:rFonts w:ascii="Cambria" w:hAnsi="Cambria" w:cs="Times New Roman"/>
          <w:sz w:val="20"/>
          <w:szCs w:val="20"/>
        </w:rPr>
        <w:t>s</w:t>
      </w:r>
      <w:proofErr w:type="spellEnd"/>
      <w:r w:rsidRPr="007E736B">
        <w:rPr>
          <w:rFonts w:ascii="Cambria" w:hAnsi="Cambria" w:cs="Times New Roman"/>
          <w:sz w:val="20"/>
          <w:szCs w:val="20"/>
        </w:rPr>
        <w:t xml:space="preserve"> or more. The master shall enable the inspection party to make such examination of equipment, catch or gear and any relevant documents as an inspector deems necessary to verify compliance with the ICCAT Commission’s recommendations in force in relation to the flag State of the vessel being inspected. Further, an inspector may ask for any explanations that he or she deems necessary.</w:t>
      </w:r>
    </w:p>
    <w:p w14:paraId="7B2F408F" w14:textId="77777777" w:rsidR="006817B4" w:rsidRPr="007E736B" w:rsidRDefault="006817B4" w:rsidP="006817B4">
      <w:pPr>
        <w:jc w:val="both"/>
        <w:rPr>
          <w:rFonts w:ascii="Cambria" w:hAnsi="Cambria" w:cs="Times New Roman"/>
          <w:sz w:val="20"/>
          <w:szCs w:val="20"/>
        </w:rPr>
      </w:pPr>
    </w:p>
    <w:p w14:paraId="17C08C9E" w14:textId="77777777" w:rsidR="00700797" w:rsidRPr="007E736B" w:rsidRDefault="00700797"/>
    <w:sectPr w:rsidR="00700797" w:rsidRPr="007E736B" w:rsidSect="00CF7ADE">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B8E2" w14:textId="77777777" w:rsidR="008F667C" w:rsidRDefault="008F667C" w:rsidP="001E4FF9">
      <w:r>
        <w:separator/>
      </w:r>
    </w:p>
  </w:endnote>
  <w:endnote w:type="continuationSeparator" w:id="0">
    <w:p w14:paraId="054D3845" w14:textId="77777777" w:rsidR="008F667C" w:rsidRDefault="008F667C" w:rsidP="001E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52738"/>
      <w:docPartObj>
        <w:docPartGallery w:val="Page Numbers (Bottom of Page)"/>
        <w:docPartUnique/>
      </w:docPartObj>
    </w:sdtPr>
    <w:sdtEndPr>
      <w:rPr>
        <w:rFonts w:ascii="Cambria" w:hAnsi="Cambria"/>
        <w:noProof/>
        <w:sz w:val="20"/>
        <w:szCs w:val="20"/>
      </w:rPr>
    </w:sdtEndPr>
    <w:sdtContent>
      <w:p w14:paraId="57171621" w14:textId="5F7B1E06" w:rsidR="001E4FF9" w:rsidRPr="001E4FF9" w:rsidRDefault="001E4FF9">
        <w:pPr>
          <w:pStyle w:val="Footer"/>
          <w:jc w:val="center"/>
          <w:rPr>
            <w:rFonts w:ascii="Cambria" w:hAnsi="Cambria"/>
            <w:sz w:val="20"/>
            <w:szCs w:val="20"/>
          </w:rPr>
        </w:pPr>
        <w:r w:rsidRPr="001E4FF9">
          <w:rPr>
            <w:rFonts w:ascii="Cambria" w:hAnsi="Cambria"/>
            <w:sz w:val="20"/>
            <w:szCs w:val="20"/>
          </w:rPr>
          <w:fldChar w:fldCharType="begin"/>
        </w:r>
        <w:r w:rsidRPr="001E4FF9">
          <w:rPr>
            <w:rFonts w:ascii="Cambria" w:hAnsi="Cambria"/>
            <w:sz w:val="20"/>
            <w:szCs w:val="20"/>
          </w:rPr>
          <w:instrText xml:space="preserve"> PAGE   \* MERGEFORMAT </w:instrText>
        </w:r>
        <w:r w:rsidRPr="001E4FF9">
          <w:rPr>
            <w:rFonts w:ascii="Cambria" w:hAnsi="Cambria"/>
            <w:sz w:val="20"/>
            <w:szCs w:val="20"/>
          </w:rPr>
          <w:fldChar w:fldCharType="separate"/>
        </w:r>
        <w:r w:rsidRPr="001E4FF9">
          <w:rPr>
            <w:rFonts w:ascii="Cambria" w:hAnsi="Cambria"/>
            <w:noProof/>
            <w:sz w:val="20"/>
            <w:szCs w:val="20"/>
          </w:rPr>
          <w:t>2</w:t>
        </w:r>
        <w:r w:rsidRPr="001E4FF9">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58E2" w14:textId="77777777" w:rsidR="008F667C" w:rsidRDefault="008F667C" w:rsidP="001E4FF9">
      <w:r>
        <w:separator/>
      </w:r>
    </w:p>
  </w:footnote>
  <w:footnote w:type="continuationSeparator" w:id="0">
    <w:p w14:paraId="5752D818" w14:textId="77777777" w:rsidR="008F667C" w:rsidRDefault="008F667C" w:rsidP="001E4FF9">
      <w:r>
        <w:continuationSeparator/>
      </w:r>
    </w:p>
  </w:footnote>
  <w:footnote w:id="1">
    <w:p w14:paraId="77E9CD31" w14:textId="19FA9633" w:rsidR="005F193E" w:rsidRPr="007E736B" w:rsidRDefault="005F193E">
      <w:pPr>
        <w:pStyle w:val="FootnoteText"/>
        <w:rPr>
          <w:lang w:val="en-GB"/>
        </w:rPr>
      </w:pPr>
      <w:r>
        <w:rPr>
          <w:rStyle w:val="FootnoteReference"/>
        </w:rPr>
        <w:t>*</w:t>
      </w:r>
      <w:r>
        <w:t xml:space="preserve"> </w:t>
      </w:r>
      <w:r w:rsidRPr="001E3C8E">
        <w:rPr>
          <w:sz w:val="16"/>
          <w:szCs w:val="16"/>
        </w:rPr>
        <w:t>Master refers to the individual in charge of the vessel.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51C"/>
    <w:multiLevelType w:val="hybridMultilevel"/>
    <w:tmpl w:val="9B36FE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3855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009681">
    <w:abstractNumId w:val="2"/>
  </w:num>
  <w:num w:numId="3" w16cid:durableId="131198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B4"/>
    <w:rsid w:val="000D1525"/>
    <w:rsid w:val="000D5673"/>
    <w:rsid w:val="00137266"/>
    <w:rsid w:val="00184FBD"/>
    <w:rsid w:val="001E4FF9"/>
    <w:rsid w:val="002018B8"/>
    <w:rsid w:val="002E0E0D"/>
    <w:rsid w:val="004858CF"/>
    <w:rsid w:val="00503619"/>
    <w:rsid w:val="00517742"/>
    <w:rsid w:val="00577C50"/>
    <w:rsid w:val="005F193E"/>
    <w:rsid w:val="00621740"/>
    <w:rsid w:val="006817B4"/>
    <w:rsid w:val="00692543"/>
    <w:rsid w:val="00700797"/>
    <w:rsid w:val="00704840"/>
    <w:rsid w:val="007354B9"/>
    <w:rsid w:val="0079670D"/>
    <w:rsid w:val="007E736B"/>
    <w:rsid w:val="008076D3"/>
    <w:rsid w:val="008412CF"/>
    <w:rsid w:val="008F667C"/>
    <w:rsid w:val="009011E2"/>
    <w:rsid w:val="009841B8"/>
    <w:rsid w:val="009E7DB2"/>
    <w:rsid w:val="00A34612"/>
    <w:rsid w:val="00AA18D5"/>
    <w:rsid w:val="00AC763A"/>
    <w:rsid w:val="00AF3C7B"/>
    <w:rsid w:val="00BE65DD"/>
    <w:rsid w:val="00C719C4"/>
    <w:rsid w:val="00CE2E86"/>
    <w:rsid w:val="00CE6BE1"/>
    <w:rsid w:val="00CF7ADE"/>
    <w:rsid w:val="00D3604E"/>
    <w:rsid w:val="00D46265"/>
    <w:rsid w:val="00D73BE7"/>
    <w:rsid w:val="00D93B02"/>
    <w:rsid w:val="00D95DAE"/>
    <w:rsid w:val="00E34C26"/>
    <w:rsid w:val="00EA1541"/>
    <w:rsid w:val="00EC2E64"/>
    <w:rsid w:val="00FB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22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7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7B4"/>
    <w:pPr>
      <w:spacing w:after="200" w:line="276" w:lineRule="auto"/>
      <w:ind w:left="720"/>
      <w:contextualSpacing/>
    </w:pPr>
    <w:rPr>
      <w:kern w:val="0"/>
      <w:lang w:val="en-GB"/>
      <w14:ligatures w14:val="none"/>
    </w:rPr>
  </w:style>
  <w:style w:type="character" w:styleId="Hyperlink">
    <w:name w:val="Hyperlink"/>
    <w:basedOn w:val="DefaultParagraphFont"/>
    <w:uiPriority w:val="99"/>
    <w:semiHidden/>
    <w:unhideWhenUsed/>
    <w:rsid w:val="006817B4"/>
    <w:rPr>
      <w:color w:val="0000FF"/>
      <w:u w:val="single"/>
    </w:rPr>
  </w:style>
  <w:style w:type="paragraph" w:styleId="Header">
    <w:name w:val="header"/>
    <w:basedOn w:val="Normal"/>
    <w:link w:val="HeaderChar"/>
    <w:uiPriority w:val="99"/>
    <w:unhideWhenUsed/>
    <w:rsid w:val="001E4FF9"/>
    <w:pPr>
      <w:tabs>
        <w:tab w:val="center" w:pos="4680"/>
        <w:tab w:val="right" w:pos="9360"/>
      </w:tabs>
    </w:pPr>
  </w:style>
  <w:style w:type="character" w:customStyle="1" w:styleId="HeaderChar">
    <w:name w:val="Header Char"/>
    <w:basedOn w:val="DefaultParagraphFont"/>
    <w:link w:val="Header"/>
    <w:uiPriority w:val="99"/>
    <w:rsid w:val="001E4FF9"/>
  </w:style>
  <w:style w:type="paragraph" w:styleId="Footer">
    <w:name w:val="footer"/>
    <w:basedOn w:val="Normal"/>
    <w:link w:val="FooterChar"/>
    <w:uiPriority w:val="99"/>
    <w:unhideWhenUsed/>
    <w:rsid w:val="001E4FF9"/>
    <w:pPr>
      <w:tabs>
        <w:tab w:val="center" w:pos="4680"/>
        <w:tab w:val="right" w:pos="9360"/>
      </w:tabs>
    </w:pPr>
  </w:style>
  <w:style w:type="character" w:customStyle="1" w:styleId="FooterChar">
    <w:name w:val="Footer Char"/>
    <w:basedOn w:val="DefaultParagraphFont"/>
    <w:link w:val="Footer"/>
    <w:uiPriority w:val="99"/>
    <w:rsid w:val="001E4FF9"/>
  </w:style>
  <w:style w:type="paragraph" w:styleId="FootnoteText">
    <w:name w:val="footnote text"/>
    <w:basedOn w:val="Normal"/>
    <w:link w:val="FootnoteTextChar"/>
    <w:uiPriority w:val="99"/>
    <w:semiHidden/>
    <w:unhideWhenUsed/>
    <w:rsid w:val="007354B9"/>
    <w:pPr>
      <w:ind w:left="227" w:right="140" w:hanging="8"/>
      <w:jc w:val="both"/>
    </w:pPr>
    <w:rPr>
      <w:rFonts w:ascii="Cambria" w:eastAsia="Cambria" w:hAnsi="Cambria" w:cs="Cambria"/>
      <w:color w:val="000000"/>
      <w:kern w:val="0"/>
      <w:sz w:val="20"/>
      <w:szCs w:val="20"/>
      <w14:ligatures w14:val="none"/>
    </w:rPr>
  </w:style>
  <w:style w:type="character" w:customStyle="1" w:styleId="FootnoteTextChar">
    <w:name w:val="Footnote Text Char"/>
    <w:basedOn w:val="DefaultParagraphFont"/>
    <w:link w:val="FootnoteText"/>
    <w:uiPriority w:val="99"/>
    <w:semiHidden/>
    <w:rsid w:val="007354B9"/>
    <w:rPr>
      <w:rFonts w:ascii="Cambria" w:eastAsia="Cambria" w:hAnsi="Cambria" w:cs="Cambria"/>
      <w:color w:val="000000"/>
      <w:kern w:val="0"/>
      <w:sz w:val="20"/>
      <w:szCs w:val="20"/>
      <w14:ligatures w14:val="none"/>
    </w:rPr>
  </w:style>
  <w:style w:type="character" w:styleId="FootnoteReference">
    <w:name w:val="footnote reference"/>
    <w:basedOn w:val="DefaultParagraphFont"/>
    <w:uiPriority w:val="99"/>
    <w:semiHidden/>
    <w:unhideWhenUsed/>
    <w:rsid w:val="00735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7FFCA-CC9E-46C8-842F-6C63A619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2023-04-17T13:11:00Z</dcterms:created>
  <dcterms:modified xsi:type="dcterms:W3CDTF">2023-04-17T13:11:00Z</dcterms:modified>
</cp:coreProperties>
</file>