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8C53" w14:textId="62B6FB62" w:rsidR="00540F07" w:rsidRPr="00B26526" w:rsidRDefault="00540F07" w:rsidP="00540F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rPr>
          <w:rFonts w:ascii="Cambria" w:hAnsi="Cambria"/>
          <w:b/>
          <w:sz w:val="20"/>
          <w:lang w:val="es-ES"/>
        </w:rPr>
      </w:pPr>
      <w:r w:rsidRPr="00B26526">
        <w:rPr>
          <w:rFonts w:ascii="Cambria" w:hAnsi="Cambria"/>
          <w:b/>
          <w:sz w:val="20"/>
          <w:lang w:val="es-ES"/>
        </w:rPr>
        <w:t>22-</w:t>
      </w:r>
      <w:r w:rsidR="00B67046" w:rsidRPr="00B26526">
        <w:rPr>
          <w:rFonts w:ascii="Cambria" w:hAnsi="Cambria"/>
          <w:b/>
          <w:sz w:val="20"/>
          <w:lang w:val="es-ES"/>
        </w:rPr>
        <w:t>14</w:t>
      </w:r>
      <w:r w:rsidRPr="00B26526">
        <w:rPr>
          <w:rFonts w:ascii="Cambria" w:hAnsi="Cambria"/>
          <w:b/>
          <w:sz w:val="20"/>
          <w:lang w:val="es-ES"/>
        </w:rPr>
        <w:tab/>
      </w:r>
      <w:r w:rsidR="00B67046" w:rsidRPr="00B26526">
        <w:rPr>
          <w:rFonts w:ascii="Cambria" w:hAnsi="Cambria"/>
          <w:b/>
          <w:sz w:val="20"/>
          <w:lang w:val="es-ES"/>
        </w:rPr>
        <w:t>GEN</w:t>
      </w:r>
    </w:p>
    <w:p w14:paraId="7E688047" w14:textId="1EF8BDDA" w:rsidR="00540F07" w:rsidRPr="00B26526" w:rsidRDefault="00C139A2" w:rsidP="00540F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after="0" w:line="240" w:lineRule="auto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  <w:r w:rsidRPr="00B26526">
        <w:rPr>
          <w:rFonts w:ascii="Cambria" w:eastAsia="Arial" w:hAnsi="Cambria" w:cs="Arial"/>
          <w:b/>
          <w:sz w:val="20"/>
          <w:szCs w:val="20"/>
          <w:lang w:val="es-ES"/>
        </w:rPr>
        <w:t xml:space="preserve">RECOMENDACIÓN DE ICCAT </w:t>
      </w:r>
      <w:r w:rsidR="00D80467" w:rsidRPr="00B26526">
        <w:rPr>
          <w:rFonts w:ascii="Cambria" w:eastAsia="Arial" w:hAnsi="Cambria" w:cs="Arial"/>
          <w:b/>
          <w:sz w:val="20"/>
          <w:szCs w:val="20"/>
          <w:lang w:val="es-ES"/>
        </w:rPr>
        <w:t>QUE</w:t>
      </w:r>
      <w:r w:rsidRPr="00B26526">
        <w:rPr>
          <w:rFonts w:ascii="Cambria" w:eastAsia="Arial" w:hAnsi="Cambria" w:cs="Arial"/>
          <w:b/>
          <w:sz w:val="20"/>
          <w:szCs w:val="20"/>
          <w:lang w:val="es-ES"/>
        </w:rPr>
        <w:t xml:space="preserve"> REEMPLAZA LA RECOMENDACIÓN 06-14 </w:t>
      </w:r>
      <w:r w:rsidR="006E5906" w:rsidRPr="00B26526">
        <w:rPr>
          <w:rFonts w:ascii="Cambria" w:eastAsia="Arial" w:hAnsi="Cambria" w:cs="Arial"/>
          <w:b/>
          <w:sz w:val="20"/>
          <w:szCs w:val="20"/>
          <w:lang w:val="es-ES"/>
        </w:rPr>
        <w:t xml:space="preserve">PARA </w:t>
      </w:r>
      <w:r w:rsidR="006E5906" w:rsidRPr="00B26526">
        <w:rPr>
          <w:rFonts w:ascii="Cambria" w:eastAsia="Arial" w:hAnsi="Cambria" w:cs="Arial"/>
          <w:b/>
          <w:sz w:val="20"/>
          <w:szCs w:val="20"/>
          <w:lang w:val="es-ES"/>
        </w:rPr>
        <w:br/>
        <w:t>FOMENTAR</w:t>
      </w:r>
      <w:r w:rsidRPr="00B26526">
        <w:rPr>
          <w:rFonts w:ascii="Cambria" w:eastAsia="Arial" w:hAnsi="Cambria" w:cs="Arial"/>
          <w:b/>
          <w:sz w:val="20"/>
          <w:szCs w:val="20"/>
          <w:lang w:val="es-ES"/>
        </w:rPr>
        <w:t xml:space="preserve"> EL CUMPLIMIENTO DE LAS MEDIDAS DE CONSERVACIÓN Y ORDENACIÓN DE ICCAT </w:t>
      </w:r>
    </w:p>
    <w:p w14:paraId="584EC46D" w14:textId="77777777" w:rsidR="00540F07" w:rsidRPr="00B26526" w:rsidRDefault="00C139A2" w:rsidP="00540F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after="0" w:line="240" w:lineRule="auto"/>
        <w:jc w:val="center"/>
        <w:rPr>
          <w:rFonts w:ascii="Cambria" w:eastAsia="Arial" w:hAnsi="Cambria" w:cs="Arial"/>
          <w:b/>
          <w:sz w:val="20"/>
          <w:szCs w:val="20"/>
          <w:lang w:val="es-ES"/>
        </w:rPr>
      </w:pPr>
      <w:r w:rsidRPr="00B26526">
        <w:rPr>
          <w:rFonts w:ascii="Cambria" w:eastAsia="Arial" w:hAnsi="Cambria" w:cs="Arial"/>
          <w:b/>
          <w:sz w:val="20"/>
          <w:szCs w:val="20"/>
          <w:lang w:val="es-ES"/>
        </w:rPr>
        <w:t xml:space="preserve">POR PARTE DE LOS NACIONALES DE PARTES CONTRATANTES Y PARTES, ENTIDADES </w:t>
      </w:r>
    </w:p>
    <w:p w14:paraId="7911AFDC" w14:textId="4F0FB387" w:rsidR="003A1CBE" w:rsidRPr="00B26526" w:rsidRDefault="00C139A2" w:rsidP="00540F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val="es-ES"/>
        </w:rPr>
      </w:pPr>
      <w:r w:rsidRPr="00B26526">
        <w:rPr>
          <w:rFonts w:ascii="Cambria" w:eastAsia="Arial" w:hAnsi="Cambria" w:cs="Arial"/>
          <w:b/>
          <w:sz w:val="20"/>
          <w:szCs w:val="20"/>
          <w:lang w:val="es-ES"/>
        </w:rPr>
        <w:t>O ENTIDADES PESQUERAS NO CONTRATANTES</w:t>
      </w:r>
      <w:r w:rsidRPr="00B26526">
        <w:rPr>
          <w:rFonts w:ascii="Cambria" w:eastAsia="Times New Roman" w:hAnsi="Cambria" w:cs="Times New Roman"/>
          <w:b/>
          <w:sz w:val="20"/>
          <w:szCs w:val="20"/>
          <w:lang w:val="es-ES"/>
        </w:rPr>
        <w:t xml:space="preserve"> COLABORADORAS </w:t>
      </w:r>
    </w:p>
    <w:p w14:paraId="286712AB" w14:textId="77777777" w:rsidR="008741BA" w:rsidRPr="00B26526" w:rsidRDefault="008741BA" w:rsidP="00540F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right" w:pos="9356"/>
        </w:tabs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6"/>
          <w:szCs w:val="6"/>
          <w:lang w:val="es-ES"/>
        </w:rPr>
      </w:pPr>
    </w:p>
    <w:p w14:paraId="01323D64" w14:textId="08F5DF2D" w:rsidR="00540F07" w:rsidRPr="00B26526" w:rsidRDefault="00540F07" w:rsidP="003A1CBE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Times New Roman" w:hAnsi="Cambria" w:cs="Times New Roman"/>
          <w:i/>
          <w:caps/>
          <w:sz w:val="20"/>
          <w:szCs w:val="20"/>
          <w:lang w:val="es-ES"/>
        </w:rPr>
      </w:pPr>
    </w:p>
    <w:p w14:paraId="1866FEF1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Times New Roman" w:hAnsi="Cambria" w:cs="Times New Roman"/>
          <w:i/>
          <w:caps/>
          <w:sz w:val="20"/>
          <w:szCs w:val="20"/>
          <w:lang w:val="es-ES"/>
        </w:rPr>
      </w:pPr>
    </w:p>
    <w:p w14:paraId="424F1228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i/>
          <w:caps/>
          <w:sz w:val="20"/>
          <w:szCs w:val="20"/>
          <w:lang w:val="es-ES"/>
        </w:rPr>
        <w:t>coNVENCIDA</w:t>
      </w:r>
      <w:r w:rsidRPr="00B26526">
        <w:rPr>
          <w:rFonts w:ascii="Cambria" w:eastAsia="Times New Roman" w:hAnsi="Cambria" w:cs="Times New Roman"/>
          <w:b/>
          <w:caps/>
          <w:sz w:val="20"/>
          <w:szCs w:val="20"/>
          <w:lang w:val="es-ES"/>
        </w:rPr>
        <w:t xml:space="preserve">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de que la 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>pesca ilegal, no declarada y no reglamentada (</w:t>
      </w:r>
      <w:proofErr w:type="spellStart"/>
      <w:r w:rsidRPr="00B26526">
        <w:rPr>
          <w:rFonts w:ascii="Cambria" w:eastAsia="Batang" w:hAnsi="Cambria" w:cs="Times New Roman"/>
          <w:sz w:val="20"/>
          <w:szCs w:val="20"/>
          <w:lang w:val="es-ES"/>
        </w:rPr>
        <w:t>IUU</w:t>
      </w:r>
      <w:proofErr w:type="spellEnd"/>
      <w:r w:rsidRPr="00B26526">
        <w:rPr>
          <w:rFonts w:ascii="Cambria" w:eastAsia="Batang" w:hAnsi="Cambria" w:cs="Times New Roman"/>
          <w:sz w:val="20"/>
          <w:szCs w:val="20"/>
          <w:lang w:val="es-ES"/>
        </w:rPr>
        <w:t>) compromete los objetivos del Convenio;</w:t>
      </w:r>
    </w:p>
    <w:p w14:paraId="6E78619E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</w:p>
    <w:p w14:paraId="1B45E97B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i/>
          <w:caps/>
          <w:sz w:val="20"/>
          <w:szCs w:val="20"/>
          <w:lang w:val="es-ES"/>
        </w:rPr>
        <w:t>Preocupada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por el hecho de que algunos Estados de pabellón no cumplen con sus obligaciones en cuanto a ejercer su jurisdicción y control, en virtud de la legislación internacional, sobre los buques de pesca autorizados a enarbolar su pabellón y que realizan sus actividades en la zona del Convenio, y de que, debido a esto, dichos buques no están bajo el control efectivo de dichos Estados de pabellón;</w:t>
      </w:r>
    </w:p>
    <w:p w14:paraId="641AC98E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</w:p>
    <w:p w14:paraId="72B33D6D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i/>
          <w:caps/>
          <w:sz w:val="20"/>
          <w:szCs w:val="20"/>
          <w:lang w:val="es-ES"/>
        </w:rPr>
        <w:t>Consciente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de que la ausencia de un control eficaz facilita la pesca de estos buques en la zona del Convenio de un modo que menoscaba la eficacia de las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medidas de conservación y ordenación de ICCAT y que puede dar lugar a actividades de 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>pesca ilegal, no declarada y no reglamentada (</w:t>
      </w:r>
      <w:proofErr w:type="spellStart"/>
      <w:r w:rsidRPr="00B26526">
        <w:rPr>
          <w:rFonts w:ascii="Cambria" w:eastAsia="Batang" w:hAnsi="Cambria" w:cs="Times New Roman"/>
          <w:sz w:val="20"/>
          <w:szCs w:val="20"/>
          <w:lang w:val="es-ES"/>
        </w:rPr>
        <w:t>IUU</w:t>
      </w:r>
      <w:proofErr w:type="spellEnd"/>
      <w:r w:rsidRPr="00B26526">
        <w:rPr>
          <w:rFonts w:ascii="Cambria" w:eastAsia="Batang" w:hAnsi="Cambria" w:cs="Times New Roman"/>
          <w:sz w:val="20"/>
          <w:szCs w:val="20"/>
          <w:lang w:val="es-ES"/>
        </w:rPr>
        <w:t>);</w:t>
      </w:r>
    </w:p>
    <w:p w14:paraId="61486D91" w14:textId="77777777" w:rsidR="00B26526" w:rsidRPr="00B26526" w:rsidRDefault="00B26526" w:rsidP="00B26526">
      <w:pPr>
        <w:tabs>
          <w:tab w:val="left" w:pos="340"/>
        </w:tabs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</w:p>
    <w:p w14:paraId="32A02DF7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i/>
          <w:caps/>
          <w:sz w:val="20"/>
          <w:szCs w:val="20"/>
          <w:lang w:val="es-ES"/>
        </w:rPr>
        <w:t>Preocupada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por el hecho de que los buques que llevan a cabo actividades en la zona del Convenio  y que no cumplen las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medidas de conservación y ordenación de ICCAT se están beneficiando del apoyo proporcionado por personas bajo la jurisdicción de Partes contratantes y Partes, Entidades o Entidades pesqueras no contratantes colaboradoras (CPC), lo que incluye, </w:t>
      </w:r>
      <w:r w:rsidRPr="00B26526">
        <w:rPr>
          <w:rFonts w:ascii="Cambria" w:eastAsia="Times New Roman" w:hAnsi="Cambria" w:cs="Times New Roman"/>
          <w:i/>
          <w:sz w:val="20"/>
          <w:szCs w:val="20"/>
          <w:lang w:val="es-ES"/>
        </w:rPr>
        <w:t xml:space="preserve">inter </w:t>
      </w:r>
      <w:proofErr w:type="spellStart"/>
      <w:r w:rsidRPr="00B26526">
        <w:rPr>
          <w:rFonts w:ascii="Cambria" w:eastAsia="Times New Roman" w:hAnsi="Cambria" w:cs="Times New Roman"/>
          <w:i/>
          <w:sz w:val="20"/>
          <w:szCs w:val="20"/>
          <w:lang w:val="es-ES"/>
        </w:rPr>
        <w:t>alia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, la participación en operaciones de trasbordo, transporte y comercio de capturas realizadas de forma ilegal o la participación a bordo o en la gestión de estos buques;</w:t>
      </w:r>
    </w:p>
    <w:p w14:paraId="461031D9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765538DB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i/>
          <w:iCs/>
          <w:sz w:val="20"/>
          <w:szCs w:val="20"/>
          <w:lang w:val="es-ES"/>
        </w:rPr>
        <w:t xml:space="preserve">CONSCIENTE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de que, sin perjuicio de la primacía de la responsabilidad del Estado del pabellón, emprender acciones, de conformidad con la legislación interna vigente, con respecto a los individuos que se dedican a la pesca </w:t>
      </w:r>
      <w:proofErr w:type="spellStart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IUU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 y a actividades relacionadas con la pesca </w:t>
      </w:r>
      <w:proofErr w:type="spellStart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IUU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 o la apoyan, es esencial para luchar contra dichas actividades,</w:t>
      </w:r>
    </w:p>
    <w:p w14:paraId="3E732065" w14:textId="77777777" w:rsidR="00B26526" w:rsidRPr="00B26526" w:rsidRDefault="00B26526" w:rsidP="00B26526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0"/>
          <w:szCs w:val="20"/>
          <w:lang w:val="es-ES"/>
        </w:rPr>
      </w:pPr>
    </w:p>
    <w:p w14:paraId="61AE9FD3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Times New Roman" w:hAnsi="Cambria" w:cs="Times New Roman"/>
          <w:i/>
          <w:iCs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i/>
          <w:iCs/>
          <w:sz w:val="20"/>
          <w:szCs w:val="20"/>
          <w:lang w:val="es-ES"/>
        </w:rPr>
        <w:t xml:space="preserve">CONSCIENTES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de que las estructuras corporativas internacionales, los proveedores de seguros y otros acuerdos financieros son a menudo empleados por los operadores </w:t>
      </w:r>
      <w:proofErr w:type="spellStart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IUU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 (lo que incluye los armadores y propietarios efectivos) para limitar su responsabilidad y evitar los reglamentos y conscientes de la necesidad para las CPC de fomentar y apoyar la investigación de dichas prácticas,</w:t>
      </w:r>
    </w:p>
    <w:p w14:paraId="03365964" w14:textId="77777777" w:rsidR="00B26526" w:rsidRPr="00B26526" w:rsidRDefault="00B26526" w:rsidP="00B2652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57100ED8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i/>
          <w:caps/>
          <w:sz w:val="20"/>
          <w:szCs w:val="20"/>
          <w:lang w:val="es-ES"/>
        </w:rPr>
        <w:t xml:space="preserve">Constatando 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que el Plan de acción internacional de la </w:t>
      </w:r>
      <w:r w:rsidRPr="00B26526">
        <w:rPr>
          <w:rFonts w:ascii="Cambria" w:eastAsia="Batang" w:hAnsi="Cambria" w:cs="Times New Roman"/>
          <w:caps/>
          <w:sz w:val="20"/>
          <w:szCs w:val="20"/>
          <w:lang w:val="es-ES"/>
        </w:rPr>
        <w:t>fao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para prevenir, desalentar y eliminar la pesca ilegal, no declarada y no reglamentada pide a los Estados que tomen medidas con el fin de disuadir a los nacionales bajo su jurisdicción de que respalden o participen en cualquier actividad que menoscabe la eficacia de las medidas internacionales de conservación y ordenación;</w:t>
      </w:r>
    </w:p>
    <w:p w14:paraId="1E16532F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</w:p>
    <w:p w14:paraId="5981ECF7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i/>
          <w:sz w:val="20"/>
          <w:szCs w:val="20"/>
          <w:lang w:val="es-ES"/>
        </w:rPr>
        <w:t>RECORDANDO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que las CPC deberían cooperar para emprender las acciones apropiadas para impedir cualquier actividad que no sea consecuente con el objetivo del Convenio;</w:t>
      </w:r>
    </w:p>
    <w:p w14:paraId="686CB717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</w:p>
    <w:p w14:paraId="2DB8D4C2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i/>
          <w:iCs/>
          <w:sz w:val="20"/>
          <w:szCs w:val="20"/>
          <w:lang w:val="es-ES"/>
        </w:rPr>
        <w:t>EN LA DETERMINACIÓN DE</w:t>
      </w:r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reforzar sus medidas de seguimiento integradas destinadas a eliminar la pesca </w:t>
      </w:r>
      <w:proofErr w:type="spellStart"/>
      <w:r w:rsidRPr="00B26526">
        <w:rPr>
          <w:rFonts w:ascii="Cambria" w:eastAsia="Batang" w:hAnsi="Cambria" w:cs="Times New Roman"/>
          <w:sz w:val="20"/>
          <w:szCs w:val="20"/>
          <w:lang w:val="es-ES"/>
        </w:rPr>
        <w:t>IUU</w:t>
      </w:r>
      <w:proofErr w:type="spellEnd"/>
      <w:r w:rsidRPr="00B26526">
        <w:rPr>
          <w:rFonts w:ascii="Cambria" w:eastAsia="Batang" w:hAnsi="Cambria" w:cs="Times New Roman"/>
          <w:sz w:val="20"/>
          <w:szCs w:val="20"/>
          <w:lang w:val="es-ES"/>
        </w:rPr>
        <w:t xml:space="preserve"> en la zona del Convenio de ICCAT;</w:t>
      </w:r>
    </w:p>
    <w:p w14:paraId="26C6E36E" w14:textId="77777777" w:rsidR="00B26526" w:rsidRPr="00B26526" w:rsidRDefault="00B26526" w:rsidP="00B26526">
      <w:pPr>
        <w:spacing w:after="0" w:line="240" w:lineRule="auto"/>
        <w:ind w:firstLine="340"/>
        <w:jc w:val="both"/>
        <w:rPr>
          <w:rFonts w:ascii="Cambria" w:eastAsia="Batang" w:hAnsi="Cambria" w:cs="Times New Roman"/>
          <w:sz w:val="20"/>
          <w:szCs w:val="20"/>
          <w:lang w:val="es-ES"/>
        </w:rPr>
      </w:pPr>
    </w:p>
    <w:p w14:paraId="370FBB58" w14:textId="77777777" w:rsidR="00B26526" w:rsidRPr="00B26526" w:rsidRDefault="00B26526" w:rsidP="00B26526">
      <w:pPr>
        <w:spacing w:after="0" w:line="240" w:lineRule="auto"/>
        <w:jc w:val="center"/>
        <w:rPr>
          <w:rFonts w:ascii="Cambria" w:eastAsia="Times New Roman" w:hAnsi="Cambria" w:cs="Times New Roman"/>
          <w:caps/>
          <w:sz w:val="20"/>
          <w:szCs w:val="20"/>
          <w:lang w:val="es-ES"/>
        </w:rPr>
      </w:pPr>
      <w:r w:rsidRPr="00B26526">
        <w:rPr>
          <w:rFonts w:ascii="Cambria" w:eastAsia="Batang" w:hAnsi="Cambria" w:cs="Times New Roman"/>
          <w:caps/>
          <w:sz w:val="20"/>
          <w:szCs w:val="20"/>
          <w:lang w:val="es-ES"/>
        </w:rPr>
        <w:t xml:space="preserve">La </w:t>
      </w:r>
      <w:r w:rsidRPr="00B26526">
        <w:rPr>
          <w:rFonts w:ascii="Cambria" w:eastAsia="Times New Roman" w:hAnsi="Cambria" w:cs="Times New Roman"/>
          <w:caps/>
          <w:sz w:val="20"/>
          <w:szCs w:val="20"/>
          <w:lang w:val="es-ES"/>
        </w:rPr>
        <w:t xml:space="preserve">Comisión Internacional para la Conservación </w:t>
      </w:r>
    </w:p>
    <w:p w14:paraId="7192E446" w14:textId="77777777" w:rsidR="00B26526" w:rsidRPr="00B26526" w:rsidRDefault="00B26526" w:rsidP="00B26526">
      <w:pPr>
        <w:spacing w:after="0" w:line="240" w:lineRule="auto"/>
        <w:jc w:val="center"/>
        <w:rPr>
          <w:rFonts w:ascii="Cambria" w:eastAsia="Times New Roman" w:hAnsi="Cambria" w:cs="Times New Roman"/>
          <w:caps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caps/>
          <w:sz w:val="20"/>
          <w:szCs w:val="20"/>
          <w:lang w:val="es-ES"/>
        </w:rPr>
        <w:t xml:space="preserve">del Atún Atlántico (ICCAT) </w:t>
      </w:r>
      <w:r w:rsidRPr="00B26526">
        <w:rPr>
          <w:rFonts w:ascii="Cambria" w:eastAsia="Batang" w:hAnsi="Cambria" w:cs="Times New Roman"/>
          <w:caps/>
          <w:sz w:val="20"/>
          <w:szCs w:val="20"/>
          <w:lang w:val="es-ES"/>
        </w:rPr>
        <w:t>Recomienda lo siguiente:</w:t>
      </w:r>
    </w:p>
    <w:p w14:paraId="2B4C524F" w14:textId="77777777" w:rsidR="00B26526" w:rsidRPr="00B26526" w:rsidRDefault="00B26526" w:rsidP="00B26526">
      <w:pPr>
        <w:spacing w:after="0" w:line="240" w:lineRule="auto"/>
        <w:jc w:val="both"/>
        <w:rPr>
          <w:rFonts w:ascii="Cambria" w:eastAsia="Batang" w:hAnsi="Cambria" w:cs="Times New Roman"/>
          <w:caps/>
          <w:sz w:val="20"/>
          <w:szCs w:val="20"/>
          <w:lang w:val="es-ES"/>
        </w:rPr>
      </w:pPr>
    </w:p>
    <w:p w14:paraId="29FE645C" w14:textId="77777777" w:rsidR="00B26526" w:rsidRPr="00B26526" w:rsidRDefault="00B26526" w:rsidP="00B26526">
      <w:pPr>
        <w:spacing w:after="0" w:line="240" w:lineRule="auto"/>
        <w:ind w:left="340" w:hanging="340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  <w:bookmarkStart w:id="0" w:name="_Hlk69984674"/>
      <w:r w:rsidRPr="00B26526">
        <w:rPr>
          <w:rFonts w:ascii="Cambria" w:eastAsia="Batang" w:hAnsi="Cambria" w:cs="Times New Roman"/>
          <w:caps/>
          <w:sz w:val="20"/>
          <w:szCs w:val="20"/>
          <w:lang w:val="es-ES"/>
        </w:rPr>
        <w:t>1.</w:t>
      </w:r>
      <w:r w:rsidRPr="00B26526">
        <w:rPr>
          <w:rFonts w:ascii="Cambria" w:eastAsia="Batang" w:hAnsi="Cambria" w:cs="Times New Roman"/>
          <w:caps/>
          <w:sz w:val="20"/>
          <w:szCs w:val="20"/>
          <w:lang w:val="es-ES"/>
        </w:rPr>
        <w:tab/>
        <w:t>S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in perjuicio de la responsabilidad principal que incumbe al Estado del pabellón, las CPC tomarán las medidas apropiadas, sujetas a sus legislaciones y reglamentos aplicables </w:t>
      </w:r>
      <w:r w:rsidRPr="00B26526">
        <w:rPr>
          <w:rFonts w:ascii="Cambria" w:eastAsia="Times New Roman" w:hAnsi="Cambria" w:cs="Arial"/>
          <w:kern w:val="2"/>
          <w:sz w:val="20"/>
          <w:szCs w:val="20"/>
          <w:lang w:val="es-ES" w:eastAsia="ja-JP"/>
        </w:rPr>
        <w:t xml:space="preserve">existentes o las legislaciones y reglamentos pertinentes que se desarrollen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y de conformidad con estos:</w:t>
      </w:r>
    </w:p>
    <w:p w14:paraId="1F5CF816" w14:textId="77777777" w:rsidR="00B26526" w:rsidRPr="00B26526" w:rsidRDefault="00B26526" w:rsidP="00B2652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4CA63597" w14:textId="77777777" w:rsidR="00B26526" w:rsidRPr="00B26526" w:rsidRDefault="00B26526" w:rsidP="00B26526">
      <w:pPr>
        <w:numPr>
          <w:ilvl w:val="0"/>
          <w:numId w:val="3"/>
        </w:numPr>
        <w:spacing w:after="0" w:line="240" w:lineRule="auto"/>
        <w:ind w:left="709" w:hanging="270"/>
        <w:contextualSpacing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para investigar y verificar cualquier alegación y/o informe sobre cualquier persona natural o jurídica bajo su jurisdicción que haya estado implicada o esté implicada en las actividades descritas, </w:t>
      </w:r>
      <w:r w:rsidRPr="00B26526">
        <w:rPr>
          <w:rFonts w:ascii="Cambria" w:eastAsia="Times New Roman" w:hAnsi="Cambria" w:cs="Times New Roman"/>
          <w:i/>
          <w:iCs/>
          <w:sz w:val="20"/>
          <w:szCs w:val="20"/>
          <w:lang w:val="es-ES"/>
        </w:rPr>
        <w:t xml:space="preserve">inter </w:t>
      </w:r>
      <w:proofErr w:type="spellStart"/>
      <w:r w:rsidRPr="00B26526">
        <w:rPr>
          <w:rFonts w:ascii="Cambria" w:eastAsia="Times New Roman" w:hAnsi="Cambria" w:cs="Times New Roman"/>
          <w:i/>
          <w:iCs/>
          <w:sz w:val="20"/>
          <w:szCs w:val="20"/>
          <w:lang w:val="es-ES"/>
        </w:rPr>
        <w:t>alia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, en el párrafo 1 de </w:t>
      </w:r>
      <w:r w:rsidRPr="00B26526">
        <w:rPr>
          <w:rFonts w:ascii="Cambria" w:eastAsia="Times New Roman" w:hAnsi="Cambria" w:cs="Times New Roman"/>
          <w:iCs/>
          <w:sz w:val="20"/>
          <w:szCs w:val="20"/>
          <w:lang w:val="es-ES"/>
        </w:rPr>
        <w:t>la</w:t>
      </w:r>
      <w:r w:rsidRPr="00B26526">
        <w:rPr>
          <w:rFonts w:ascii="Cambria" w:eastAsia="Times New Roman" w:hAnsi="Cambria" w:cs="Times New Roman"/>
          <w:i/>
          <w:sz w:val="20"/>
          <w:szCs w:val="20"/>
          <w:lang w:val="es-ES"/>
        </w:rPr>
        <w:t xml:space="preserve"> Recomendación de ICCAT que enmienda la Recomendación 18-08 para </w:t>
      </w:r>
      <w:r w:rsidRPr="00B26526">
        <w:rPr>
          <w:rFonts w:ascii="Cambria" w:eastAsia="Times New Roman" w:hAnsi="Cambria" w:cs="Times New Roman"/>
          <w:i/>
          <w:sz w:val="20"/>
          <w:szCs w:val="20"/>
          <w:lang w:val="es-ES"/>
        </w:rPr>
        <w:lastRenderedPageBreak/>
        <w:t>establecer una lista de buques supuestamente implicados en actividades de pesca ilegal, no declarada y no reglamentada</w:t>
      </w:r>
      <w:r w:rsidRPr="00B26526">
        <w:rPr>
          <w:rFonts w:ascii="Calibri" w:eastAsia="Calibri" w:hAnsi="Calibri" w:cs="Times New Roman"/>
          <w:lang w:val="es-ES"/>
        </w:rPr>
        <w:t xml:space="preserve">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(Rec. 21-13</w:t>
      </w:r>
      <w:r w:rsidRPr="00B26526">
        <w:rPr>
          <w:rFonts w:ascii="Cambria" w:eastAsia="Times New Roman" w:hAnsi="Cambria" w:cs="Times New Roman"/>
          <w:sz w:val="20"/>
          <w:szCs w:val="20"/>
          <w:vertAlign w:val="superscript"/>
          <w:lang w:val="es-ES"/>
        </w:rPr>
        <w:footnoteReference w:id="1"/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);</w:t>
      </w:r>
    </w:p>
    <w:p w14:paraId="1F62B447" w14:textId="77777777" w:rsidR="00B26526" w:rsidRPr="00B26526" w:rsidRDefault="00B26526" w:rsidP="00B26526">
      <w:pPr>
        <w:spacing w:after="0" w:line="240" w:lineRule="auto"/>
        <w:ind w:left="709"/>
        <w:contextualSpacing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28AADA24" w14:textId="77777777" w:rsidR="00B26526" w:rsidRPr="00B26526" w:rsidRDefault="00B26526" w:rsidP="00B26526">
      <w:pPr>
        <w:numPr>
          <w:ilvl w:val="0"/>
          <w:numId w:val="3"/>
        </w:numPr>
        <w:spacing w:after="0" w:line="240" w:lineRule="auto"/>
        <w:ind w:left="709" w:hanging="270"/>
        <w:contextualSpacing/>
        <w:jc w:val="both"/>
        <w:rPr>
          <w:rFonts w:ascii="Cambria" w:eastAsia="Times New Roman" w:hAnsi="Cambria" w:cs="Times New Roman"/>
          <w:iCs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iCs/>
          <w:sz w:val="20"/>
          <w:szCs w:val="20"/>
          <w:lang w:val="es-ES"/>
        </w:rPr>
        <w:t xml:space="preserve">para investigar y verificar alegaciones y/o informes de que las personas físicas o jurídicas bajo su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jurisdicción</w:t>
      </w:r>
      <w:r w:rsidRPr="00B26526">
        <w:rPr>
          <w:rFonts w:ascii="Cambria" w:eastAsia="Times New Roman" w:hAnsi="Cambria" w:cs="Times New Roman"/>
          <w:iCs/>
          <w:sz w:val="20"/>
          <w:szCs w:val="20"/>
          <w:lang w:val="es-ES"/>
        </w:rPr>
        <w:t xml:space="preserve"> son responsables, se benefician o apoyan las actividades descritas en el punto (i) anterior (por ejemplo, como los operadores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, </w:t>
      </w:r>
      <w:r w:rsidRPr="00B26526">
        <w:rPr>
          <w:rFonts w:ascii="Cambria" w:eastAsia="Times New Roman" w:hAnsi="Cambria" w:cs="Times New Roman"/>
          <w:iCs/>
          <w:sz w:val="20"/>
          <w:szCs w:val="20"/>
          <w:lang w:val="es-ES"/>
        </w:rPr>
        <w:t>armadores, incluidos los propietarios efectivos, proveedores logísticos y de servicios, lo que incluye servicios de seguros y otros servicios financieros);</w:t>
      </w:r>
      <w:bookmarkEnd w:id="0"/>
    </w:p>
    <w:p w14:paraId="3D7F6275" w14:textId="77777777" w:rsidR="00B26526" w:rsidRPr="00B26526" w:rsidRDefault="00B26526" w:rsidP="00B26526">
      <w:pPr>
        <w:ind w:left="709"/>
        <w:contextualSpacing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5AF0F200" w14:textId="77777777" w:rsidR="00B26526" w:rsidRPr="00B26526" w:rsidRDefault="00B26526" w:rsidP="00B26526">
      <w:pPr>
        <w:numPr>
          <w:ilvl w:val="0"/>
          <w:numId w:val="3"/>
        </w:numPr>
        <w:spacing w:after="0" w:line="240" w:lineRule="auto"/>
        <w:ind w:left="709" w:hanging="270"/>
        <w:contextualSpacing/>
        <w:jc w:val="both"/>
        <w:rPr>
          <w:rFonts w:ascii="Cambria" w:eastAsia="Times New Roman" w:hAnsi="Cambria" w:cs="Times New Roman"/>
          <w:iCs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para emprender la acción apropiada eficaz y disuasoria en respuesta a cualquier actividad comprobada mencionada en los </w:t>
      </w:r>
      <w:r w:rsidRPr="00B26526">
        <w:rPr>
          <w:rFonts w:ascii="Cambria" w:eastAsia="Times New Roman" w:hAnsi="Cambria" w:cs="Times New Roman"/>
          <w:color w:val="000000"/>
          <w:sz w:val="20"/>
          <w:szCs w:val="20"/>
          <w:lang w:val="es-ES" w:eastAsia="es-ES"/>
        </w:rPr>
        <w:t>subpárrafos 1 (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i) y (</w:t>
      </w:r>
      <w:proofErr w:type="spellStart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ii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); y </w:t>
      </w:r>
    </w:p>
    <w:p w14:paraId="6880DF7C" w14:textId="77777777" w:rsidR="00B26526" w:rsidRPr="00B26526" w:rsidRDefault="00B26526" w:rsidP="00B26526">
      <w:pPr>
        <w:ind w:left="709"/>
        <w:contextualSpacing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330A910F" w14:textId="77777777" w:rsidR="00B26526" w:rsidRPr="00B26526" w:rsidRDefault="00B26526" w:rsidP="00B26526">
      <w:pPr>
        <w:numPr>
          <w:ilvl w:val="0"/>
          <w:numId w:val="3"/>
        </w:numPr>
        <w:spacing w:after="0" w:line="240" w:lineRule="auto"/>
        <w:ind w:left="709" w:hanging="270"/>
        <w:contextualSpacing/>
        <w:jc w:val="both"/>
        <w:rPr>
          <w:rFonts w:ascii="Cambria" w:eastAsia="Times New Roman" w:hAnsi="Cambria" w:cs="Times New Roman"/>
          <w:iCs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para cooperar con el fin de implementar las medidas y acciones mencionadas en los </w:t>
      </w:r>
      <w:r w:rsidRPr="00B26526">
        <w:rPr>
          <w:rFonts w:ascii="Cambria" w:eastAsia="Calibri" w:hAnsi="Cambria" w:cs="Times New Roman"/>
          <w:color w:val="000000"/>
          <w:sz w:val="20"/>
          <w:szCs w:val="20"/>
          <w:lang w:val="es-ES"/>
        </w:rPr>
        <w:t>subpárrafos 1 (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i) y (</w:t>
      </w:r>
      <w:proofErr w:type="spellStart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ii</w:t>
      </w:r>
      <w:proofErr w:type="spellEnd"/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). A este efecto, las agencias pertinentes de las CPC deberían cooperar para implementar las medidas de conservación y ordenación de ICCAT y las CPC solicitarán la cooperación de las partes interesadas que se hallen bajo su jurisdicción.</w:t>
      </w:r>
    </w:p>
    <w:p w14:paraId="376BAD57" w14:textId="77777777" w:rsidR="00B26526" w:rsidRPr="00B26526" w:rsidRDefault="00B26526" w:rsidP="00B26526">
      <w:pPr>
        <w:ind w:left="720"/>
        <w:contextualSpacing/>
        <w:jc w:val="both"/>
        <w:rPr>
          <w:rFonts w:ascii="Cambria" w:eastAsia="Times New Roman" w:hAnsi="Cambria" w:cs="Times New Roman"/>
          <w:iCs/>
          <w:sz w:val="20"/>
          <w:szCs w:val="20"/>
          <w:lang w:val="es-ES"/>
        </w:rPr>
      </w:pPr>
    </w:p>
    <w:p w14:paraId="38E5A19F" w14:textId="77777777" w:rsidR="00B26526" w:rsidRPr="00B26526" w:rsidRDefault="00B26526" w:rsidP="00B26526">
      <w:pPr>
        <w:spacing w:after="0" w:line="240" w:lineRule="auto"/>
        <w:ind w:left="340" w:hanging="340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>2.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ab/>
        <w:t>Para contribuir a la implementación de esta Recomendación, las CPC, de conformidad con los requisitos de confidencialidad y privacidad de su legislación nacional, presentarán informes a la Secretaría de ICCAT y a las CPC sobre las medidas y acciones emprendidas de conformidad con el párrafo 1, de forma oportuna.</w:t>
      </w:r>
    </w:p>
    <w:p w14:paraId="5C762162" w14:textId="77777777" w:rsidR="00B26526" w:rsidRPr="00B26526" w:rsidRDefault="00B26526" w:rsidP="00B26526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</w:p>
    <w:p w14:paraId="3AEB9786" w14:textId="77777777" w:rsidR="00B26526" w:rsidRPr="00B26526" w:rsidRDefault="00B26526" w:rsidP="00B26526">
      <w:pPr>
        <w:spacing w:after="0" w:line="240" w:lineRule="auto"/>
        <w:ind w:left="340" w:hanging="340"/>
        <w:jc w:val="both"/>
        <w:rPr>
          <w:rFonts w:ascii="Cambria" w:eastAsia="Times New Roman" w:hAnsi="Cambria" w:cs="Times New Roman"/>
          <w:sz w:val="20"/>
          <w:szCs w:val="20"/>
          <w:lang w:val="es-ES"/>
        </w:rPr>
      </w:pP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 xml:space="preserve">3. </w:t>
      </w:r>
      <w:r w:rsidRPr="00B26526">
        <w:rPr>
          <w:rFonts w:ascii="Cambria" w:eastAsia="Times New Roman" w:hAnsi="Cambria" w:cs="Times New Roman"/>
          <w:sz w:val="20"/>
          <w:szCs w:val="20"/>
          <w:lang w:val="es-ES"/>
        </w:rPr>
        <w:tab/>
        <w:t>La Recomendación 06-14 queda derogada y sustituida por la presente Recomendación.</w:t>
      </w:r>
    </w:p>
    <w:p w14:paraId="11772621" w14:textId="0A7A7F01" w:rsidR="00DD5783" w:rsidRPr="00B8417F" w:rsidRDefault="00DD5783" w:rsidP="00B26526">
      <w:pPr>
        <w:tabs>
          <w:tab w:val="left" w:pos="340"/>
        </w:tabs>
        <w:spacing w:after="0" w:line="240" w:lineRule="auto"/>
        <w:ind w:firstLine="340"/>
        <w:jc w:val="both"/>
        <w:rPr>
          <w:lang w:val="es-ES"/>
        </w:rPr>
      </w:pPr>
    </w:p>
    <w:sectPr w:rsidR="00DD5783" w:rsidRPr="00B8417F" w:rsidSect="003A1CBE"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F83D" w14:textId="77777777" w:rsidR="00A22DF6" w:rsidRDefault="00A22DF6" w:rsidP="002E2E33">
      <w:pPr>
        <w:spacing w:after="0" w:line="240" w:lineRule="auto"/>
      </w:pPr>
      <w:r>
        <w:separator/>
      </w:r>
    </w:p>
  </w:endnote>
  <w:endnote w:type="continuationSeparator" w:id="0">
    <w:p w14:paraId="256CF603" w14:textId="77777777" w:rsidR="00A22DF6" w:rsidRDefault="00A22DF6" w:rsidP="002E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0368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EC1803" w14:textId="5CAA304E" w:rsidR="00361A77" w:rsidRPr="003A1CBE" w:rsidRDefault="003A1CBE" w:rsidP="003A1CBE">
            <w:pPr>
              <w:pStyle w:val="Footer"/>
              <w:jc w:val="center"/>
              <w:rPr>
                <w:rFonts w:ascii="Cambria" w:hAnsi="Cambria"/>
                <w:sz w:val="20"/>
                <w:szCs w:val="20"/>
              </w:rPr>
            </w:pPr>
            <w:r w:rsidRPr="00D35466">
              <w:rPr>
                <w:rFonts w:ascii="Cambria" w:hAnsi="Cambria"/>
                <w:sz w:val="20"/>
                <w:szCs w:val="20"/>
                <w:lang w:val="es-ES_tradnl"/>
              </w:rPr>
              <w:fldChar w:fldCharType="begin"/>
            </w:r>
            <w:r w:rsidRPr="00D35466">
              <w:rPr>
                <w:rFonts w:ascii="Cambria" w:hAnsi="Cambria"/>
                <w:sz w:val="20"/>
                <w:szCs w:val="20"/>
                <w:lang w:val="es-ES_tradnl"/>
              </w:rPr>
              <w:instrText xml:space="preserve"> PAGE </w:instrText>
            </w:r>
            <w:r w:rsidRPr="00D35466">
              <w:rPr>
                <w:rFonts w:ascii="Cambria" w:hAnsi="Cambria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  <w:lang w:val="es-ES_tradnl"/>
              </w:rPr>
              <w:t>1</w:t>
            </w:r>
            <w:r w:rsidRPr="00D35466">
              <w:rPr>
                <w:rFonts w:ascii="Cambria" w:hAnsi="Cambria"/>
                <w:sz w:val="20"/>
                <w:szCs w:val="20"/>
                <w:lang w:val="es-ES_tradn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DE18" w14:textId="77777777" w:rsidR="00A22DF6" w:rsidRDefault="00A22DF6" w:rsidP="002E2E33">
      <w:pPr>
        <w:spacing w:after="0" w:line="240" w:lineRule="auto"/>
      </w:pPr>
      <w:r>
        <w:separator/>
      </w:r>
    </w:p>
  </w:footnote>
  <w:footnote w:type="continuationSeparator" w:id="0">
    <w:p w14:paraId="7E0A1CFA" w14:textId="77777777" w:rsidR="00A22DF6" w:rsidRDefault="00A22DF6" w:rsidP="002E2E33">
      <w:pPr>
        <w:spacing w:after="0" w:line="240" w:lineRule="auto"/>
      </w:pPr>
      <w:r>
        <w:continuationSeparator/>
      </w:r>
    </w:p>
  </w:footnote>
  <w:footnote w:id="1">
    <w:p w14:paraId="7B20D13C" w14:textId="77777777" w:rsidR="00B26526" w:rsidRPr="00975455" w:rsidRDefault="00B26526" w:rsidP="00B26526">
      <w:pPr>
        <w:pStyle w:val="FootnoteText"/>
        <w:rPr>
          <w:rFonts w:ascii="Cambria" w:hAnsi="Cambria"/>
          <w:sz w:val="16"/>
          <w:szCs w:val="16"/>
          <w:lang w:val="es-ES"/>
        </w:rPr>
      </w:pPr>
      <w:r w:rsidRPr="00BB1D34">
        <w:rPr>
          <w:rStyle w:val="FootnoteReference"/>
          <w:rFonts w:ascii="Cambria" w:hAnsi="Cambria"/>
          <w:sz w:val="16"/>
          <w:szCs w:val="16"/>
        </w:rPr>
        <w:footnoteRef/>
      </w:r>
      <w:r w:rsidRPr="00BB1D34">
        <w:rPr>
          <w:rFonts w:ascii="Cambria" w:hAnsi="Cambria"/>
          <w:sz w:val="16"/>
          <w:szCs w:val="16"/>
          <w:vertAlign w:val="superscript"/>
          <w:lang w:val="es-ES"/>
        </w:rPr>
        <w:t xml:space="preserve"> </w:t>
      </w:r>
      <w:r>
        <w:rPr>
          <w:rFonts w:ascii="Cambria" w:hAnsi="Cambria"/>
          <w:sz w:val="16"/>
          <w:szCs w:val="16"/>
          <w:lang w:val="es-ES"/>
        </w:rPr>
        <w:t>Esta medida fue r</w:t>
      </w:r>
      <w:r w:rsidRPr="00A0712D">
        <w:rPr>
          <w:rFonts w:ascii="Cambria" w:hAnsi="Cambria"/>
          <w:sz w:val="16"/>
          <w:szCs w:val="16"/>
          <w:lang w:val="es-ES"/>
        </w:rPr>
        <w:t>evocada y sustituida por la Rec</w:t>
      </w:r>
      <w:r>
        <w:rPr>
          <w:rFonts w:ascii="Cambria" w:hAnsi="Cambria"/>
          <w:sz w:val="16"/>
          <w:szCs w:val="16"/>
          <w:lang w:val="es-ES"/>
        </w:rPr>
        <w:t>omendación</w:t>
      </w:r>
      <w:r w:rsidRPr="00A0712D">
        <w:rPr>
          <w:rFonts w:ascii="Cambria" w:hAnsi="Cambria"/>
          <w:sz w:val="16"/>
          <w:szCs w:val="16"/>
          <w:lang w:val="es-ES"/>
        </w:rPr>
        <w:t xml:space="preserve"> 23-16.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C67"/>
    <w:multiLevelType w:val="hybridMultilevel"/>
    <w:tmpl w:val="8F1C977E"/>
    <w:lvl w:ilvl="0" w:tplc="1610B9D4">
      <w:start w:val="1"/>
      <w:numFmt w:val="lowerRoman"/>
      <w:lvlText w:val="(%1)"/>
      <w:lvlJc w:val="left"/>
      <w:pPr>
        <w:ind w:left="1571" w:hanging="72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5FF34EF"/>
    <w:multiLevelType w:val="hybridMultilevel"/>
    <w:tmpl w:val="C420969C"/>
    <w:lvl w:ilvl="0" w:tplc="0409001B">
      <w:start w:val="1"/>
      <w:numFmt w:val="lowerRoman"/>
      <w:lvlText w:val="%1."/>
      <w:lvlJc w:val="right"/>
      <w:pPr>
        <w:ind w:left="1110" w:hanging="720"/>
      </w:pPr>
      <w:rPr>
        <w:rFonts w:hint="default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3D47AA6"/>
    <w:multiLevelType w:val="hybridMultilevel"/>
    <w:tmpl w:val="E9002DFA"/>
    <w:lvl w:ilvl="0" w:tplc="EBA47D9A">
      <w:start w:val="1"/>
      <w:numFmt w:val="lowerRoman"/>
      <w:lvlText w:val="(%1)"/>
      <w:lvlJc w:val="left"/>
      <w:pPr>
        <w:ind w:left="127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ind w:left="2356" w:hanging="180"/>
      </w:pPr>
    </w:lvl>
    <w:lvl w:ilvl="3" w:tplc="0C0A000F" w:tentative="1">
      <w:start w:val="1"/>
      <w:numFmt w:val="decimal"/>
      <w:lvlText w:val="%4."/>
      <w:lvlJc w:val="left"/>
      <w:pPr>
        <w:ind w:left="3076" w:hanging="360"/>
      </w:pPr>
    </w:lvl>
    <w:lvl w:ilvl="4" w:tplc="0C0A0019" w:tentative="1">
      <w:start w:val="1"/>
      <w:numFmt w:val="lowerLetter"/>
      <w:lvlText w:val="%5."/>
      <w:lvlJc w:val="left"/>
      <w:pPr>
        <w:ind w:left="3796" w:hanging="360"/>
      </w:pPr>
    </w:lvl>
    <w:lvl w:ilvl="5" w:tplc="0C0A001B" w:tentative="1">
      <w:start w:val="1"/>
      <w:numFmt w:val="lowerRoman"/>
      <w:lvlText w:val="%6."/>
      <w:lvlJc w:val="right"/>
      <w:pPr>
        <w:ind w:left="4516" w:hanging="180"/>
      </w:pPr>
    </w:lvl>
    <w:lvl w:ilvl="6" w:tplc="0C0A000F" w:tentative="1">
      <w:start w:val="1"/>
      <w:numFmt w:val="decimal"/>
      <w:lvlText w:val="%7."/>
      <w:lvlJc w:val="left"/>
      <w:pPr>
        <w:ind w:left="5236" w:hanging="360"/>
      </w:pPr>
    </w:lvl>
    <w:lvl w:ilvl="7" w:tplc="0C0A0019" w:tentative="1">
      <w:start w:val="1"/>
      <w:numFmt w:val="lowerLetter"/>
      <w:lvlText w:val="%8."/>
      <w:lvlJc w:val="left"/>
      <w:pPr>
        <w:ind w:left="5956" w:hanging="360"/>
      </w:pPr>
    </w:lvl>
    <w:lvl w:ilvl="8" w:tplc="0C0A001B" w:tentative="1">
      <w:start w:val="1"/>
      <w:numFmt w:val="lowerRoman"/>
      <w:lvlText w:val="%9."/>
      <w:lvlJc w:val="right"/>
      <w:pPr>
        <w:ind w:left="6676" w:hanging="180"/>
      </w:pPr>
    </w:lvl>
  </w:abstractNum>
  <w:num w:numId="1" w16cid:durableId="646277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179883">
    <w:abstractNumId w:val="2"/>
  </w:num>
  <w:num w:numId="3" w16cid:durableId="1667705296">
    <w:abstractNumId w:val="1"/>
  </w:num>
  <w:num w:numId="4" w16cid:durableId="131729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33"/>
    <w:rsid w:val="000658A6"/>
    <w:rsid w:val="000A0CC6"/>
    <w:rsid w:val="0011775D"/>
    <w:rsid w:val="001664BD"/>
    <w:rsid w:val="001711EC"/>
    <w:rsid w:val="00187306"/>
    <w:rsid w:val="001B6122"/>
    <w:rsid w:val="001E2632"/>
    <w:rsid w:val="002472C8"/>
    <w:rsid w:val="002C4C87"/>
    <w:rsid w:val="002E2E33"/>
    <w:rsid w:val="00303B96"/>
    <w:rsid w:val="00361A77"/>
    <w:rsid w:val="00395532"/>
    <w:rsid w:val="00395EB3"/>
    <w:rsid w:val="003A1CBE"/>
    <w:rsid w:val="00456912"/>
    <w:rsid w:val="004B1698"/>
    <w:rsid w:val="004B16D6"/>
    <w:rsid w:val="004C15D1"/>
    <w:rsid w:val="004C60DE"/>
    <w:rsid w:val="004F3C16"/>
    <w:rsid w:val="004F6AAF"/>
    <w:rsid w:val="005255E5"/>
    <w:rsid w:val="00540F07"/>
    <w:rsid w:val="00545E9F"/>
    <w:rsid w:val="00550F21"/>
    <w:rsid w:val="00553696"/>
    <w:rsid w:val="005B647A"/>
    <w:rsid w:val="005E2736"/>
    <w:rsid w:val="00610F78"/>
    <w:rsid w:val="006313CB"/>
    <w:rsid w:val="00697755"/>
    <w:rsid w:val="006A1D1A"/>
    <w:rsid w:val="006A4BC1"/>
    <w:rsid w:val="006E5906"/>
    <w:rsid w:val="006F3F68"/>
    <w:rsid w:val="006F64C4"/>
    <w:rsid w:val="0072065E"/>
    <w:rsid w:val="0079005F"/>
    <w:rsid w:val="007C74D5"/>
    <w:rsid w:val="008144BE"/>
    <w:rsid w:val="00851514"/>
    <w:rsid w:val="008654EB"/>
    <w:rsid w:val="008741BA"/>
    <w:rsid w:val="008A015E"/>
    <w:rsid w:val="008B655B"/>
    <w:rsid w:val="009406B2"/>
    <w:rsid w:val="009B1ADE"/>
    <w:rsid w:val="009D2C87"/>
    <w:rsid w:val="00A102E8"/>
    <w:rsid w:val="00A14A55"/>
    <w:rsid w:val="00A22DF6"/>
    <w:rsid w:val="00A54489"/>
    <w:rsid w:val="00A65A36"/>
    <w:rsid w:val="00A72C68"/>
    <w:rsid w:val="00A8694E"/>
    <w:rsid w:val="00A93187"/>
    <w:rsid w:val="00B12D85"/>
    <w:rsid w:val="00B24047"/>
    <w:rsid w:val="00B26526"/>
    <w:rsid w:val="00B55E83"/>
    <w:rsid w:val="00B67046"/>
    <w:rsid w:val="00B72417"/>
    <w:rsid w:val="00B8417F"/>
    <w:rsid w:val="00B86CB1"/>
    <w:rsid w:val="00BD7DE5"/>
    <w:rsid w:val="00BF02DA"/>
    <w:rsid w:val="00C139A2"/>
    <w:rsid w:val="00C1468F"/>
    <w:rsid w:val="00C3072C"/>
    <w:rsid w:val="00C42FDA"/>
    <w:rsid w:val="00C5389F"/>
    <w:rsid w:val="00C568BD"/>
    <w:rsid w:val="00C927B4"/>
    <w:rsid w:val="00CC4EF2"/>
    <w:rsid w:val="00CD7F6E"/>
    <w:rsid w:val="00D0439F"/>
    <w:rsid w:val="00D5181B"/>
    <w:rsid w:val="00D646D2"/>
    <w:rsid w:val="00D80467"/>
    <w:rsid w:val="00DC6857"/>
    <w:rsid w:val="00DD5783"/>
    <w:rsid w:val="00DE1D72"/>
    <w:rsid w:val="00DF367D"/>
    <w:rsid w:val="00DF5C02"/>
    <w:rsid w:val="00E46421"/>
    <w:rsid w:val="00E641FE"/>
    <w:rsid w:val="00E85489"/>
    <w:rsid w:val="00EC3D5C"/>
    <w:rsid w:val="00EC7AC6"/>
    <w:rsid w:val="00ED00E8"/>
    <w:rsid w:val="00F56274"/>
    <w:rsid w:val="00F76E5A"/>
    <w:rsid w:val="00F8605E"/>
    <w:rsid w:val="00F96B0F"/>
    <w:rsid w:val="00FB36EB"/>
    <w:rsid w:val="00FC0462"/>
    <w:rsid w:val="00FE2038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F032C"/>
  <w15:chartTrackingRefBased/>
  <w15:docId w15:val="{576D7E7A-056C-4568-8010-AB773C08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t"/>
    <w:basedOn w:val="Normal"/>
    <w:link w:val="FootnoteTextChar"/>
    <w:uiPriority w:val="99"/>
    <w:unhideWhenUsed/>
    <w:rsid w:val="002E2E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2E2E33"/>
    <w:rPr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2E2E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A77"/>
  </w:style>
  <w:style w:type="paragraph" w:styleId="Footer">
    <w:name w:val="footer"/>
    <w:basedOn w:val="Normal"/>
    <w:link w:val="FooterChar"/>
    <w:uiPriority w:val="99"/>
    <w:unhideWhenUsed/>
    <w:rsid w:val="0036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A77"/>
  </w:style>
  <w:style w:type="paragraph" w:styleId="ListParagraph">
    <w:name w:val="List Paragraph"/>
    <w:basedOn w:val="Normal"/>
    <w:uiPriority w:val="34"/>
    <w:qFormat/>
    <w:rsid w:val="00A72C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25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792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Campoy</dc:creator>
  <cp:keywords/>
  <dc:description/>
  <cp:lastModifiedBy>Author</cp:lastModifiedBy>
  <cp:revision>20</cp:revision>
  <cp:lastPrinted>2022-11-17T10:13:00Z</cp:lastPrinted>
  <dcterms:created xsi:type="dcterms:W3CDTF">2022-11-18T23:03:00Z</dcterms:created>
  <dcterms:modified xsi:type="dcterms:W3CDTF">2025-06-18T09:51:00Z</dcterms:modified>
</cp:coreProperties>
</file>