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E1A16" w14:textId="2E788D6D" w:rsidR="007D3D16" w:rsidRPr="006D6522" w:rsidRDefault="008F593A" w:rsidP="008F593A">
      <w:pPr>
        <w:pBdr>
          <w:top w:val="double" w:sz="4" w:space="1" w:color="auto"/>
          <w:left w:val="double" w:sz="4" w:space="4" w:color="auto"/>
          <w:bottom w:val="double" w:sz="4" w:space="1" w:color="auto"/>
          <w:right w:val="double" w:sz="4" w:space="4" w:color="auto"/>
        </w:pBdr>
        <w:ind w:left="284" w:hanging="284"/>
        <w:rPr>
          <w:rFonts w:ascii="Cambria" w:eastAsia="Batang" w:hAnsi="Cambria"/>
          <w:b/>
          <w:sz w:val="20"/>
        </w:rPr>
      </w:pPr>
      <w:bookmarkStart w:id="0" w:name="_Hlk88066400"/>
      <w:r w:rsidRPr="006D6522">
        <w:rPr>
          <w:rFonts w:ascii="Cambria" w:eastAsia="Batang" w:hAnsi="Cambria"/>
          <w:b/>
          <w:sz w:val="20"/>
        </w:rPr>
        <w:t>22-</w:t>
      </w:r>
      <w:r w:rsidR="001E39AC" w:rsidRPr="006D6522">
        <w:rPr>
          <w:rFonts w:ascii="Cambria" w:eastAsia="Batang" w:hAnsi="Cambria"/>
          <w:b/>
          <w:sz w:val="20"/>
        </w:rPr>
        <w:t>14</w:t>
      </w:r>
      <w:r w:rsidRPr="006D6522">
        <w:rPr>
          <w:rFonts w:ascii="Cambria" w:eastAsia="Batang" w:hAnsi="Cambria"/>
          <w:b/>
          <w:sz w:val="20"/>
        </w:rPr>
        <w:tab/>
      </w:r>
      <w:r w:rsidRPr="006D6522">
        <w:rPr>
          <w:rFonts w:ascii="Cambria" w:eastAsia="Batang" w:hAnsi="Cambria"/>
          <w:b/>
          <w:sz w:val="20"/>
        </w:rPr>
        <w:tab/>
      </w:r>
      <w:r w:rsidRPr="006D6522">
        <w:rPr>
          <w:rFonts w:ascii="Cambria" w:eastAsia="Batang" w:hAnsi="Cambria"/>
          <w:b/>
          <w:sz w:val="20"/>
        </w:rPr>
        <w:tab/>
      </w:r>
      <w:r w:rsidRPr="006D6522">
        <w:rPr>
          <w:rFonts w:ascii="Cambria" w:eastAsia="Batang" w:hAnsi="Cambria"/>
          <w:b/>
          <w:sz w:val="20"/>
        </w:rPr>
        <w:tab/>
      </w:r>
      <w:r w:rsidRPr="006D6522">
        <w:rPr>
          <w:rFonts w:ascii="Cambria" w:eastAsia="Batang" w:hAnsi="Cambria"/>
          <w:b/>
          <w:sz w:val="20"/>
        </w:rPr>
        <w:tab/>
      </w:r>
      <w:r w:rsidRPr="006D6522">
        <w:rPr>
          <w:rFonts w:ascii="Cambria" w:eastAsia="Batang" w:hAnsi="Cambria"/>
          <w:b/>
          <w:sz w:val="20"/>
        </w:rPr>
        <w:tab/>
      </w:r>
      <w:r w:rsidRPr="006D6522">
        <w:rPr>
          <w:rFonts w:ascii="Cambria" w:eastAsia="Batang" w:hAnsi="Cambria"/>
          <w:b/>
          <w:sz w:val="20"/>
        </w:rPr>
        <w:tab/>
      </w:r>
      <w:r w:rsidRPr="006D6522">
        <w:rPr>
          <w:rFonts w:ascii="Cambria" w:eastAsia="Batang" w:hAnsi="Cambria"/>
          <w:b/>
          <w:sz w:val="20"/>
        </w:rPr>
        <w:tab/>
      </w:r>
      <w:r w:rsidRPr="006D6522">
        <w:rPr>
          <w:rFonts w:ascii="Cambria" w:eastAsia="Batang" w:hAnsi="Cambria"/>
          <w:b/>
          <w:sz w:val="20"/>
        </w:rPr>
        <w:tab/>
      </w:r>
      <w:r w:rsidRPr="006D6522">
        <w:rPr>
          <w:rFonts w:ascii="Cambria" w:eastAsia="Batang" w:hAnsi="Cambria"/>
          <w:b/>
          <w:sz w:val="20"/>
        </w:rPr>
        <w:tab/>
      </w:r>
      <w:r w:rsidRPr="006D6522">
        <w:rPr>
          <w:rFonts w:ascii="Cambria" w:eastAsia="Batang" w:hAnsi="Cambria"/>
          <w:b/>
          <w:sz w:val="20"/>
        </w:rPr>
        <w:tab/>
      </w:r>
      <w:r w:rsidR="001E39AC" w:rsidRPr="006D6522">
        <w:rPr>
          <w:rFonts w:ascii="Cambria" w:eastAsia="Batang" w:hAnsi="Cambria"/>
          <w:b/>
          <w:sz w:val="20"/>
        </w:rPr>
        <w:tab/>
        <w:t>GEN</w:t>
      </w:r>
    </w:p>
    <w:p w14:paraId="663B7271" w14:textId="77777777" w:rsidR="007D3D16" w:rsidRPr="006D6522" w:rsidRDefault="007D3D16" w:rsidP="007D3D16">
      <w:pPr>
        <w:pBdr>
          <w:top w:val="double" w:sz="4" w:space="1" w:color="auto"/>
          <w:left w:val="double" w:sz="4" w:space="4" w:color="auto"/>
          <w:bottom w:val="double" w:sz="4" w:space="1" w:color="auto"/>
          <w:right w:val="double" w:sz="4" w:space="4" w:color="auto"/>
        </w:pBdr>
        <w:ind w:left="284" w:hanging="284"/>
        <w:jc w:val="center"/>
        <w:rPr>
          <w:rFonts w:ascii="Cambria" w:eastAsia="Batang" w:hAnsi="Cambria"/>
          <w:b/>
          <w:sz w:val="20"/>
        </w:rPr>
      </w:pPr>
    </w:p>
    <w:p w14:paraId="4FB198FE" w14:textId="2631D608" w:rsidR="00524CB9" w:rsidRPr="006D6522" w:rsidRDefault="00B16659" w:rsidP="007D3D16">
      <w:pPr>
        <w:pBdr>
          <w:top w:val="double" w:sz="4" w:space="1" w:color="auto"/>
          <w:left w:val="double" w:sz="4" w:space="4" w:color="auto"/>
          <w:bottom w:val="double" w:sz="4" w:space="1" w:color="auto"/>
          <w:right w:val="double" w:sz="4" w:space="4" w:color="auto"/>
        </w:pBdr>
        <w:ind w:left="284" w:hanging="284"/>
        <w:jc w:val="center"/>
        <w:rPr>
          <w:rFonts w:ascii="Cambria" w:eastAsia="Batang" w:hAnsi="Cambria"/>
          <w:b/>
          <w:sz w:val="20"/>
          <w:szCs w:val="20"/>
        </w:rPr>
      </w:pPr>
      <w:r w:rsidRPr="006D6522">
        <w:rPr>
          <w:rFonts w:ascii="Cambria" w:eastAsia="Batang" w:hAnsi="Cambria"/>
          <w:b/>
          <w:sz w:val="20"/>
        </w:rPr>
        <w:t xml:space="preserve">RECOMMANDATION DE L’ICCAT REMPLAÇANT LA </w:t>
      </w:r>
      <w:r w:rsidRPr="006D6522">
        <w:rPr>
          <w:rFonts w:ascii="Cambria" w:eastAsia="Batang" w:hAnsi="Cambria"/>
          <w:b/>
          <w:sz w:val="20"/>
          <w:szCs w:val="20"/>
        </w:rPr>
        <w:t xml:space="preserve">RECOMMANDATION 06-14 </w:t>
      </w:r>
      <w:r w:rsidRPr="006D6522">
        <w:rPr>
          <w:rFonts w:ascii="Cambria" w:eastAsia="Batang" w:hAnsi="Cambria"/>
          <w:b/>
          <w:sz w:val="20"/>
        </w:rPr>
        <w:t xml:space="preserve">VISANT À PROMOUVOIR L’APPLICATION DES MESURES DE CONSERVATION ET DE GESTION DE L’ICCAT PAR LES RESSORTISSANTS DES </w:t>
      </w:r>
      <w:r w:rsidRPr="006D6522">
        <w:rPr>
          <w:rFonts w:ascii="Cambria" w:eastAsia="Batang" w:hAnsi="Cambria"/>
          <w:b/>
          <w:sz w:val="20"/>
          <w:szCs w:val="20"/>
        </w:rPr>
        <w:t xml:space="preserve">PARTIES CONTRACTANTES ET DES PARTIES, ENTITÉS OU ENTITÉS DE PÊCHE NON CONTRACTANTES COOPÉRANTES </w:t>
      </w:r>
    </w:p>
    <w:p w14:paraId="11A23896" w14:textId="77777777" w:rsidR="007D3D16" w:rsidRPr="006D6522" w:rsidRDefault="007D3D16" w:rsidP="007D3D16">
      <w:pPr>
        <w:pBdr>
          <w:top w:val="double" w:sz="4" w:space="1" w:color="auto"/>
          <w:left w:val="double" w:sz="4" w:space="4" w:color="auto"/>
          <w:bottom w:val="double" w:sz="4" w:space="1" w:color="auto"/>
          <w:right w:val="double" w:sz="4" w:space="4" w:color="auto"/>
        </w:pBdr>
        <w:ind w:left="284" w:hanging="284"/>
        <w:jc w:val="center"/>
        <w:rPr>
          <w:rFonts w:asciiTheme="majorHAnsi" w:hAnsiTheme="majorHAnsi"/>
          <w:b/>
          <w:bCs/>
          <w:sz w:val="20"/>
          <w:szCs w:val="20"/>
        </w:rPr>
      </w:pPr>
    </w:p>
    <w:p w14:paraId="0F748DE4" w14:textId="168D18B3" w:rsidR="00511094" w:rsidRPr="006D6522" w:rsidRDefault="00511094" w:rsidP="00511094">
      <w:pPr>
        <w:ind w:left="720" w:hanging="360"/>
        <w:jc w:val="both"/>
        <w:rPr>
          <w:rFonts w:asciiTheme="majorHAnsi" w:hAnsiTheme="majorHAnsi"/>
          <w:b/>
          <w:bCs/>
          <w:sz w:val="20"/>
          <w:szCs w:val="20"/>
        </w:rPr>
      </w:pPr>
    </w:p>
    <w:bookmarkEnd w:id="0"/>
    <w:p w14:paraId="6D628EA8" w14:textId="77777777" w:rsidR="00084434" w:rsidRPr="006D6522" w:rsidRDefault="00084434" w:rsidP="00ED200A">
      <w:pPr>
        <w:ind w:left="720" w:hanging="360"/>
        <w:rPr>
          <w:rFonts w:asciiTheme="majorHAnsi" w:hAnsiTheme="majorHAnsi"/>
          <w:b/>
          <w:bCs/>
          <w:sz w:val="20"/>
          <w:szCs w:val="20"/>
        </w:rPr>
      </w:pPr>
    </w:p>
    <w:p w14:paraId="039CB86C" w14:textId="68BA797B" w:rsidR="00511094" w:rsidRPr="006D6522" w:rsidRDefault="00511094" w:rsidP="00CA1765">
      <w:pPr>
        <w:ind w:firstLine="425"/>
        <w:jc w:val="both"/>
        <w:rPr>
          <w:rFonts w:ascii="Cambria" w:eastAsia="Batang" w:hAnsi="Cambria"/>
          <w:sz w:val="20"/>
          <w:szCs w:val="20"/>
        </w:rPr>
      </w:pPr>
      <w:r w:rsidRPr="006D6522">
        <w:rPr>
          <w:rFonts w:ascii="Cambria" w:eastAsia="Batang" w:hAnsi="Cambria"/>
          <w:i/>
          <w:sz w:val="20"/>
          <w:szCs w:val="20"/>
        </w:rPr>
        <w:t>CONVAINCUE</w:t>
      </w:r>
      <w:r w:rsidRPr="006D6522">
        <w:rPr>
          <w:rFonts w:ascii="Cambria" w:eastAsia="Batang" w:hAnsi="Cambria"/>
          <w:sz w:val="20"/>
          <w:szCs w:val="20"/>
        </w:rPr>
        <w:t xml:space="preserve"> que la pêche illicite, non déclarée et non réglementée (IUU) compromet les objectifs de la Convention</w:t>
      </w:r>
      <w:r w:rsidR="00FC682D" w:rsidRPr="006D6522">
        <w:rPr>
          <w:rFonts w:ascii="Cambria" w:eastAsia="Batang" w:hAnsi="Cambria"/>
          <w:sz w:val="20"/>
          <w:szCs w:val="20"/>
        </w:rPr>
        <w:t> ;</w:t>
      </w:r>
    </w:p>
    <w:p w14:paraId="2E5BBF5B" w14:textId="77777777" w:rsidR="00511094" w:rsidRPr="006D6522" w:rsidRDefault="00511094" w:rsidP="00CA1765">
      <w:pPr>
        <w:ind w:firstLine="425"/>
        <w:jc w:val="both"/>
        <w:rPr>
          <w:rFonts w:ascii="Cambria" w:eastAsia="Batang" w:hAnsi="Cambria"/>
          <w:sz w:val="20"/>
          <w:szCs w:val="20"/>
        </w:rPr>
      </w:pPr>
    </w:p>
    <w:p w14:paraId="10C8E1C6" w14:textId="3ECA66E8" w:rsidR="00511094" w:rsidRPr="006D6522" w:rsidRDefault="00511094" w:rsidP="00CA1765">
      <w:pPr>
        <w:ind w:firstLine="425"/>
        <w:jc w:val="both"/>
        <w:rPr>
          <w:rFonts w:ascii="Cambria" w:eastAsia="Batang" w:hAnsi="Cambria"/>
          <w:sz w:val="20"/>
          <w:szCs w:val="20"/>
        </w:rPr>
      </w:pPr>
      <w:r w:rsidRPr="006D6522">
        <w:rPr>
          <w:rFonts w:ascii="Cambria" w:eastAsia="Batang" w:hAnsi="Cambria"/>
          <w:i/>
          <w:sz w:val="20"/>
          <w:szCs w:val="20"/>
        </w:rPr>
        <w:t>PRÉOCCUPÉE</w:t>
      </w:r>
      <w:r w:rsidRPr="006D6522">
        <w:rPr>
          <w:rFonts w:ascii="Cambria" w:eastAsia="Batang" w:hAnsi="Cambria"/>
          <w:sz w:val="20"/>
          <w:szCs w:val="20"/>
        </w:rPr>
        <w:t xml:space="preserve"> par le fait que certains </w:t>
      </w:r>
      <w:r w:rsidR="00D97720" w:rsidRPr="006D6522">
        <w:rPr>
          <w:rFonts w:ascii="Cambria" w:eastAsia="Batang" w:hAnsi="Cambria"/>
          <w:sz w:val="20"/>
          <w:szCs w:val="20"/>
        </w:rPr>
        <w:t>É</w:t>
      </w:r>
      <w:r w:rsidRPr="006D6522">
        <w:rPr>
          <w:rFonts w:ascii="Cambria" w:eastAsia="Batang" w:hAnsi="Cambria"/>
          <w:sz w:val="20"/>
          <w:szCs w:val="20"/>
        </w:rPr>
        <w:t xml:space="preserve">tats de pavillon ne respectent pas leurs obligations en matière de juridiction et de contrôle, en vertu du droit international, sur les navires de pêche autorisés à battre leur pavillon qui réalisent des activités dans la zone de la Convention et qu’en conséquence ces navires ne font pas l’objet d’un contrôle effectif de la part de ces </w:t>
      </w:r>
      <w:r w:rsidR="00B9711C">
        <w:rPr>
          <w:rFonts w:ascii="Cambria" w:eastAsia="Batang" w:hAnsi="Cambria"/>
          <w:sz w:val="20"/>
          <w:szCs w:val="20"/>
        </w:rPr>
        <w:t>É</w:t>
      </w:r>
      <w:r w:rsidRPr="006D6522">
        <w:rPr>
          <w:rFonts w:ascii="Cambria" w:eastAsia="Batang" w:hAnsi="Cambria"/>
          <w:sz w:val="20"/>
          <w:szCs w:val="20"/>
        </w:rPr>
        <w:t>tats de pavillon ;</w:t>
      </w:r>
    </w:p>
    <w:p w14:paraId="058A28FF" w14:textId="77777777" w:rsidR="00511094" w:rsidRPr="006D6522" w:rsidRDefault="00511094" w:rsidP="00CA1765">
      <w:pPr>
        <w:ind w:firstLine="425"/>
        <w:jc w:val="both"/>
        <w:rPr>
          <w:rFonts w:ascii="Cambria" w:eastAsia="Batang" w:hAnsi="Cambria"/>
          <w:sz w:val="20"/>
          <w:szCs w:val="20"/>
        </w:rPr>
      </w:pPr>
    </w:p>
    <w:p w14:paraId="20537DBB" w14:textId="46AE9D09" w:rsidR="00511094" w:rsidRPr="006D6522" w:rsidRDefault="00511094" w:rsidP="00CA1765">
      <w:pPr>
        <w:ind w:firstLine="425"/>
        <w:jc w:val="both"/>
        <w:rPr>
          <w:rFonts w:ascii="Cambria" w:eastAsia="Batang" w:hAnsi="Cambria"/>
          <w:sz w:val="20"/>
          <w:szCs w:val="20"/>
        </w:rPr>
      </w:pPr>
      <w:r w:rsidRPr="006D6522">
        <w:rPr>
          <w:rFonts w:ascii="Cambria" w:eastAsia="Batang" w:hAnsi="Cambria"/>
          <w:i/>
          <w:sz w:val="20"/>
          <w:szCs w:val="20"/>
        </w:rPr>
        <w:t>CONSCIENTE</w:t>
      </w:r>
      <w:r w:rsidRPr="006D6522">
        <w:rPr>
          <w:rFonts w:ascii="Cambria" w:eastAsia="Batang" w:hAnsi="Cambria"/>
          <w:sz w:val="20"/>
          <w:szCs w:val="20"/>
        </w:rPr>
        <w:t xml:space="preserve"> que l’absence de contrôle effectif permet à ces navires de pêche de pêcher dans la zone de la Convention d’une manière qui compromet l’efficacité des mesures de conservation et de gestion de l’ICCAT et peut donner lieu à </w:t>
      </w:r>
      <w:r w:rsidR="00310775" w:rsidRPr="006D6522">
        <w:rPr>
          <w:rFonts w:ascii="Cambria" w:eastAsia="Batang" w:hAnsi="Cambria"/>
          <w:sz w:val="20"/>
          <w:szCs w:val="20"/>
        </w:rPr>
        <w:t xml:space="preserve">la pêche </w:t>
      </w:r>
      <w:r w:rsidRPr="006D6522">
        <w:rPr>
          <w:rFonts w:ascii="Cambria" w:eastAsia="Batang" w:hAnsi="Cambria"/>
          <w:sz w:val="20"/>
          <w:szCs w:val="20"/>
        </w:rPr>
        <w:t>illicite, non déclarée et non réglementée (IUU) ;</w:t>
      </w:r>
    </w:p>
    <w:p w14:paraId="3E0B2029" w14:textId="77777777" w:rsidR="00511094" w:rsidRPr="006D6522" w:rsidRDefault="00511094" w:rsidP="00CA1765">
      <w:pPr>
        <w:ind w:firstLine="425"/>
        <w:jc w:val="both"/>
        <w:rPr>
          <w:rFonts w:ascii="Cambria" w:eastAsia="Batang" w:hAnsi="Cambria"/>
          <w:sz w:val="20"/>
          <w:szCs w:val="20"/>
        </w:rPr>
      </w:pPr>
    </w:p>
    <w:p w14:paraId="4BDDABB2" w14:textId="3489D44C" w:rsidR="00511094" w:rsidRPr="006D6522" w:rsidRDefault="00511094" w:rsidP="00CA1765">
      <w:pPr>
        <w:ind w:firstLine="425"/>
        <w:jc w:val="both"/>
        <w:rPr>
          <w:rFonts w:ascii="Cambria" w:eastAsia="Batang" w:hAnsi="Cambria"/>
          <w:sz w:val="20"/>
          <w:szCs w:val="20"/>
        </w:rPr>
      </w:pPr>
      <w:r w:rsidRPr="006D6522">
        <w:rPr>
          <w:rFonts w:ascii="Cambria" w:eastAsia="Batang" w:hAnsi="Cambria"/>
          <w:i/>
          <w:sz w:val="20"/>
          <w:szCs w:val="20"/>
        </w:rPr>
        <w:t>PRÉOCCUPÉE</w:t>
      </w:r>
      <w:r w:rsidRPr="006D6522">
        <w:rPr>
          <w:rFonts w:ascii="Cambria" w:eastAsia="Batang" w:hAnsi="Cambria"/>
          <w:sz w:val="20"/>
          <w:szCs w:val="20"/>
        </w:rPr>
        <w:t xml:space="preserve"> par le fait que les navires qui réalisent des activités dans la zone de la Convention et qui ne respectent pas les mesures de conservation et de gestion de l’ICCAT bénéficient du soutien apporté par des personnes relevant de la juridiction de Parties contractantes et de Parties, Entités ou Entités de pêche non</w:t>
      </w:r>
      <w:r w:rsidR="006D6522">
        <w:rPr>
          <w:rFonts w:ascii="Cambria" w:eastAsia="Batang" w:hAnsi="Cambria"/>
          <w:sz w:val="20"/>
          <w:szCs w:val="20"/>
        </w:rPr>
        <w:t xml:space="preserve"> </w:t>
      </w:r>
      <w:r w:rsidRPr="006D6522">
        <w:rPr>
          <w:rFonts w:ascii="Cambria" w:eastAsia="Batang" w:hAnsi="Cambria"/>
          <w:sz w:val="20"/>
          <w:szCs w:val="20"/>
        </w:rPr>
        <w:t>contractantes coopérantes (CPC), y compris, notamment, une participation aux activités de transbordement, de transport et de commerce de captures réalisées de façon illégale ou une participation à bord ou à la gestion de ces navires ;</w:t>
      </w:r>
    </w:p>
    <w:p w14:paraId="1210AD99" w14:textId="4F7BFFB8" w:rsidR="00511094" w:rsidRPr="006D6522" w:rsidRDefault="00511094" w:rsidP="00CA1765">
      <w:pPr>
        <w:ind w:firstLine="425"/>
        <w:jc w:val="both"/>
        <w:rPr>
          <w:rFonts w:ascii="Cambria" w:eastAsia="Batang" w:hAnsi="Cambria"/>
          <w:sz w:val="20"/>
          <w:szCs w:val="20"/>
        </w:rPr>
      </w:pPr>
    </w:p>
    <w:p w14:paraId="3AB1037D" w14:textId="4178A236" w:rsidR="00310775" w:rsidRPr="006D6522" w:rsidRDefault="00310775" w:rsidP="00CA1765">
      <w:pPr>
        <w:tabs>
          <w:tab w:val="left" w:pos="284"/>
        </w:tabs>
        <w:ind w:firstLine="425"/>
        <w:jc w:val="both"/>
        <w:rPr>
          <w:rFonts w:ascii="Cambria" w:hAnsi="Cambria"/>
          <w:sz w:val="20"/>
          <w:szCs w:val="20"/>
        </w:rPr>
      </w:pPr>
      <w:r w:rsidRPr="006D6522">
        <w:rPr>
          <w:rFonts w:ascii="Cambria" w:hAnsi="Cambria"/>
          <w:i/>
          <w:sz w:val="20"/>
        </w:rPr>
        <w:t>CONSCIEN</w:t>
      </w:r>
      <w:r w:rsidRPr="006D6522">
        <w:rPr>
          <w:rFonts w:ascii="Cambria" w:hAnsi="Cambria"/>
          <w:i/>
          <w:iCs/>
          <w:sz w:val="20"/>
        </w:rPr>
        <w:t>TE</w:t>
      </w:r>
      <w:r w:rsidRPr="006D6522">
        <w:rPr>
          <w:rFonts w:ascii="Cambria" w:hAnsi="Cambria"/>
          <w:sz w:val="20"/>
        </w:rPr>
        <w:t xml:space="preserve"> que, sans préjudice de la responsabilité </w:t>
      </w:r>
      <w:r w:rsidR="004C3DB7" w:rsidRPr="006D6522">
        <w:rPr>
          <w:rFonts w:ascii="Cambria" w:hAnsi="Cambria"/>
          <w:sz w:val="20"/>
        </w:rPr>
        <w:t xml:space="preserve">principale </w:t>
      </w:r>
      <w:r w:rsidRPr="006D6522">
        <w:rPr>
          <w:rFonts w:ascii="Cambria" w:hAnsi="Cambria"/>
          <w:sz w:val="20"/>
        </w:rPr>
        <w:t xml:space="preserve">de l'État du pavillon, le fait de prendre des mesures, conformément au droit national en vigueur, à l'encontre des personnes qui pratiquent ou soutiennent la pêche IUU </w:t>
      </w:r>
      <w:r w:rsidR="003C1B4E" w:rsidRPr="006D6522">
        <w:rPr>
          <w:rFonts w:ascii="Cambria" w:hAnsi="Cambria"/>
          <w:sz w:val="20"/>
        </w:rPr>
        <w:t xml:space="preserve">et </w:t>
      </w:r>
      <w:r w:rsidR="00754259" w:rsidRPr="006D6522">
        <w:rPr>
          <w:rFonts w:ascii="Cambria" w:hAnsi="Cambria"/>
          <w:sz w:val="20"/>
        </w:rPr>
        <w:t>les</w:t>
      </w:r>
      <w:r w:rsidR="003C1B4E" w:rsidRPr="006D6522">
        <w:rPr>
          <w:rFonts w:ascii="Cambria" w:hAnsi="Cambria"/>
          <w:sz w:val="20"/>
        </w:rPr>
        <w:t xml:space="preserve"> activités de pêche connexes, </w:t>
      </w:r>
      <w:r w:rsidR="00524CB9" w:rsidRPr="006D6522">
        <w:rPr>
          <w:rFonts w:ascii="Cambria" w:hAnsi="Cambria"/>
          <w:sz w:val="20"/>
        </w:rPr>
        <w:t xml:space="preserve">est essentiel pour </w:t>
      </w:r>
      <w:r w:rsidR="00653AB7" w:rsidRPr="006D6522">
        <w:rPr>
          <w:rFonts w:ascii="Cambria" w:hAnsi="Cambria"/>
          <w:sz w:val="20"/>
        </w:rPr>
        <w:t>lutter</w:t>
      </w:r>
      <w:r w:rsidR="00743ACB" w:rsidRPr="006D6522">
        <w:rPr>
          <w:rFonts w:ascii="Cambria" w:hAnsi="Cambria"/>
          <w:sz w:val="20"/>
        </w:rPr>
        <w:t xml:space="preserve"> contre</w:t>
      </w:r>
      <w:r w:rsidR="00653AB7" w:rsidRPr="006D6522">
        <w:rPr>
          <w:rFonts w:ascii="Cambria" w:hAnsi="Cambria"/>
          <w:sz w:val="20"/>
        </w:rPr>
        <w:t xml:space="preserve"> </w:t>
      </w:r>
      <w:r w:rsidR="003C1B4E" w:rsidRPr="006D6522">
        <w:rPr>
          <w:rFonts w:ascii="Cambria" w:hAnsi="Cambria"/>
          <w:sz w:val="20"/>
        </w:rPr>
        <w:t>ces activités ;</w:t>
      </w:r>
    </w:p>
    <w:p w14:paraId="33DF9F5D" w14:textId="77777777" w:rsidR="00310775" w:rsidRPr="006D6522" w:rsidRDefault="00310775" w:rsidP="00CA1765">
      <w:pPr>
        <w:tabs>
          <w:tab w:val="left" w:pos="480"/>
        </w:tabs>
        <w:ind w:firstLine="425"/>
        <w:jc w:val="both"/>
        <w:rPr>
          <w:rFonts w:ascii="Cambria" w:hAnsi="Cambria"/>
          <w:sz w:val="20"/>
          <w:szCs w:val="20"/>
        </w:rPr>
      </w:pPr>
    </w:p>
    <w:p w14:paraId="24F17B2B" w14:textId="7AAEFEB7" w:rsidR="00310775" w:rsidRPr="006D6522" w:rsidRDefault="00310775" w:rsidP="00CA1765">
      <w:pPr>
        <w:tabs>
          <w:tab w:val="left" w:pos="284"/>
        </w:tabs>
        <w:ind w:firstLine="425"/>
        <w:jc w:val="both"/>
        <w:rPr>
          <w:rFonts w:ascii="Cambria" w:hAnsi="Cambria"/>
          <w:sz w:val="20"/>
          <w:szCs w:val="20"/>
        </w:rPr>
      </w:pPr>
      <w:r w:rsidRPr="006D6522">
        <w:rPr>
          <w:rFonts w:ascii="Cambria" w:hAnsi="Cambria"/>
          <w:i/>
          <w:sz w:val="20"/>
        </w:rPr>
        <w:t xml:space="preserve">CONSCIENTE </w:t>
      </w:r>
      <w:r w:rsidRPr="006D6522">
        <w:rPr>
          <w:rFonts w:ascii="Cambria" w:hAnsi="Cambria"/>
          <w:sz w:val="20"/>
        </w:rPr>
        <w:t>du fait que les structures d'entreprise</w:t>
      </w:r>
      <w:r w:rsidR="00685086" w:rsidRPr="006D6522">
        <w:rPr>
          <w:rFonts w:ascii="Cambria" w:hAnsi="Cambria"/>
          <w:sz w:val="20"/>
        </w:rPr>
        <w:t>s</w:t>
      </w:r>
      <w:r w:rsidRPr="006D6522">
        <w:rPr>
          <w:rFonts w:ascii="Cambria" w:hAnsi="Cambria"/>
          <w:sz w:val="20"/>
        </w:rPr>
        <w:t xml:space="preserve"> internationales, les fournisseurs d'assurance et autres </w:t>
      </w:r>
      <w:r w:rsidRPr="006D6522">
        <w:rPr>
          <w:rFonts w:ascii="Cambria" w:hAnsi="Cambria"/>
          <w:iCs/>
          <w:sz w:val="20"/>
        </w:rPr>
        <w:t>arrangements</w:t>
      </w:r>
      <w:r w:rsidRPr="006D6522">
        <w:rPr>
          <w:rFonts w:ascii="Cambria" w:hAnsi="Cambria"/>
          <w:sz w:val="20"/>
        </w:rPr>
        <w:t xml:space="preserve"> financiers sont souvent utilisés par</w:t>
      </w:r>
      <w:r w:rsidR="003C1B4E" w:rsidRPr="006D6522">
        <w:rPr>
          <w:rFonts w:ascii="Cambria" w:hAnsi="Cambria"/>
          <w:sz w:val="20"/>
        </w:rPr>
        <w:t xml:space="preserve"> </w:t>
      </w:r>
      <w:r w:rsidRPr="006D6522">
        <w:rPr>
          <w:rFonts w:ascii="Cambria" w:hAnsi="Cambria"/>
          <w:sz w:val="20"/>
        </w:rPr>
        <w:t xml:space="preserve">les opérateurs </w:t>
      </w:r>
      <w:r w:rsidR="00524CB9" w:rsidRPr="006D6522">
        <w:rPr>
          <w:rFonts w:ascii="Cambria" w:hAnsi="Cambria"/>
          <w:sz w:val="20"/>
        </w:rPr>
        <w:t>IUU (incluant les propriétaires et les bénéficiaires effectifs)</w:t>
      </w:r>
      <w:r w:rsidRPr="006D6522">
        <w:rPr>
          <w:rFonts w:ascii="Cambria" w:hAnsi="Cambria"/>
          <w:sz w:val="20"/>
        </w:rPr>
        <w:t xml:space="preserve"> pour limiter leur responsabilité et éviter </w:t>
      </w:r>
      <w:r w:rsidR="00AF23CD" w:rsidRPr="006D6522">
        <w:rPr>
          <w:rFonts w:ascii="Cambria" w:hAnsi="Cambria"/>
          <w:sz w:val="20"/>
        </w:rPr>
        <w:t>la réglementation et, consciente qu’il est nécessaire que</w:t>
      </w:r>
      <w:r w:rsidRPr="006D6522">
        <w:rPr>
          <w:rFonts w:ascii="Cambria" w:hAnsi="Cambria"/>
          <w:sz w:val="20"/>
        </w:rPr>
        <w:t xml:space="preserve"> les CPC encourage</w:t>
      </w:r>
      <w:r w:rsidR="00AF23CD" w:rsidRPr="006D6522">
        <w:rPr>
          <w:rFonts w:ascii="Cambria" w:hAnsi="Cambria"/>
          <w:sz w:val="20"/>
        </w:rPr>
        <w:t>nt</w:t>
      </w:r>
      <w:r w:rsidRPr="006D6522">
        <w:rPr>
          <w:rFonts w:ascii="Cambria" w:hAnsi="Cambria"/>
          <w:sz w:val="20"/>
        </w:rPr>
        <w:t xml:space="preserve"> et sout</w:t>
      </w:r>
      <w:r w:rsidR="00AF23CD" w:rsidRPr="006D6522">
        <w:rPr>
          <w:rFonts w:ascii="Cambria" w:hAnsi="Cambria"/>
          <w:sz w:val="20"/>
        </w:rPr>
        <w:t xml:space="preserve">iennent </w:t>
      </w:r>
      <w:r w:rsidRPr="006D6522">
        <w:rPr>
          <w:rFonts w:ascii="Cambria" w:hAnsi="Cambria"/>
          <w:sz w:val="20"/>
        </w:rPr>
        <w:t>les enquêtes sur ces pratiques ;</w:t>
      </w:r>
    </w:p>
    <w:p w14:paraId="630E1513" w14:textId="2E4B74F0" w:rsidR="00310775" w:rsidRPr="006D6522" w:rsidRDefault="00310775" w:rsidP="00CA1765">
      <w:pPr>
        <w:ind w:firstLine="425"/>
        <w:jc w:val="both"/>
        <w:rPr>
          <w:rFonts w:ascii="Cambria" w:eastAsia="Batang" w:hAnsi="Cambria"/>
          <w:sz w:val="20"/>
          <w:szCs w:val="20"/>
        </w:rPr>
      </w:pPr>
    </w:p>
    <w:p w14:paraId="24E08992" w14:textId="5A08ED74" w:rsidR="00511094" w:rsidRPr="006D6522" w:rsidRDefault="00511094" w:rsidP="00CA1765">
      <w:pPr>
        <w:ind w:firstLine="425"/>
        <w:jc w:val="both"/>
        <w:rPr>
          <w:rFonts w:ascii="Cambria" w:eastAsia="Batang" w:hAnsi="Cambria"/>
          <w:sz w:val="20"/>
          <w:szCs w:val="20"/>
        </w:rPr>
      </w:pPr>
      <w:r w:rsidRPr="006D6522">
        <w:rPr>
          <w:rFonts w:ascii="Cambria" w:eastAsia="Batang" w:hAnsi="Cambria"/>
          <w:i/>
          <w:sz w:val="20"/>
          <w:szCs w:val="20"/>
        </w:rPr>
        <w:t xml:space="preserve">NOTANT </w:t>
      </w:r>
      <w:r w:rsidRPr="006D6522">
        <w:rPr>
          <w:rFonts w:ascii="Cambria" w:eastAsia="Batang" w:hAnsi="Cambria"/>
          <w:sz w:val="20"/>
          <w:szCs w:val="20"/>
        </w:rPr>
        <w:t>que le Plan d’Action International de la FAO</w:t>
      </w:r>
      <w:r w:rsidRPr="006D6522">
        <w:rPr>
          <w:rFonts w:ascii="Cambria" w:hAnsi="Cambria"/>
          <w:sz w:val="20"/>
          <w:szCs w:val="20"/>
        </w:rPr>
        <w:t xml:space="preserve"> </w:t>
      </w:r>
      <w:r w:rsidRPr="006D6522">
        <w:rPr>
          <w:rFonts w:ascii="Cambria" w:eastAsia="Batang" w:hAnsi="Cambria"/>
          <w:sz w:val="20"/>
          <w:szCs w:val="20"/>
        </w:rPr>
        <w:t>visant à prévenir, contrecarrer et éliminer la pêche illicite, non déclarée et non réglementée demande aux états de prendre des mesures afin de dissuader les ressortissants relevant de leur juridiction de soutenir ou de s’adonner à des activités qui compromettent l’efficacité des mesures de conservation et de gestion internationales ;</w:t>
      </w:r>
    </w:p>
    <w:p w14:paraId="550A685A" w14:textId="77777777" w:rsidR="00511094" w:rsidRPr="006D6522" w:rsidRDefault="00511094" w:rsidP="00CA1765">
      <w:pPr>
        <w:ind w:firstLine="425"/>
        <w:jc w:val="both"/>
        <w:rPr>
          <w:rFonts w:ascii="Cambria" w:eastAsia="Batang" w:hAnsi="Cambria"/>
          <w:sz w:val="20"/>
          <w:szCs w:val="20"/>
        </w:rPr>
      </w:pPr>
    </w:p>
    <w:p w14:paraId="0B521506" w14:textId="238A7174" w:rsidR="00511094" w:rsidRPr="006D6522" w:rsidRDefault="00511094" w:rsidP="00CA1765">
      <w:pPr>
        <w:ind w:firstLine="425"/>
        <w:jc w:val="both"/>
        <w:rPr>
          <w:rFonts w:ascii="Cambria" w:eastAsia="Batang" w:hAnsi="Cambria"/>
          <w:sz w:val="20"/>
          <w:szCs w:val="20"/>
        </w:rPr>
      </w:pPr>
      <w:r w:rsidRPr="006D6522">
        <w:rPr>
          <w:rFonts w:ascii="Cambria" w:eastAsia="Batang" w:hAnsi="Cambria"/>
          <w:i/>
          <w:sz w:val="20"/>
          <w:szCs w:val="20"/>
        </w:rPr>
        <w:t xml:space="preserve">RAPPELANT </w:t>
      </w:r>
      <w:r w:rsidRPr="006D6522">
        <w:rPr>
          <w:rFonts w:ascii="Cambria" w:eastAsia="Batang" w:hAnsi="Cambria"/>
          <w:sz w:val="20"/>
          <w:szCs w:val="20"/>
        </w:rPr>
        <w:t>que les CPC devraient coopérer dans la prise d’actions pertinentes afin de contrecarrer toute activité qui n’est pas conforme à l’objectif de la Convention ;</w:t>
      </w:r>
    </w:p>
    <w:p w14:paraId="66FD2FDD" w14:textId="77777777" w:rsidR="00511094" w:rsidRPr="006D6522" w:rsidRDefault="00511094" w:rsidP="00CA1765">
      <w:pPr>
        <w:spacing w:line="200" w:lineRule="exact"/>
        <w:ind w:firstLine="425"/>
        <w:jc w:val="both"/>
        <w:rPr>
          <w:rFonts w:ascii="Cambria" w:eastAsia="Batang" w:hAnsi="Cambria"/>
          <w:sz w:val="20"/>
          <w:szCs w:val="20"/>
        </w:rPr>
      </w:pPr>
    </w:p>
    <w:p w14:paraId="0F9BAD38" w14:textId="6EA0BCA3" w:rsidR="00310775" w:rsidRPr="006D6522" w:rsidRDefault="00310775" w:rsidP="00CA1765">
      <w:pPr>
        <w:tabs>
          <w:tab w:val="left" w:pos="284"/>
        </w:tabs>
        <w:ind w:firstLine="425"/>
        <w:jc w:val="both"/>
        <w:rPr>
          <w:rFonts w:ascii="Cambria" w:eastAsia="Cambria" w:hAnsi="Cambria" w:cs="Cambria"/>
          <w:sz w:val="20"/>
          <w:szCs w:val="20"/>
        </w:rPr>
      </w:pPr>
      <w:r w:rsidRPr="006D6522">
        <w:rPr>
          <w:rFonts w:ascii="Cambria" w:hAnsi="Cambria"/>
          <w:i/>
          <w:sz w:val="20"/>
        </w:rPr>
        <w:t xml:space="preserve">RÉSOLUE </w:t>
      </w:r>
      <w:r w:rsidRPr="006D6522">
        <w:rPr>
          <w:rFonts w:ascii="Cambria" w:hAnsi="Cambria"/>
          <w:sz w:val="20"/>
        </w:rPr>
        <w:t xml:space="preserve">à renforcer ses mesures </w:t>
      </w:r>
      <w:r w:rsidR="00754259" w:rsidRPr="006D6522">
        <w:rPr>
          <w:rFonts w:ascii="Cambria" w:hAnsi="Cambria"/>
          <w:sz w:val="20"/>
        </w:rPr>
        <w:t xml:space="preserve">de contrôle </w:t>
      </w:r>
      <w:r w:rsidRPr="006D6522">
        <w:rPr>
          <w:rFonts w:ascii="Cambria" w:hAnsi="Cambria"/>
          <w:sz w:val="20"/>
        </w:rPr>
        <w:t xml:space="preserve">intégrées visant à éliminer la pêche IUU dans la zone de la </w:t>
      </w:r>
      <w:r w:rsidR="007974A9" w:rsidRPr="006D6522">
        <w:rPr>
          <w:rFonts w:ascii="Cambria" w:hAnsi="Cambria"/>
          <w:sz w:val="20"/>
        </w:rPr>
        <w:t>C</w:t>
      </w:r>
      <w:r w:rsidR="0008332B" w:rsidRPr="006D6522">
        <w:rPr>
          <w:rFonts w:ascii="Cambria" w:hAnsi="Cambria"/>
          <w:sz w:val="20"/>
        </w:rPr>
        <w:t>onvention ICCAT ;</w:t>
      </w:r>
    </w:p>
    <w:p w14:paraId="1A222354" w14:textId="77777777" w:rsidR="00511094" w:rsidRPr="006D6522" w:rsidRDefault="00511094" w:rsidP="00511094">
      <w:pPr>
        <w:tabs>
          <w:tab w:val="left" w:pos="340"/>
        </w:tabs>
        <w:spacing w:line="200" w:lineRule="exact"/>
        <w:jc w:val="both"/>
        <w:rPr>
          <w:rFonts w:ascii="Cambria" w:eastAsia="Batang" w:hAnsi="Cambria"/>
          <w:sz w:val="20"/>
          <w:szCs w:val="20"/>
        </w:rPr>
      </w:pPr>
    </w:p>
    <w:p w14:paraId="008AD1BA" w14:textId="77777777" w:rsidR="00310775" w:rsidRPr="006D6522" w:rsidRDefault="00310775" w:rsidP="00273454">
      <w:pPr>
        <w:tabs>
          <w:tab w:val="left" w:pos="340"/>
        </w:tabs>
        <w:spacing w:line="200" w:lineRule="exact"/>
        <w:jc w:val="center"/>
        <w:rPr>
          <w:rFonts w:ascii="Cambria" w:hAnsi="Cambria"/>
          <w:sz w:val="20"/>
          <w:szCs w:val="20"/>
        </w:rPr>
      </w:pPr>
    </w:p>
    <w:p w14:paraId="2AB21287" w14:textId="3C3962A9" w:rsidR="00511094" w:rsidRPr="006D6522" w:rsidRDefault="00511094" w:rsidP="00273454">
      <w:pPr>
        <w:tabs>
          <w:tab w:val="left" w:pos="340"/>
        </w:tabs>
        <w:spacing w:line="200" w:lineRule="exact"/>
        <w:jc w:val="center"/>
        <w:rPr>
          <w:rFonts w:ascii="Cambria" w:hAnsi="Cambria"/>
          <w:sz w:val="20"/>
          <w:szCs w:val="20"/>
        </w:rPr>
      </w:pPr>
      <w:r w:rsidRPr="006D6522">
        <w:rPr>
          <w:rFonts w:ascii="Cambria" w:hAnsi="Cambria"/>
          <w:sz w:val="20"/>
          <w:szCs w:val="20"/>
        </w:rPr>
        <w:t>LA COMMISSION INTERNATIONALE POUR LA CONSERVATION</w:t>
      </w:r>
    </w:p>
    <w:p w14:paraId="0C7D83B0" w14:textId="77777777" w:rsidR="00511094" w:rsidRPr="006D6522" w:rsidRDefault="00511094" w:rsidP="00273454">
      <w:pPr>
        <w:tabs>
          <w:tab w:val="left" w:pos="340"/>
        </w:tabs>
        <w:spacing w:line="200" w:lineRule="exact"/>
        <w:jc w:val="center"/>
        <w:rPr>
          <w:rFonts w:ascii="Cambria" w:hAnsi="Cambria"/>
          <w:sz w:val="20"/>
          <w:szCs w:val="20"/>
        </w:rPr>
      </w:pPr>
      <w:r w:rsidRPr="006D6522">
        <w:rPr>
          <w:rFonts w:ascii="Cambria" w:hAnsi="Cambria"/>
          <w:sz w:val="20"/>
          <w:szCs w:val="20"/>
        </w:rPr>
        <w:t>DES THONIDÉS DE L’ATLANTIQUE (ICCAT) RECOMMANDE CE QUI SUIT :</w:t>
      </w:r>
    </w:p>
    <w:p w14:paraId="4631A4B8" w14:textId="77777777" w:rsidR="00511094" w:rsidRPr="006D6522" w:rsidRDefault="00511094" w:rsidP="00511094">
      <w:pPr>
        <w:tabs>
          <w:tab w:val="left" w:pos="340"/>
        </w:tabs>
        <w:spacing w:line="200" w:lineRule="exact"/>
        <w:jc w:val="both"/>
        <w:rPr>
          <w:rFonts w:ascii="Cambria" w:eastAsia="Batang" w:hAnsi="Cambria"/>
          <w:sz w:val="20"/>
          <w:szCs w:val="20"/>
        </w:rPr>
      </w:pPr>
    </w:p>
    <w:p w14:paraId="79890001" w14:textId="77777777" w:rsidR="00511094" w:rsidRPr="006D6522" w:rsidRDefault="00511094" w:rsidP="00511094">
      <w:pPr>
        <w:tabs>
          <w:tab w:val="left" w:pos="340"/>
        </w:tabs>
        <w:spacing w:line="200" w:lineRule="exact"/>
        <w:jc w:val="both"/>
        <w:rPr>
          <w:rFonts w:ascii="Cambria" w:eastAsia="Batang" w:hAnsi="Cambria"/>
          <w:sz w:val="20"/>
          <w:szCs w:val="20"/>
        </w:rPr>
      </w:pPr>
    </w:p>
    <w:p w14:paraId="17D22C6A" w14:textId="74A0A574" w:rsidR="00511094" w:rsidRPr="006D6522" w:rsidRDefault="00511094" w:rsidP="007C4BBA">
      <w:pPr>
        <w:ind w:left="425" w:hanging="425"/>
        <w:jc w:val="both"/>
        <w:rPr>
          <w:rFonts w:ascii="Cambria" w:eastAsia="Batang" w:hAnsi="Cambria"/>
          <w:sz w:val="20"/>
          <w:szCs w:val="20"/>
        </w:rPr>
      </w:pPr>
      <w:r w:rsidRPr="006D6522">
        <w:rPr>
          <w:rFonts w:ascii="Cambria" w:eastAsia="Batang" w:hAnsi="Cambria"/>
          <w:sz w:val="20"/>
          <w:szCs w:val="20"/>
        </w:rPr>
        <w:t>1.</w:t>
      </w:r>
      <w:r w:rsidRPr="006D6522">
        <w:rPr>
          <w:rFonts w:ascii="Cambria" w:eastAsia="Batang" w:hAnsi="Cambria"/>
          <w:sz w:val="20"/>
          <w:szCs w:val="20"/>
        </w:rPr>
        <w:tab/>
        <w:t>Sans préjudice de la responsabilité principale de l’</w:t>
      </w:r>
      <w:r w:rsidR="00B9711C">
        <w:rPr>
          <w:rFonts w:ascii="Cambria" w:eastAsia="Batang" w:hAnsi="Cambria"/>
          <w:sz w:val="20"/>
          <w:szCs w:val="20"/>
        </w:rPr>
        <w:t>É</w:t>
      </w:r>
      <w:r w:rsidRPr="006D6522">
        <w:rPr>
          <w:rFonts w:ascii="Cambria" w:eastAsia="Batang" w:hAnsi="Cambria"/>
          <w:sz w:val="20"/>
          <w:szCs w:val="20"/>
        </w:rPr>
        <w:t xml:space="preserve">tat de pavillon, les </w:t>
      </w:r>
      <w:r w:rsidR="00310775" w:rsidRPr="006D6522">
        <w:rPr>
          <w:rFonts w:ascii="Cambria" w:eastAsia="Batang" w:hAnsi="Cambria"/>
          <w:sz w:val="20"/>
          <w:szCs w:val="20"/>
        </w:rPr>
        <w:t>CPC</w:t>
      </w:r>
      <w:r w:rsidRPr="006D6522">
        <w:rPr>
          <w:rFonts w:ascii="Cambria" w:eastAsia="Batang" w:hAnsi="Cambria"/>
          <w:sz w:val="20"/>
          <w:szCs w:val="20"/>
        </w:rPr>
        <w:t xml:space="preserve"> devront prendre les mesures pertinentes, assujetties à leurs lois et réglementations applicables </w:t>
      </w:r>
      <w:r w:rsidR="00543D6A" w:rsidRPr="006D6522">
        <w:rPr>
          <w:rFonts w:ascii="Cambria" w:eastAsia="Batang" w:hAnsi="Cambria"/>
          <w:sz w:val="20"/>
          <w:szCs w:val="20"/>
        </w:rPr>
        <w:t>existant</w:t>
      </w:r>
      <w:r w:rsidR="00A62B7C" w:rsidRPr="006D6522">
        <w:rPr>
          <w:rFonts w:ascii="Cambria" w:eastAsia="Batang" w:hAnsi="Cambria"/>
          <w:sz w:val="20"/>
          <w:szCs w:val="20"/>
        </w:rPr>
        <w:t xml:space="preserve">es ou </w:t>
      </w:r>
      <w:r w:rsidR="00B75600" w:rsidRPr="006D6522">
        <w:rPr>
          <w:rFonts w:ascii="Cambria" w:eastAsia="Batang" w:hAnsi="Cambria"/>
          <w:sz w:val="20"/>
          <w:szCs w:val="20"/>
        </w:rPr>
        <w:t xml:space="preserve">aux </w:t>
      </w:r>
      <w:r w:rsidR="00A62B7C" w:rsidRPr="006D6522">
        <w:rPr>
          <w:rFonts w:ascii="Cambria" w:eastAsia="Batang" w:hAnsi="Cambria"/>
          <w:sz w:val="20"/>
          <w:szCs w:val="20"/>
        </w:rPr>
        <w:t xml:space="preserve">lois et réglementations pertinentes qui seront développées, </w:t>
      </w:r>
      <w:r w:rsidRPr="006D6522">
        <w:rPr>
          <w:rFonts w:ascii="Cambria" w:eastAsia="Batang" w:hAnsi="Cambria"/>
          <w:sz w:val="20"/>
          <w:szCs w:val="20"/>
        </w:rPr>
        <w:t>et conformes à celles-ci</w:t>
      </w:r>
      <w:r w:rsidR="00C96173" w:rsidRPr="006D6522">
        <w:rPr>
          <w:rFonts w:ascii="Cambria" w:eastAsia="Batang" w:hAnsi="Cambria"/>
          <w:sz w:val="20"/>
          <w:szCs w:val="20"/>
        </w:rPr>
        <w:t xml:space="preserve"> </w:t>
      </w:r>
      <w:r w:rsidRPr="006D6522">
        <w:rPr>
          <w:rFonts w:ascii="Cambria" w:eastAsia="Batang" w:hAnsi="Cambria"/>
          <w:sz w:val="20"/>
          <w:szCs w:val="20"/>
        </w:rPr>
        <w:t>:</w:t>
      </w:r>
    </w:p>
    <w:p w14:paraId="74FE9055" w14:textId="39AF7CA8" w:rsidR="00511094" w:rsidRPr="006D6522" w:rsidRDefault="00511094" w:rsidP="00511094">
      <w:pPr>
        <w:tabs>
          <w:tab w:val="left" w:pos="340"/>
        </w:tabs>
        <w:ind w:left="360" w:hanging="360"/>
        <w:jc w:val="both"/>
        <w:rPr>
          <w:rFonts w:ascii="Cambria" w:eastAsia="Batang" w:hAnsi="Cambria"/>
          <w:sz w:val="20"/>
          <w:szCs w:val="20"/>
        </w:rPr>
      </w:pPr>
    </w:p>
    <w:p w14:paraId="3DD4AC89" w14:textId="77777777" w:rsidR="00C061EE" w:rsidRPr="006D6522" w:rsidRDefault="00C061EE">
      <w:pPr>
        <w:rPr>
          <w:rFonts w:asciiTheme="majorHAnsi" w:eastAsiaTheme="minorHAnsi" w:hAnsiTheme="majorHAnsi" w:cs="Calibri"/>
          <w:sz w:val="20"/>
          <w:szCs w:val="20"/>
          <w:lang w:eastAsia="es-ES"/>
        </w:rPr>
      </w:pPr>
      <w:r w:rsidRPr="006D6522">
        <w:rPr>
          <w:rFonts w:asciiTheme="majorHAnsi" w:hAnsiTheme="majorHAnsi"/>
          <w:sz w:val="20"/>
          <w:szCs w:val="20"/>
        </w:rPr>
        <w:br w:type="page"/>
      </w:r>
    </w:p>
    <w:p w14:paraId="49284164" w14:textId="34224029" w:rsidR="00510A36" w:rsidRPr="006D6522" w:rsidRDefault="00510A36" w:rsidP="00510A36">
      <w:pPr>
        <w:pStyle w:val="ListParagraph"/>
        <w:numPr>
          <w:ilvl w:val="0"/>
          <w:numId w:val="18"/>
        </w:numPr>
        <w:ind w:hanging="436"/>
        <w:jc w:val="both"/>
        <w:rPr>
          <w:rFonts w:asciiTheme="majorHAnsi" w:hAnsiTheme="majorHAnsi"/>
          <w:sz w:val="20"/>
          <w:szCs w:val="20"/>
        </w:rPr>
      </w:pPr>
      <w:r w:rsidRPr="006D6522">
        <w:rPr>
          <w:rFonts w:asciiTheme="majorHAnsi" w:hAnsiTheme="majorHAnsi"/>
          <w:sz w:val="20"/>
          <w:szCs w:val="20"/>
        </w:rPr>
        <w:lastRenderedPageBreak/>
        <w:t xml:space="preserve">enquêter et vérifier toute allégation et/ou tout rapport concernant la participation de toute personne physique ou morale relevant de leur juridiction </w:t>
      </w:r>
      <w:r w:rsidR="003B00D5" w:rsidRPr="006D6522">
        <w:rPr>
          <w:rFonts w:asciiTheme="majorHAnsi" w:hAnsiTheme="majorHAnsi"/>
          <w:sz w:val="20"/>
          <w:szCs w:val="20"/>
        </w:rPr>
        <w:t xml:space="preserve">qui a pris part ou prend part </w:t>
      </w:r>
      <w:r w:rsidRPr="006D6522">
        <w:rPr>
          <w:rFonts w:asciiTheme="majorHAnsi" w:hAnsiTheme="majorHAnsi"/>
          <w:sz w:val="20"/>
          <w:szCs w:val="20"/>
        </w:rPr>
        <w:t>aux activités décrites</w:t>
      </w:r>
      <w:r w:rsidR="00524CB9" w:rsidRPr="006D6522">
        <w:rPr>
          <w:rFonts w:asciiTheme="majorHAnsi" w:hAnsiTheme="majorHAnsi"/>
          <w:sz w:val="20"/>
          <w:szCs w:val="20"/>
        </w:rPr>
        <w:t xml:space="preserve">, </w:t>
      </w:r>
      <w:r w:rsidRPr="006D6522">
        <w:rPr>
          <w:rFonts w:asciiTheme="majorHAnsi" w:hAnsiTheme="majorHAnsi"/>
          <w:sz w:val="20"/>
          <w:szCs w:val="20"/>
        </w:rPr>
        <w:t xml:space="preserve">entre autres, au paragraphe 1 de la </w:t>
      </w:r>
      <w:r w:rsidR="00C54B8B" w:rsidRPr="006D6522">
        <w:rPr>
          <w:rFonts w:asciiTheme="majorHAnsi" w:hAnsiTheme="majorHAnsi"/>
          <w:i/>
          <w:iCs/>
          <w:sz w:val="20"/>
          <w:szCs w:val="20"/>
        </w:rPr>
        <w:t xml:space="preserve">Recommandation de l’ICCAT amendant la Recommandation 18-08 établissant une liste de navires présumés avoir exercé des activités de pêche illicites, non déclarées et non règlementées </w:t>
      </w:r>
      <w:r w:rsidRPr="006D6522">
        <w:rPr>
          <w:rFonts w:asciiTheme="majorHAnsi" w:hAnsiTheme="majorHAnsi"/>
          <w:sz w:val="20"/>
          <w:szCs w:val="20"/>
        </w:rPr>
        <w:t xml:space="preserve">(Rec. </w:t>
      </w:r>
      <w:r w:rsidR="00524CB9" w:rsidRPr="006D6522">
        <w:rPr>
          <w:rFonts w:asciiTheme="majorHAnsi" w:hAnsiTheme="majorHAnsi"/>
          <w:sz w:val="20"/>
          <w:szCs w:val="20"/>
        </w:rPr>
        <w:t>21-13</w:t>
      </w:r>
      <w:r w:rsidR="00893C12" w:rsidRPr="0055560C">
        <w:rPr>
          <w:rStyle w:val="FootnoteReference"/>
          <w:rFonts w:ascii="Cambria" w:eastAsia="Calibri" w:hAnsi="Cambria"/>
          <w:sz w:val="20"/>
          <w:szCs w:val="20"/>
        </w:rPr>
        <w:footnoteReference w:id="1"/>
      </w:r>
      <w:r w:rsidRPr="006D6522">
        <w:rPr>
          <w:rFonts w:asciiTheme="majorHAnsi" w:hAnsiTheme="majorHAnsi"/>
          <w:sz w:val="20"/>
          <w:szCs w:val="20"/>
        </w:rPr>
        <w:t>) ;</w:t>
      </w:r>
    </w:p>
    <w:p w14:paraId="1C4E15A5" w14:textId="77777777" w:rsidR="00510A36" w:rsidRPr="006D6522" w:rsidRDefault="00510A36" w:rsidP="00511094">
      <w:pPr>
        <w:tabs>
          <w:tab w:val="left" w:pos="340"/>
        </w:tabs>
        <w:ind w:left="360" w:hanging="360"/>
        <w:jc w:val="both"/>
        <w:rPr>
          <w:rFonts w:asciiTheme="majorHAnsi" w:eastAsia="Batang" w:hAnsiTheme="majorHAnsi"/>
          <w:sz w:val="20"/>
          <w:szCs w:val="20"/>
        </w:rPr>
      </w:pPr>
    </w:p>
    <w:p w14:paraId="019D7FDA" w14:textId="480ECC7A" w:rsidR="00524CB9" w:rsidRPr="006D6522" w:rsidRDefault="00524CB9" w:rsidP="00510A36">
      <w:pPr>
        <w:pStyle w:val="ListParagraph"/>
        <w:numPr>
          <w:ilvl w:val="0"/>
          <w:numId w:val="18"/>
        </w:numPr>
        <w:ind w:hanging="436"/>
        <w:jc w:val="both"/>
        <w:rPr>
          <w:rFonts w:ascii="Cambria" w:eastAsia="Batang" w:hAnsi="Cambria"/>
          <w:sz w:val="20"/>
          <w:szCs w:val="20"/>
        </w:rPr>
      </w:pPr>
      <w:r w:rsidRPr="006D6522">
        <w:rPr>
          <w:rFonts w:ascii="Cambria" w:eastAsia="Batang" w:hAnsi="Cambria"/>
          <w:sz w:val="20"/>
          <w:szCs w:val="20"/>
        </w:rPr>
        <w:t xml:space="preserve">enquêter et vérifier </w:t>
      </w:r>
      <w:r w:rsidR="006D51AD" w:rsidRPr="006D6522">
        <w:rPr>
          <w:rFonts w:ascii="Cambria" w:eastAsia="Batang" w:hAnsi="Cambria"/>
          <w:sz w:val="20"/>
          <w:szCs w:val="20"/>
        </w:rPr>
        <w:t xml:space="preserve">les </w:t>
      </w:r>
      <w:r w:rsidRPr="006D6522">
        <w:rPr>
          <w:rFonts w:ascii="Cambria" w:eastAsia="Batang" w:hAnsi="Cambria"/>
          <w:sz w:val="20"/>
          <w:szCs w:val="20"/>
        </w:rPr>
        <w:t>allégation</w:t>
      </w:r>
      <w:r w:rsidR="006D51AD" w:rsidRPr="006D6522">
        <w:rPr>
          <w:rFonts w:ascii="Cambria" w:eastAsia="Batang" w:hAnsi="Cambria"/>
          <w:sz w:val="20"/>
          <w:szCs w:val="20"/>
        </w:rPr>
        <w:t>s</w:t>
      </w:r>
      <w:r w:rsidRPr="006D6522">
        <w:rPr>
          <w:rFonts w:ascii="Cambria" w:eastAsia="Batang" w:hAnsi="Cambria"/>
          <w:sz w:val="20"/>
          <w:szCs w:val="20"/>
        </w:rPr>
        <w:t xml:space="preserve"> et/ou rapport</w:t>
      </w:r>
      <w:r w:rsidR="006D51AD" w:rsidRPr="006D6522">
        <w:rPr>
          <w:rFonts w:ascii="Cambria" w:eastAsia="Batang" w:hAnsi="Cambria"/>
          <w:sz w:val="20"/>
          <w:szCs w:val="20"/>
        </w:rPr>
        <w:t>s</w:t>
      </w:r>
      <w:r w:rsidRPr="006D6522">
        <w:rPr>
          <w:rFonts w:ascii="Cambria" w:eastAsia="Batang" w:hAnsi="Cambria"/>
          <w:sz w:val="20"/>
          <w:szCs w:val="20"/>
        </w:rPr>
        <w:t xml:space="preserve"> selon lesquels des personnes physiques ou morales relevant de leur juridiction sont responsables, bénéficient ou soutiennent les activités décrites au point (i) ci-dessus (par exemple, en tant qu'opérateurs, propriétaires, y compris les bénéficiaires effectifs, prestataires de services logistiques et de services, y compris des prestataires d'assurance et autres prest</w:t>
      </w:r>
      <w:r w:rsidR="00091862" w:rsidRPr="006D6522">
        <w:rPr>
          <w:rFonts w:ascii="Cambria" w:eastAsia="Batang" w:hAnsi="Cambria"/>
          <w:sz w:val="20"/>
          <w:szCs w:val="20"/>
        </w:rPr>
        <w:t>ataires de services financiers) ;</w:t>
      </w:r>
    </w:p>
    <w:p w14:paraId="123E6D4B" w14:textId="77777777" w:rsidR="00524CB9" w:rsidRPr="006D6522" w:rsidRDefault="00524CB9" w:rsidP="00524CB9">
      <w:pPr>
        <w:pStyle w:val="ListParagraph"/>
        <w:rPr>
          <w:rFonts w:asciiTheme="majorHAnsi" w:hAnsiTheme="majorHAnsi"/>
          <w:sz w:val="20"/>
          <w:szCs w:val="20"/>
        </w:rPr>
      </w:pPr>
    </w:p>
    <w:p w14:paraId="00731E25" w14:textId="27618AEF" w:rsidR="00511094" w:rsidRPr="006D6522" w:rsidRDefault="00511094" w:rsidP="00510A36">
      <w:pPr>
        <w:pStyle w:val="ListParagraph"/>
        <w:numPr>
          <w:ilvl w:val="0"/>
          <w:numId w:val="18"/>
        </w:numPr>
        <w:ind w:hanging="436"/>
        <w:jc w:val="both"/>
        <w:rPr>
          <w:rFonts w:ascii="Cambria" w:eastAsia="Batang" w:hAnsi="Cambria"/>
          <w:sz w:val="20"/>
          <w:szCs w:val="20"/>
        </w:rPr>
      </w:pPr>
      <w:r w:rsidRPr="006D6522">
        <w:rPr>
          <w:rFonts w:asciiTheme="majorHAnsi" w:hAnsiTheme="majorHAnsi"/>
          <w:sz w:val="20"/>
          <w:szCs w:val="20"/>
        </w:rPr>
        <w:t>prendre</w:t>
      </w:r>
      <w:r w:rsidRPr="006D6522">
        <w:rPr>
          <w:rFonts w:ascii="Cambria" w:eastAsia="Batang" w:hAnsi="Cambria"/>
          <w:sz w:val="20"/>
          <w:szCs w:val="20"/>
        </w:rPr>
        <w:t xml:space="preserve"> les actions opportunes</w:t>
      </w:r>
      <w:r w:rsidR="00310775" w:rsidRPr="006D6522">
        <w:rPr>
          <w:rFonts w:ascii="Cambria" w:eastAsia="Batang" w:hAnsi="Cambria"/>
          <w:sz w:val="20"/>
          <w:szCs w:val="20"/>
        </w:rPr>
        <w:t>, efficaces et dissuasives</w:t>
      </w:r>
      <w:r w:rsidRPr="006D6522">
        <w:rPr>
          <w:rFonts w:ascii="Cambria" w:eastAsia="Batang" w:hAnsi="Cambria"/>
          <w:sz w:val="20"/>
          <w:szCs w:val="20"/>
        </w:rPr>
        <w:t xml:space="preserve"> en réponse à toute activité avérée visée au</w:t>
      </w:r>
      <w:r w:rsidR="00345D89" w:rsidRPr="006D6522">
        <w:rPr>
          <w:rFonts w:ascii="Cambria" w:eastAsia="Batang" w:hAnsi="Cambria"/>
          <w:sz w:val="20"/>
          <w:szCs w:val="20"/>
        </w:rPr>
        <w:t>x</w:t>
      </w:r>
      <w:r w:rsidRPr="006D6522">
        <w:rPr>
          <w:rFonts w:ascii="Cambria" w:eastAsia="Batang" w:hAnsi="Cambria"/>
          <w:sz w:val="20"/>
          <w:szCs w:val="20"/>
        </w:rPr>
        <w:t xml:space="preserve"> </w:t>
      </w:r>
      <w:r w:rsidR="006C4097" w:rsidRPr="006D6522">
        <w:rPr>
          <w:rFonts w:ascii="Cambria" w:eastAsia="Batang" w:hAnsi="Cambria"/>
          <w:sz w:val="20"/>
          <w:szCs w:val="20"/>
        </w:rPr>
        <w:t>sous-</w:t>
      </w:r>
      <w:r w:rsidRPr="006D6522">
        <w:rPr>
          <w:rFonts w:ascii="Cambria" w:eastAsia="Batang" w:hAnsi="Cambria"/>
          <w:sz w:val="20"/>
          <w:szCs w:val="20"/>
        </w:rPr>
        <w:t>paragraphe</w:t>
      </w:r>
      <w:r w:rsidR="006C4097" w:rsidRPr="006D6522">
        <w:rPr>
          <w:rFonts w:ascii="Cambria" w:eastAsia="Batang" w:hAnsi="Cambria"/>
          <w:sz w:val="20"/>
          <w:szCs w:val="20"/>
        </w:rPr>
        <w:t>s</w:t>
      </w:r>
      <w:r w:rsidRPr="006D6522">
        <w:rPr>
          <w:rFonts w:ascii="Cambria" w:eastAsia="Batang" w:hAnsi="Cambria"/>
          <w:sz w:val="20"/>
          <w:szCs w:val="20"/>
        </w:rPr>
        <w:t xml:space="preserve"> 1(i)</w:t>
      </w:r>
      <w:r w:rsidR="006C4097" w:rsidRPr="006D6522">
        <w:rPr>
          <w:rFonts w:ascii="Cambria" w:eastAsia="Batang" w:hAnsi="Cambria"/>
          <w:sz w:val="20"/>
          <w:szCs w:val="20"/>
        </w:rPr>
        <w:t xml:space="preserve"> et (ii)</w:t>
      </w:r>
      <w:r w:rsidRPr="006D6522">
        <w:rPr>
          <w:rFonts w:ascii="Cambria" w:eastAsia="Batang" w:hAnsi="Cambria"/>
          <w:sz w:val="20"/>
          <w:szCs w:val="20"/>
        </w:rPr>
        <w:t> ; et</w:t>
      </w:r>
    </w:p>
    <w:p w14:paraId="399063EB" w14:textId="77777777" w:rsidR="00C96173" w:rsidRPr="006D6522" w:rsidRDefault="00C96173" w:rsidP="00C96173">
      <w:pPr>
        <w:pStyle w:val="ListParagraph"/>
        <w:rPr>
          <w:rFonts w:ascii="Cambria" w:eastAsia="Batang" w:hAnsi="Cambria"/>
          <w:sz w:val="20"/>
          <w:szCs w:val="20"/>
        </w:rPr>
      </w:pPr>
    </w:p>
    <w:p w14:paraId="5B58110F" w14:textId="433C34C5" w:rsidR="00511094" w:rsidRPr="006D6522" w:rsidRDefault="00511094" w:rsidP="00510A36">
      <w:pPr>
        <w:pStyle w:val="ListParagraph"/>
        <w:numPr>
          <w:ilvl w:val="0"/>
          <w:numId w:val="18"/>
        </w:numPr>
        <w:ind w:hanging="436"/>
        <w:jc w:val="both"/>
        <w:rPr>
          <w:rFonts w:ascii="Cambria" w:eastAsia="Batang" w:hAnsi="Cambria"/>
          <w:sz w:val="20"/>
          <w:szCs w:val="20"/>
        </w:rPr>
      </w:pPr>
      <w:r w:rsidRPr="006D6522">
        <w:rPr>
          <w:rFonts w:asciiTheme="majorHAnsi" w:hAnsiTheme="majorHAnsi"/>
          <w:sz w:val="20"/>
          <w:szCs w:val="20"/>
        </w:rPr>
        <w:t>coopérer</w:t>
      </w:r>
      <w:r w:rsidRPr="006D6522">
        <w:rPr>
          <w:rFonts w:ascii="Cambria" w:eastAsia="Batang" w:hAnsi="Cambria"/>
          <w:sz w:val="20"/>
          <w:szCs w:val="20"/>
        </w:rPr>
        <w:t xml:space="preserve"> aux fins de la mise en œuvre des mesures et des actions visées au</w:t>
      </w:r>
      <w:r w:rsidR="006C4097" w:rsidRPr="006D6522">
        <w:rPr>
          <w:rFonts w:ascii="Cambria" w:eastAsia="Batang" w:hAnsi="Cambria"/>
          <w:sz w:val="20"/>
          <w:szCs w:val="20"/>
        </w:rPr>
        <w:t>x sous-paragraphes 1(i) et (ii)</w:t>
      </w:r>
      <w:r w:rsidRPr="006D6522">
        <w:rPr>
          <w:rFonts w:ascii="Cambria" w:eastAsia="Batang" w:hAnsi="Cambria"/>
          <w:sz w:val="20"/>
          <w:szCs w:val="20"/>
        </w:rPr>
        <w:t>. À cette fin, les agences pertinentes des CPC devraient coopérer afin de mettre en œuvre les mesures de conservation et de gestion de l’ICCAT et les CPC devraient rechercher la coopération d</w:t>
      </w:r>
      <w:r w:rsidR="006C4097" w:rsidRPr="006D6522">
        <w:rPr>
          <w:rFonts w:ascii="Cambria" w:eastAsia="Batang" w:hAnsi="Cambria"/>
          <w:sz w:val="20"/>
          <w:szCs w:val="20"/>
        </w:rPr>
        <w:t xml:space="preserve">es parties prenantes </w:t>
      </w:r>
      <w:r w:rsidRPr="006D6522">
        <w:rPr>
          <w:rFonts w:ascii="Cambria" w:eastAsia="Batang" w:hAnsi="Cambria"/>
          <w:sz w:val="20"/>
          <w:szCs w:val="20"/>
        </w:rPr>
        <w:t>relevant de leur juridiction.</w:t>
      </w:r>
    </w:p>
    <w:p w14:paraId="5C935F50" w14:textId="77777777" w:rsidR="00511094" w:rsidRPr="006D6522" w:rsidRDefault="00511094" w:rsidP="00511094">
      <w:pPr>
        <w:tabs>
          <w:tab w:val="left" w:pos="340"/>
        </w:tabs>
        <w:jc w:val="both"/>
        <w:rPr>
          <w:rFonts w:ascii="Cambria" w:eastAsia="Batang" w:hAnsi="Cambria"/>
          <w:sz w:val="20"/>
          <w:szCs w:val="20"/>
        </w:rPr>
      </w:pPr>
    </w:p>
    <w:p w14:paraId="052752AD" w14:textId="2418D76E" w:rsidR="00511094" w:rsidRPr="006D6522" w:rsidRDefault="00511094" w:rsidP="00500BE2">
      <w:pPr>
        <w:ind w:left="426" w:hanging="426"/>
        <w:jc w:val="both"/>
        <w:rPr>
          <w:rFonts w:ascii="Cambria" w:eastAsia="Batang" w:hAnsi="Cambria"/>
          <w:sz w:val="20"/>
          <w:szCs w:val="20"/>
        </w:rPr>
      </w:pPr>
      <w:r w:rsidRPr="006D6522">
        <w:rPr>
          <w:rFonts w:ascii="Cambria" w:eastAsia="Batang" w:hAnsi="Cambria"/>
          <w:sz w:val="20"/>
          <w:szCs w:val="20"/>
        </w:rPr>
        <w:t>2.</w:t>
      </w:r>
      <w:r w:rsidRPr="006D6522">
        <w:rPr>
          <w:rFonts w:ascii="Cambria" w:eastAsia="Batang" w:hAnsi="Cambria"/>
          <w:sz w:val="20"/>
          <w:szCs w:val="20"/>
        </w:rPr>
        <w:tab/>
        <w:t>Afin d’aider à la mise en œuvre de la présente Recommandation, les CPC devront</w:t>
      </w:r>
      <w:r w:rsidR="00E4556E" w:rsidRPr="006D6522">
        <w:rPr>
          <w:rFonts w:ascii="Cambria" w:eastAsia="Batang" w:hAnsi="Cambria"/>
          <w:sz w:val="20"/>
          <w:szCs w:val="20"/>
        </w:rPr>
        <w:t>, conformément aux législations nationales en matière de confidentialité</w:t>
      </w:r>
      <w:r w:rsidR="009A1027" w:rsidRPr="006D6522">
        <w:rPr>
          <w:rFonts w:ascii="Cambria" w:eastAsia="Batang" w:hAnsi="Cambria"/>
          <w:sz w:val="20"/>
          <w:szCs w:val="20"/>
        </w:rPr>
        <w:t xml:space="preserve"> et de protection des données</w:t>
      </w:r>
      <w:r w:rsidR="00E4556E" w:rsidRPr="006D6522">
        <w:rPr>
          <w:rFonts w:ascii="Cambria" w:eastAsia="Batang" w:hAnsi="Cambria"/>
          <w:sz w:val="20"/>
          <w:szCs w:val="20"/>
        </w:rPr>
        <w:t xml:space="preserve">, </w:t>
      </w:r>
      <w:r w:rsidRPr="006D6522">
        <w:rPr>
          <w:rFonts w:ascii="Cambria" w:eastAsia="Batang" w:hAnsi="Cambria"/>
          <w:sz w:val="20"/>
          <w:szCs w:val="20"/>
        </w:rPr>
        <w:t xml:space="preserve">soumettre </w:t>
      </w:r>
      <w:r w:rsidR="00310775" w:rsidRPr="006D6522">
        <w:rPr>
          <w:rFonts w:ascii="Cambria" w:eastAsia="Batang" w:hAnsi="Cambria"/>
          <w:sz w:val="20"/>
          <w:szCs w:val="20"/>
        </w:rPr>
        <w:t xml:space="preserve">en temps opportun </w:t>
      </w:r>
      <w:r w:rsidRPr="006D6522">
        <w:rPr>
          <w:rFonts w:ascii="Cambria" w:eastAsia="Batang" w:hAnsi="Cambria"/>
          <w:sz w:val="20"/>
          <w:szCs w:val="20"/>
        </w:rPr>
        <w:t xml:space="preserve">au Secrétariat de l’ICCAT et aux CPC </w:t>
      </w:r>
      <w:r w:rsidR="00E4556E" w:rsidRPr="006D6522">
        <w:rPr>
          <w:rFonts w:ascii="Cambria" w:eastAsia="Batang" w:hAnsi="Cambria"/>
          <w:sz w:val="20"/>
          <w:szCs w:val="20"/>
        </w:rPr>
        <w:t xml:space="preserve">des rapports </w:t>
      </w:r>
      <w:r w:rsidRPr="006D6522">
        <w:rPr>
          <w:rFonts w:ascii="Cambria" w:eastAsia="Batang" w:hAnsi="Cambria"/>
          <w:sz w:val="20"/>
          <w:szCs w:val="20"/>
        </w:rPr>
        <w:t xml:space="preserve">sur les actions et les mesures prises </w:t>
      </w:r>
      <w:r w:rsidR="00E4556E" w:rsidRPr="006D6522">
        <w:rPr>
          <w:rFonts w:ascii="Cambria" w:eastAsia="Batang" w:hAnsi="Cambria"/>
          <w:sz w:val="20"/>
          <w:szCs w:val="20"/>
        </w:rPr>
        <w:t>en vertu d</w:t>
      </w:r>
      <w:r w:rsidRPr="006D6522">
        <w:rPr>
          <w:rFonts w:ascii="Cambria" w:eastAsia="Batang" w:hAnsi="Cambria"/>
          <w:sz w:val="20"/>
          <w:szCs w:val="20"/>
        </w:rPr>
        <w:t>u paragraphe 1.</w:t>
      </w:r>
    </w:p>
    <w:p w14:paraId="509B580A" w14:textId="77777777" w:rsidR="00511094" w:rsidRPr="006D6522" w:rsidRDefault="00511094" w:rsidP="00500BE2">
      <w:pPr>
        <w:ind w:left="426" w:hanging="426"/>
        <w:jc w:val="both"/>
        <w:rPr>
          <w:rFonts w:ascii="Cambria" w:eastAsia="Batang" w:hAnsi="Cambria"/>
          <w:sz w:val="20"/>
          <w:szCs w:val="20"/>
        </w:rPr>
      </w:pPr>
    </w:p>
    <w:p w14:paraId="5141A1EC" w14:textId="0D1139BD" w:rsidR="00511094" w:rsidRPr="006D6522" w:rsidRDefault="00511094" w:rsidP="00355F2D">
      <w:pPr>
        <w:widowControl w:val="0"/>
        <w:ind w:left="426" w:hanging="426"/>
        <w:jc w:val="both"/>
        <w:rPr>
          <w:rFonts w:asciiTheme="majorHAnsi" w:hAnsiTheme="majorHAnsi"/>
          <w:b/>
          <w:bCs/>
          <w:sz w:val="20"/>
          <w:szCs w:val="20"/>
        </w:rPr>
      </w:pPr>
      <w:r w:rsidRPr="006D6522">
        <w:rPr>
          <w:rFonts w:ascii="Cambria" w:eastAsia="Batang" w:hAnsi="Cambria"/>
          <w:sz w:val="20"/>
          <w:szCs w:val="20"/>
        </w:rPr>
        <w:t>3.</w:t>
      </w:r>
      <w:r w:rsidRPr="006D6522">
        <w:rPr>
          <w:rFonts w:ascii="Cambria" w:eastAsia="Batang" w:hAnsi="Cambria"/>
          <w:sz w:val="20"/>
          <w:szCs w:val="20"/>
        </w:rPr>
        <w:tab/>
      </w:r>
      <w:r w:rsidR="00E4556E" w:rsidRPr="006D6522">
        <w:rPr>
          <w:rFonts w:ascii="Cambria" w:hAnsi="Cambria"/>
          <w:sz w:val="20"/>
        </w:rPr>
        <w:t>La Recommandation 06-14 est abrogée et remplacée par la présente Recommandation.</w:t>
      </w:r>
    </w:p>
    <w:sectPr w:rsidR="00511094" w:rsidRPr="006D6522" w:rsidSect="00905A58">
      <w:headerReference w:type="even" r:id="rId8"/>
      <w:footerReference w:type="even" r:id="rId9"/>
      <w:footerReference w:type="default" r:id="rId10"/>
      <w:headerReference w:type="first" r:id="rId11"/>
      <w:footerReference w:type="firs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7E063" w14:textId="77777777" w:rsidR="005A7B55" w:rsidRDefault="005A7B55">
      <w:r>
        <w:separator/>
      </w:r>
    </w:p>
  </w:endnote>
  <w:endnote w:type="continuationSeparator" w:id="0">
    <w:p w14:paraId="4EC7BEFB" w14:textId="77777777" w:rsidR="005A7B55" w:rsidRDefault="005A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417A" w14:textId="77777777" w:rsidR="0032541D" w:rsidRDefault="0032541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14:paraId="266BD9D6" w14:textId="77777777" w:rsidR="0032541D" w:rsidRDefault="0032541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15550"/>
      <w:docPartObj>
        <w:docPartGallery w:val="Page Numbers (Bottom of Page)"/>
        <w:docPartUnique/>
      </w:docPartObj>
    </w:sdtPr>
    <w:sdtEndPr>
      <w:rPr>
        <w:rFonts w:asciiTheme="majorHAnsi" w:hAnsiTheme="majorHAnsi"/>
        <w:szCs w:val="20"/>
      </w:rPr>
    </w:sdtEndPr>
    <w:sdtContent>
      <w:sdt>
        <w:sdtPr>
          <w:id w:val="-1705238520"/>
          <w:docPartObj>
            <w:docPartGallery w:val="Page Numbers (Top of Page)"/>
            <w:docPartUnique/>
          </w:docPartObj>
        </w:sdtPr>
        <w:sdtEndPr>
          <w:rPr>
            <w:rFonts w:asciiTheme="majorHAnsi" w:hAnsiTheme="majorHAnsi"/>
            <w:szCs w:val="20"/>
          </w:rPr>
        </w:sdtEndPr>
        <w:sdtContent>
          <w:p w14:paraId="53140A03" w14:textId="5F6B23E0" w:rsidR="0032541D" w:rsidRPr="001605DF" w:rsidRDefault="0032541D" w:rsidP="001605DF">
            <w:pPr>
              <w:pStyle w:val="Footer"/>
              <w:jc w:val="center"/>
              <w:rPr>
                <w:rFonts w:asciiTheme="majorHAnsi" w:hAnsiTheme="majorHAnsi"/>
                <w:szCs w:val="20"/>
              </w:rPr>
            </w:pPr>
            <w:r w:rsidRPr="001605DF">
              <w:rPr>
                <w:rFonts w:asciiTheme="majorHAnsi" w:hAnsiTheme="majorHAnsi"/>
                <w:bCs/>
                <w:szCs w:val="20"/>
              </w:rPr>
              <w:fldChar w:fldCharType="begin"/>
            </w:r>
            <w:r w:rsidRPr="001605DF">
              <w:rPr>
                <w:rFonts w:asciiTheme="majorHAnsi" w:hAnsiTheme="majorHAnsi"/>
                <w:bCs/>
                <w:szCs w:val="20"/>
              </w:rPr>
              <w:instrText xml:space="preserve"> PAGE </w:instrText>
            </w:r>
            <w:r w:rsidRPr="001605DF">
              <w:rPr>
                <w:rFonts w:asciiTheme="majorHAnsi" w:hAnsiTheme="majorHAnsi"/>
                <w:bCs/>
                <w:szCs w:val="20"/>
              </w:rPr>
              <w:fldChar w:fldCharType="separate"/>
            </w:r>
            <w:r w:rsidR="005B0456">
              <w:rPr>
                <w:rFonts w:asciiTheme="majorHAnsi" w:hAnsiTheme="majorHAnsi"/>
                <w:bCs/>
                <w:noProof/>
                <w:szCs w:val="20"/>
              </w:rPr>
              <w:t>2</w:t>
            </w:r>
            <w:r w:rsidRPr="001605DF">
              <w:rPr>
                <w:rFonts w:asciiTheme="majorHAnsi" w:hAnsiTheme="majorHAnsi"/>
                <w:bCs/>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7D24" w14:textId="77777777" w:rsidR="0032541D" w:rsidRDefault="0032541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59012" w14:textId="77777777" w:rsidR="005A7B55" w:rsidRDefault="005A7B55">
      <w:r>
        <w:separator/>
      </w:r>
    </w:p>
  </w:footnote>
  <w:footnote w:type="continuationSeparator" w:id="0">
    <w:p w14:paraId="57C44C15" w14:textId="77777777" w:rsidR="005A7B55" w:rsidRDefault="005A7B55">
      <w:r>
        <w:continuationSeparator/>
      </w:r>
    </w:p>
  </w:footnote>
  <w:footnote w:id="1">
    <w:p w14:paraId="21042A0E" w14:textId="77777777" w:rsidR="00893C12" w:rsidRPr="00012FDE" w:rsidRDefault="00893C12" w:rsidP="00893C12">
      <w:pPr>
        <w:pStyle w:val="FootnoteText"/>
        <w:rPr>
          <w:rFonts w:ascii="Cambria" w:hAnsi="Cambria"/>
          <w:sz w:val="16"/>
          <w:szCs w:val="16"/>
        </w:rPr>
      </w:pPr>
      <w:r w:rsidRPr="00D33FC1">
        <w:rPr>
          <w:rStyle w:val="FootnoteReference"/>
          <w:rFonts w:ascii="Cambria" w:hAnsi="Cambria"/>
        </w:rPr>
        <w:footnoteRef/>
      </w:r>
      <w:r w:rsidRPr="00D33FC1">
        <w:rPr>
          <w:rFonts w:ascii="Cambria" w:hAnsi="Cambria"/>
          <w:sz w:val="16"/>
          <w:szCs w:val="16"/>
        </w:rPr>
        <w:t xml:space="preserve"> Cette mesure a été abrogée et remplacée par la Recommandation 23-16.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B3CD" w14:textId="77777777" w:rsidR="0032541D" w:rsidRDefault="0032541D">
    <w:pPr>
      <w:pStyle w:val="Header"/>
      <w:rPr>
        <w:rFonts w:ascii="Univers" w:hAnsi="Univers"/>
        <w:sz w:val="16"/>
      </w:rPr>
    </w:pPr>
    <w:r>
      <w:rPr>
        <w:rFonts w:ascii="Univers" w:hAnsi="Univers"/>
        <w:sz w:val="16"/>
      </w:rPr>
      <w:t>RAPPORT ICCAT 2002-2003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ADBC" w14:textId="77777777" w:rsidR="0032541D" w:rsidRDefault="0032541D">
    <w:pPr>
      <w:pStyle w:val="Header"/>
      <w:jc w:val="right"/>
      <w:rPr>
        <w:rFonts w:ascii="Univers" w:hAnsi="Univers"/>
        <w:sz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6D6"/>
    <w:multiLevelType w:val="multilevel"/>
    <w:tmpl w:val="F8C64D72"/>
    <w:lvl w:ilvl="0">
      <w:start w:val="6"/>
      <w:numFmt w:val="decimal"/>
      <w:lvlText w:val="%1"/>
      <w:lvlJc w:val="left"/>
      <w:pPr>
        <w:tabs>
          <w:tab w:val="num" w:pos="3524"/>
        </w:tabs>
        <w:ind w:left="3524" w:hanging="405"/>
      </w:pPr>
      <w:rPr>
        <w:rFonts w:hint="default"/>
      </w:rPr>
    </w:lvl>
    <w:lvl w:ilvl="1">
      <w:start w:val="5"/>
      <w:numFmt w:val="decimal"/>
      <w:lvlText w:val="%1.%2"/>
      <w:lvlJc w:val="left"/>
      <w:pPr>
        <w:tabs>
          <w:tab w:val="num" w:pos="3824"/>
        </w:tabs>
        <w:ind w:left="3824" w:hanging="405"/>
      </w:pPr>
      <w:rPr>
        <w:rFonts w:hint="default"/>
      </w:rPr>
    </w:lvl>
    <w:lvl w:ilvl="2">
      <w:start w:val="1"/>
      <w:numFmt w:val="decimal"/>
      <w:lvlText w:val="%1.%2.%3"/>
      <w:lvlJc w:val="left"/>
      <w:pPr>
        <w:tabs>
          <w:tab w:val="num" w:pos="4439"/>
        </w:tabs>
        <w:ind w:left="4439" w:hanging="720"/>
      </w:pPr>
      <w:rPr>
        <w:rFonts w:hint="default"/>
      </w:rPr>
    </w:lvl>
    <w:lvl w:ilvl="3">
      <w:start w:val="1"/>
      <w:numFmt w:val="decimal"/>
      <w:lvlText w:val="%1.%2.%3.%4"/>
      <w:lvlJc w:val="left"/>
      <w:pPr>
        <w:tabs>
          <w:tab w:val="num" w:pos="4739"/>
        </w:tabs>
        <w:ind w:left="4739" w:hanging="720"/>
      </w:pPr>
      <w:rPr>
        <w:rFonts w:hint="default"/>
      </w:rPr>
    </w:lvl>
    <w:lvl w:ilvl="4">
      <w:start w:val="1"/>
      <w:numFmt w:val="decimal"/>
      <w:lvlText w:val="%1.%2.%3.%4.%5"/>
      <w:lvlJc w:val="left"/>
      <w:pPr>
        <w:tabs>
          <w:tab w:val="num" w:pos="5039"/>
        </w:tabs>
        <w:ind w:left="5039" w:hanging="720"/>
      </w:pPr>
      <w:rPr>
        <w:rFonts w:hint="default"/>
      </w:rPr>
    </w:lvl>
    <w:lvl w:ilvl="5">
      <w:start w:val="1"/>
      <w:numFmt w:val="decimal"/>
      <w:lvlText w:val="%1.%2.%3.%4.%5.%6"/>
      <w:lvlJc w:val="left"/>
      <w:pPr>
        <w:tabs>
          <w:tab w:val="num" w:pos="5699"/>
        </w:tabs>
        <w:ind w:left="5699" w:hanging="1080"/>
      </w:pPr>
      <w:rPr>
        <w:rFonts w:hint="default"/>
      </w:rPr>
    </w:lvl>
    <w:lvl w:ilvl="6">
      <w:start w:val="1"/>
      <w:numFmt w:val="decimal"/>
      <w:lvlText w:val="%1.%2.%3.%4.%5.%6.%7"/>
      <w:lvlJc w:val="left"/>
      <w:pPr>
        <w:tabs>
          <w:tab w:val="num" w:pos="5999"/>
        </w:tabs>
        <w:ind w:left="5999" w:hanging="1080"/>
      </w:pPr>
      <w:rPr>
        <w:rFonts w:hint="default"/>
      </w:rPr>
    </w:lvl>
    <w:lvl w:ilvl="7">
      <w:start w:val="1"/>
      <w:numFmt w:val="decimal"/>
      <w:lvlText w:val="%1.%2.%3.%4.%5.%6.%7.%8"/>
      <w:lvlJc w:val="left"/>
      <w:pPr>
        <w:tabs>
          <w:tab w:val="num" w:pos="6659"/>
        </w:tabs>
        <w:ind w:left="6659" w:hanging="1440"/>
      </w:pPr>
      <w:rPr>
        <w:rFonts w:hint="default"/>
      </w:rPr>
    </w:lvl>
    <w:lvl w:ilvl="8">
      <w:start w:val="1"/>
      <w:numFmt w:val="decimal"/>
      <w:lvlText w:val="%1.%2.%3.%4.%5.%6.%7.%8.%9"/>
      <w:lvlJc w:val="left"/>
      <w:pPr>
        <w:tabs>
          <w:tab w:val="num" w:pos="6959"/>
        </w:tabs>
        <w:ind w:left="6959" w:hanging="1440"/>
      </w:pPr>
      <w:rPr>
        <w:rFonts w:hint="default"/>
      </w:rPr>
    </w:lvl>
  </w:abstractNum>
  <w:abstractNum w:abstractNumId="1" w15:restartNumberingAfterBreak="0">
    <w:nsid w:val="116F03B5"/>
    <w:multiLevelType w:val="hybridMultilevel"/>
    <w:tmpl w:val="428A15DC"/>
    <w:lvl w:ilvl="0" w:tplc="744614E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05283D"/>
    <w:multiLevelType w:val="hybridMultilevel"/>
    <w:tmpl w:val="29D2B948"/>
    <w:lvl w:ilvl="0" w:tplc="C0E81940">
      <w:start w:val="3"/>
      <w:numFmt w:val="bullet"/>
      <w:lvlText w:val="-"/>
      <w:lvlJc w:val="left"/>
      <w:pPr>
        <w:ind w:left="720" w:hanging="360"/>
      </w:pPr>
      <w:rPr>
        <w:rFonts w:ascii="TimesNewRomanPSMT" w:eastAsia="Times New Roman" w:hAnsi="TimesNewRomanPSMT" w:cs="TimesNewRoman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136CC1"/>
    <w:multiLevelType w:val="multilevel"/>
    <w:tmpl w:val="CEA64760"/>
    <w:lvl w:ilvl="0">
      <w:start w:val="5"/>
      <w:numFmt w:val="decimal"/>
      <w:lvlText w:val="%1"/>
      <w:lvlJc w:val="left"/>
      <w:pPr>
        <w:ind w:left="360" w:hanging="360"/>
      </w:pPr>
      <w:rPr>
        <w:rFonts w:eastAsiaTheme="minorHAnsi" w:hint="default"/>
      </w:rPr>
    </w:lvl>
    <w:lvl w:ilvl="1">
      <w:start w:val="5"/>
      <w:numFmt w:val="decimal"/>
      <w:lvlText w:val="%1.%2"/>
      <w:lvlJc w:val="left"/>
      <w:pPr>
        <w:ind w:left="1168" w:hanging="360"/>
      </w:pPr>
      <w:rPr>
        <w:rFonts w:eastAsiaTheme="minorHAnsi" w:hint="default"/>
      </w:rPr>
    </w:lvl>
    <w:lvl w:ilvl="2">
      <w:start w:val="1"/>
      <w:numFmt w:val="decimal"/>
      <w:lvlText w:val="%1.%2.%3"/>
      <w:lvlJc w:val="left"/>
      <w:pPr>
        <w:ind w:left="2336" w:hanging="720"/>
      </w:pPr>
      <w:rPr>
        <w:rFonts w:eastAsiaTheme="minorHAnsi" w:hint="default"/>
      </w:rPr>
    </w:lvl>
    <w:lvl w:ilvl="3">
      <w:start w:val="1"/>
      <w:numFmt w:val="decimal"/>
      <w:lvlText w:val="%1.%2.%3.%4"/>
      <w:lvlJc w:val="left"/>
      <w:pPr>
        <w:ind w:left="3144" w:hanging="720"/>
      </w:pPr>
      <w:rPr>
        <w:rFonts w:eastAsiaTheme="minorHAnsi" w:hint="default"/>
      </w:rPr>
    </w:lvl>
    <w:lvl w:ilvl="4">
      <w:start w:val="1"/>
      <w:numFmt w:val="decimal"/>
      <w:lvlText w:val="%1.%2.%3.%4.%5"/>
      <w:lvlJc w:val="left"/>
      <w:pPr>
        <w:ind w:left="4312" w:hanging="1080"/>
      </w:pPr>
      <w:rPr>
        <w:rFonts w:eastAsiaTheme="minorHAnsi" w:hint="default"/>
      </w:rPr>
    </w:lvl>
    <w:lvl w:ilvl="5">
      <w:start w:val="1"/>
      <w:numFmt w:val="decimal"/>
      <w:lvlText w:val="%1.%2.%3.%4.%5.%6"/>
      <w:lvlJc w:val="left"/>
      <w:pPr>
        <w:ind w:left="5120" w:hanging="1080"/>
      </w:pPr>
      <w:rPr>
        <w:rFonts w:eastAsiaTheme="minorHAnsi" w:hint="default"/>
      </w:rPr>
    </w:lvl>
    <w:lvl w:ilvl="6">
      <w:start w:val="1"/>
      <w:numFmt w:val="decimal"/>
      <w:lvlText w:val="%1.%2.%3.%4.%5.%6.%7"/>
      <w:lvlJc w:val="left"/>
      <w:pPr>
        <w:ind w:left="6288" w:hanging="1440"/>
      </w:pPr>
      <w:rPr>
        <w:rFonts w:eastAsiaTheme="minorHAnsi" w:hint="default"/>
      </w:rPr>
    </w:lvl>
    <w:lvl w:ilvl="7">
      <w:start w:val="1"/>
      <w:numFmt w:val="decimal"/>
      <w:lvlText w:val="%1.%2.%3.%4.%5.%6.%7.%8"/>
      <w:lvlJc w:val="left"/>
      <w:pPr>
        <w:ind w:left="7096" w:hanging="1440"/>
      </w:pPr>
      <w:rPr>
        <w:rFonts w:eastAsiaTheme="minorHAnsi" w:hint="default"/>
      </w:rPr>
    </w:lvl>
    <w:lvl w:ilvl="8">
      <w:start w:val="1"/>
      <w:numFmt w:val="decimal"/>
      <w:lvlText w:val="%1.%2.%3.%4.%5.%6.%7.%8.%9"/>
      <w:lvlJc w:val="left"/>
      <w:pPr>
        <w:ind w:left="8264" w:hanging="1800"/>
      </w:pPr>
      <w:rPr>
        <w:rFonts w:eastAsiaTheme="minorHAnsi" w:hint="default"/>
      </w:rPr>
    </w:lvl>
  </w:abstractNum>
  <w:abstractNum w:abstractNumId="4"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5" w15:restartNumberingAfterBreak="0">
    <w:nsid w:val="36FC2383"/>
    <w:multiLevelType w:val="hybridMultilevel"/>
    <w:tmpl w:val="8D5C9E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F170F56"/>
    <w:multiLevelType w:val="multilevel"/>
    <w:tmpl w:val="379A9CD6"/>
    <w:lvl w:ilvl="0">
      <w:start w:val="5"/>
      <w:numFmt w:val="decimal"/>
      <w:lvlText w:val="%1"/>
      <w:lvlJc w:val="left"/>
      <w:pPr>
        <w:ind w:left="360" w:hanging="360"/>
      </w:pPr>
      <w:rPr>
        <w:rFonts w:hint="default"/>
      </w:rPr>
    </w:lvl>
    <w:lvl w:ilvl="1">
      <w:start w:val="4"/>
      <w:numFmt w:val="decimal"/>
      <w:lvlText w:val="%1.%2"/>
      <w:lvlJc w:val="left"/>
      <w:pPr>
        <w:ind w:left="808" w:hanging="36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7"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9"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2446E7"/>
    <w:multiLevelType w:val="hybridMultilevel"/>
    <w:tmpl w:val="501CB60A"/>
    <w:lvl w:ilvl="0" w:tplc="0809000F">
      <w:start w:val="1"/>
      <w:numFmt w:val="decimal"/>
      <w:lvlText w:val="%1."/>
      <w:lvlJc w:val="left"/>
      <w:pPr>
        <w:ind w:left="5180" w:hanging="360"/>
      </w:pPr>
    </w:lvl>
    <w:lvl w:ilvl="1" w:tplc="08090019">
      <w:start w:val="1"/>
      <w:numFmt w:val="lowerLetter"/>
      <w:lvlText w:val="%2."/>
      <w:lvlJc w:val="left"/>
      <w:pPr>
        <w:ind w:left="448" w:hanging="360"/>
      </w:pPr>
    </w:lvl>
    <w:lvl w:ilvl="2" w:tplc="0809001B">
      <w:start w:val="1"/>
      <w:numFmt w:val="lowerRoman"/>
      <w:lvlText w:val="%3."/>
      <w:lvlJc w:val="right"/>
      <w:pPr>
        <w:ind w:left="1168" w:hanging="180"/>
      </w:pPr>
    </w:lvl>
    <w:lvl w:ilvl="3" w:tplc="0809000F">
      <w:start w:val="1"/>
      <w:numFmt w:val="decimal"/>
      <w:lvlText w:val="%4."/>
      <w:lvlJc w:val="left"/>
      <w:pPr>
        <w:ind w:left="1888" w:hanging="360"/>
      </w:pPr>
    </w:lvl>
    <w:lvl w:ilvl="4" w:tplc="08090019">
      <w:start w:val="1"/>
      <w:numFmt w:val="lowerLetter"/>
      <w:lvlText w:val="%5."/>
      <w:lvlJc w:val="left"/>
      <w:pPr>
        <w:ind w:left="2608" w:hanging="360"/>
      </w:pPr>
    </w:lvl>
    <w:lvl w:ilvl="5" w:tplc="0809001B">
      <w:start w:val="1"/>
      <w:numFmt w:val="lowerRoman"/>
      <w:lvlText w:val="%6."/>
      <w:lvlJc w:val="right"/>
      <w:pPr>
        <w:ind w:left="3328" w:hanging="180"/>
      </w:pPr>
    </w:lvl>
    <w:lvl w:ilvl="6" w:tplc="0809000F">
      <w:start w:val="1"/>
      <w:numFmt w:val="decimal"/>
      <w:lvlText w:val="%7."/>
      <w:lvlJc w:val="left"/>
      <w:pPr>
        <w:ind w:left="4048" w:hanging="360"/>
      </w:pPr>
    </w:lvl>
    <w:lvl w:ilvl="7" w:tplc="08090019">
      <w:start w:val="1"/>
      <w:numFmt w:val="lowerLetter"/>
      <w:lvlText w:val="%8."/>
      <w:lvlJc w:val="left"/>
      <w:pPr>
        <w:ind w:left="4768" w:hanging="360"/>
      </w:pPr>
    </w:lvl>
    <w:lvl w:ilvl="8" w:tplc="0809001B">
      <w:start w:val="1"/>
      <w:numFmt w:val="lowerRoman"/>
      <w:lvlText w:val="%9."/>
      <w:lvlJc w:val="right"/>
      <w:pPr>
        <w:ind w:left="5488" w:hanging="180"/>
      </w:pPr>
    </w:lvl>
  </w:abstractNum>
  <w:abstractNum w:abstractNumId="11"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2" w15:restartNumberingAfterBreak="0">
    <w:nsid w:val="63894A27"/>
    <w:multiLevelType w:val="multilevel"/>
    <w:tmpl w:val="E5A2375C"/>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63CF4E81"/>
    <w:multiLevelType w:val="hybridMultilevel"/>
    <w:tmpl w:val="6BD65A4C"/>
    <w:lvl w:ilvl="0" w:tplc="5ADE6AAA">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67B56780"/>
    <w:multiLevelType w:val="multilevel"/>
    <w:tmpl w:val="CEDEB34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9D4316F"/>
    <w:multiLevelType w:val="multilevel"/>
    <w:tmpl w:val="8A4E33F8"/>
    <w:lvl w:ilvl="0">
      <w:start w:val="1"/>
      <w:numFmt w:val="lowerRoman"/>
      <w:lvlText w:val="(%1)"/>
      <w:lvlJc w:val="left"/>
      <w:pPr>
        <w:ind w:left="720" w:hanging="720"/>
      </w:pPr>
      <w:rPr>
        <w:i w:val="0"/>
      </w:r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6"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481538">
    <w:abstractNumId w:val="0"/>
  </w:num>
  <w:num w:numId="2" w16cid:durableId="1482313206">
    <w:abstractNumId w:val="8"/>
  </w:num>
  <w:num w:numId="3" w16cid:durableId="479929535">
    <w:abstractNumId w:val="4"/>
  </w:num>
  <w:num w:numId="4" w16cid:durableId="1568300488">
    <w:abstractNumId w:val="11"/>
  </w:num>
  <w:num w:numId="5" w16cid:durableId="1678731202">
    <w:abstractNumId w:val="16"/>
  </w:num>
  <w:num w:numId="6" w16cid:durableId="958488768">
    <w:abstractNumId w:val="17"/>
  </w:num>
  <w:num w:numId="7" w16cid:durableId="1229807953">
    <w:abstractNumId w:val="9"/>
  </w:num>
  <w:num w:numId="8" w16cid:durableId="1014503908">
    <w:abstractNumId w:val="7"/>
  </w:num>
  <w:num w:numId="9" w16cid:durableId="778335795">
    <w:abstractNumId w:val="13"/>
  </w:num>
  <w:num w:numId="10" w16cid:durableId="1631935795">
    <w:abstractNumId w:val="5"/>
  </w:num>
  <w:num w:numId="11" w16cid:durableId="1633562076">
    <w:abstractNumId w:val="2"/>
  </w:num>
  <w:num w:numId="12" w16cid:durableId="227961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7736244">
    <w:abstractNumId w:val="12"/>
  </w:num>
  <w:num w:numId="14" w16cid:durableId="1013801653">
    <w:abstractNumId w:val="6"/>
  </w:num>
  <w:num w:numId="15" w16cid:durableId="1134713486">
    <w:abstractNumId w:val="14"/>
  </w:num>
  <w:num w:numId="16" w16cid:durableId="508788051">
    <w:abstractNumId w:val="3"/>
  </w:num>
  <w:num w:numId="17" w16cid:durableId="299845942">
    <w:abstractNumId w:val="1"/>
  </w:num>
  <w:num w:numId="18" w16cid:durableId="1855876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27DF"/>
    <w:rsid w:val="00000A0F"/>
    <w:rsid w:val="00003386"/>
    <w:rsid w:val="00004916"/>
    <w:rsid w:val="00005D37"/>
    <w:rsid w:val="000101FF"/>
    <w:rsid w:val="00010A3D"/>
    <w:rsid w:val="00011AA8"/>
    <w:rsid w:val="00015D38"/>
    <w:rsid w:val="000217D6"/>
    <w:rsid w:val="00021FCD"/>
    <w:rsid w:val="000238E4"/>
    <w:rsid w:val="000279EF"/>
    <w:rsid w:val="0004012A"/>
    <w:rsid w:val="00050080"/>
    <w:rsid w:val="00050EE8"/>
    <w:rsid w:val="00056C0F"/>
    <w:rsid w:val="000620AB"/>
    <w:rsid w:val="00066450"/>
    <w:rsid w:val="000744FE"/>
    <w:rsid w:val="00075A84"/>
    <w:rsid w:val="000802FA"/>
    <w:rsid w:val="0008332B"/>
    <w:rsid w:val="000839C3"/>
    <w:rsid w:val="00084434"/>
    <w:rsid w:val="00087245"/>
    <w:rsid w:val="00090FA8"/>
    <w:rsid w:val="00091862"/>
    <w:rsid w:val="000946E2"/>
    <w:rsid w:val="00094E9E"/>
    <w:rsid w:val="000976D0"/>
    <w:rsid w:val="000A2CC5"/>
    <w:rsid w:val="000C04E5"/>
    <w:rsid w:val="000C1D19"/>
    <w:rsid w:val="000C7470"/>
    <w:rsid w:val="000D1E9A"/>
    <w:rsid w:val="000D7D66"/>
    <w:rsid w:val="000E41CE"/>
    <w:rsid w:val="000E586A"/>
    <w:rsid w:val="000F6CD1"/>
    <w:rsid w:val="001000B4"/>
    <w:rsid w:val="00102CFF"/>
    <w:rsid w:val="0010479F"/>
    <w:rsid w:val="0010776A"/>
    <w:rsid w:val="0011435C"/>
    <w:rsid w:val="00117E53"/>
    <w:rsid w:val="00122303"/>
    <w:rsid w:val="001262C7"/>
    <w:rsid w:val="00127B5B"/>
    <w:rsid w:val="001305BB"/>
    <w:rsid w:val="0013413A"/>
    <w:rsid w:val="001363C4"/>
    <w:rsid w:val="001422A4"/>
    <w:rsid w:val="00143F2E"/>
    <w:rsid w:val="001465EC"/>
    <w:rsid w:val="00146779"/>
    <w:rsid w:val="00146CED"/>
    <w:rsid w:val="001556A1"/>
    <w:rsid w:val="001605DF"/>
    <w:rsid w:val="00162CA4"/>
    <w:rsid w:val="00175890"/>
    <w:rsid w:val="001774E0"/>
    <w:rsid w:val="00177B12"/>
    <w:rsid w:val="0018733C"/>
    <w:rsid w:val="00193086"/>
    <w:rsid w:val="00197B49"/>
    <w:rsid w:val="001A01E0"/>
    <w:rsid w:val="001A3232"/>
    <w:rsid w:val="001C1586"/>
    <w:rsid w:val="001C2334"/>
    <w:rsid w:val="001C2A23"/>
    <w:rsid w:val="001C5105"/>
    <w:rsid w:val="001D271A"/>
    <w:rsid w:val="001D73A1"/>
    <w:rsid w:val="001E078B"/>
    <w:rsid w:val="001E39AC"/>
    <w:rsid w:val="001F2C28"/>
    <w:rsid w:val="001F37E5"/>
    <w:rsid w:val="00201126"/>
    <w:rsid w:val="00211570"/>
    <w:rsid w:val="00212A99"/>
    <w:rsid w:val="00216D00"/>
    <w:rsid w:val="0022239F"/>
    <w:rsid w:val="00222B92"/>
    <w:rsid w:val="002307C3"/>
    <w:rsid w:val="00235D99"/>
    <w:rsid w:val="00236B44"/>
    <w:rsid w:val="0024145E"/>
    <w:rsid w:val="00244FE8"/>
    <w:rsid w:val="00251BE5"/>
    <w:rsid w:val="00252FE4"/>
    <w:rsid w:val="002540AB"/>
    <w:rsid w:val="00257173"/>
    <w:rsid w:val="00257A11"/>
    <w:rsid w:val="00261675"/>
    <w:rsid w:val="002636A1"/>
    <w:rsid w:val="0026432B"/>
    <w:rsid w:val="00271B3B"/>
    <w:rsid w:val="00272E33"/>
    <w:rsid w:val="00273454"/>
    <w:rsid w:val="002740D0"/>
    <w:rsid w:val="00274BCB"/>
    <w:rsid w:val="00277637"/>
    <w:rsid w:val="0028201F"/>
    <w:rsid w:val="00282C36"/>
    <w:rsid w:val="002838EF"/>
    <w:rsid w:val="00287EF3"/>
    <w:rsid w:val="0029035B"/>
    <w:rsid w:val="00291809"/>
    <w:rsid w:val="0029281A"/>
    <w:rsid w:val="00293BBF"/>
    <w:rsid w:val="002966F7"/>
    <w:rsid w:val="002A0F51"/>
    <w:rsid w:val="002A2A53"/>
    <w:rsid w:val="002A592D"/>
    <w:rsid w:val="002B67DA"/>
    <w:rsid w:val="002C0FBC"/>
    <w:rsid w:val="002C2548"/>
    <w:rsid w:val="002C383E"/>
    <w:rsid w:val="002D0081"/>
    <w:rsid w:val="002D0928"/>
    <w:rsid w:val="002D3A31"/>
    <w:rsid w:val="002D5887"/>
    <w:rsid w:val="002E0A33"/>
    <w:rsid w:val="002E10C8"/>
    <w:rsid w:val="002E58C9"/>
    <w:rsid w:val="002E6024"/>
    <w:rsid w:val="002E63EE"/>
    <w:rsid w:val="002E79D8"/>
    <w:rsid w:val="002F03BC"/>
    <w:rsid w:val="002F22B4"/>
    <w:rsid w:val="002F6734"/>
    <w:rsid w:val="00302D17"/>
    <w:rsid w:val="003069F8"/>
    <w:rsid w:val="00310775"/>
    <w:rsid w:val="003139EA"/>
    <w:rsid w:val="00314E34"/>
    <w:rsid w:val="00315661"/>
    <w:rsid w:val="00316230"/>
    <w:rsid w:val="003209E2"/>
    <w:rsid w:val="003213AC"/>
    <w:rsid w:val="00323003"/>
    <w:rsid w:val="0032541D"/>
    <w:rsid w:val="003254C7"/>
    <w:rsid w:val="003268C1"/>
    <w:rsid w:val="003279FC"/>
    <w:rsid w:val="00334EBC"/>
    <w:rsid w:val="00335042"/>
    <w:rsid w:val="00336094"/>
    <w:rsid w:val="00336E73"/>
    <w:rsid w:val="00342F3A"/>
    <w:rsid w:val="003441BF"/>
    <w:rsid w:val="00345D89"/>
    <w:rsid w:val="00351B86"/>
    <w:rsid w:val="00355F2D"/>
    <w:rsid w:val="0036246E"/>
    <w:rsid w:val="003729A4"/>
    <w:rsid w:val="003732F6"/>
    <w:rsid w:val="003749E2"/>
    <w:rsid w:val="00380563"/>
    <w:rsid w:val="00393F3A"/>
    <w:rsid w:val="00395DFF"/>
    <w:rsid w:val="00395E0B"/>
    <w:rsid w:val="00395F7B"/>
    <w:rsid w:val="003A3605"/>
    <w:rsid w:val="003A7777"/>
    <w:rsid w:val="003A7B1F"/>
    <w:rsid w:val="003B00D5"/>
    <w:rsid w:val="003B34DC"/>
    <w:rsid w:val="003B574B"/>
    <w:rsid w:val="003C030B"/>
    <w:rsid w:val="003C1B4E"/>
    <w:rsid w:val="003C2589"/>
    <w:rsid w:val="003C37A2"/>
    <w:rsid w:val="003D009B"/>
    <w:rsid w:val="003D114C"/>
    <w:rsid w:val="003D1C7F"/>
    <w:rsid w:val="003E07C4"/>
    <w:rsid w:val="003E23E6"/>
    <w:rsid w:val="003E2838"/>
    <w:rsid w:val="003E61A5"/>
    <w:rsid w:val="003F1881"/>
    <w:rsid w:val="003F214C"/>
    <w:rsid w:val="003F2C53"/>
    <w:rsid w:val="003F3047"/>
    <w:rsid w:val="004014CF"/>
    <w:rsid w:val="00405E99"/>
    <w:rsid w:val="004062C0"/>
    <w:rsid w:val="0040734B"/>
    <w:rsid w:val="0041115F"/>
    <w:rsid w:val="00411D41"/>
    <w:rsid w:val="0041283E"/>
    <w:rsid w:val="00413F16"/>
    <w:rsid w:val="00426D02"/>
    <w:rsid w:val="0043194D"/>
    <w:rsid w:val="0043508E"/>
    <w:rsid w:val="00444C34"/>
    <w:rsid w:val="00444D8B"/>
    <w:rsid w:val="0045229C"/>
    <w:rsid w:val="00453C62"/>
    <w:rsid w:val="0045587E"/>
    <w:rsid w:val="00462935"/>
    <w:rsid w:val="00465B0F"/>
    <w:rsid w:val="00465F3D"/>
    <w:rsid w:val="00467A57"/>
    <w:rsid w:val="00467E7E"/>
    <w:rsid w:val="00474274"/>
    <w:rsid w:val="00483DAE"/>
    <w:rsid w:val="00486C9F"/>
    <w:rsid w:val="00490505"/>
    <w:rsid w:val="00494E89"/>
    <w:rsid w:val="004A18EB"/>
    <w:rsid w:val="004A1C39"/>
    <w:rsid w:val="004A2C16"/>
    <w:rsid w:val="004A4A69"/>
    <w:rsid w:val="004B1C8F"/>
    <w:rsid w:val="004B5128"/>
    <w:rsid w:val="004C3DB7"/>
    <w:rsid w:val="004D358B"/>
    <w:rsid w:val="004E1D1B"/>
    <w:rsid w:val="004E2692"/>
    <w:rsid w:val="004F32F3"/>
    <w:rsid w:val="004F5CEF"/>
    <w:rsid w:val="005009F1"/>
    <w:rsid w:val="00500BE2"/>
    <w:rsid w:val="00505106"/>
    <w:rsid w:val="00506BB5"/>
    <w:rsid w:val="00507AAD"/>
    <w:rsid w:val="00510A36"/>
    <w:rsid w:val="00511094"/>
    <w:rsid w:val="00511952"/>
    <w:rsid w:val="00513471"/>
    <w:rsid w:val="00515317"/>
    <w:rsid w:val="005160FB"/>
    <w:rsid w:val="00524CB9"/>
    <w:rsid w:val="005252A2"/>
    <w:rsid w:val="00527A49"/>
    <w:rsid w:val="00535519"/>
    <w:rsid w:val="00537C7C"/>
    <w:rsid w:val="00541298"/>
    <w:rsid w:val="00543D6A"/>
    <w:rsid w:val="00544D0D"/>
    <w:rsid w:val="00545027"/>
    <w:rsid w:val="0054663A"/>
    <w:rsid w:val="00550435"/>
    <w:rsid w:val="00566C7B"/>
    <w:rsid w:val="00576147"/>
    <w:rsid w:val="00576B45"/>
    <w:rsid w:val="00584F89"/>
    <w:rsid w:val="00586351"/>
    <w:rsid w:val="0059082D"/>
    <w:rsid w:val="00593B86"/>
    <w:rsid w:val="005951A2"/>
    <w:rsid w:val="005A2D39"/>
    <w:rsid w:val="005A4608"/>
    <w:rsid w:val="005A5198"/>
    <w:rsid w:val="005A7B55"/>
    <w:rsid w:val="005B0456"/>
    <w:rsid w:val="005B4235"/>
    <w:rsid w:val="005C03C9"/>
    <w:rsid w:val="005C15A8"/>
    <w:rsid w:val="005C2E77"/>
    <w:rsid w:val="005C4226"/>
    <w:rsid w:val="005C539B"/>
    <w:rsid w:val="005C79BA"/>
    <w:rsid w:val="005D5D7D"/>
    <w:rsid w:val="005D630D"/>
    <w:rsid w:val="005D6884"/>
    <w:rsid w:val="005D7B4D"/>
    <w:rsid w:val="005E4981"/>
    <w:rsid w:val="005F3785"/>
    <w:rsid w:val="005F52EA"/>
    <w:rsid w:val="005F6224"/>
    <w:rsid w:val="005F7AFE"/>
    <w:rsid w:val="00601067"/>
    <w:rsid w:val="00605F7E"/>
    <w:rsid w:val="006119DB"/>
    <w:rsid w:val="00611FC6"/>
    <w:rsid w:val="006133AB"/>
    <w:rsid w:val="0061655F"/>
    <w:rsid w:val="00624A90"/>
    <w:rsid w:val="00625B0E"/>
    <w:rsid w:val="00634073"/>
    <w:rsid w:val="0063798F"/>
    <w:rsid w:val="00643280"/>
    <w:rsid w:val="00645659"/>
    <w:rsid w:val="00650884"/>
    <w:rsid w:val="00653AB7"/>
    <w:rsid w:val="00655A6C"/>
    <w:rsid w:val="0065627D"/>
    <w:rsid w:val="00661C42"/>
    <w:rsid w:val="0066325F"/>
    <w:rsid w:val="006639B5"/>
    <w:rsid w:val="00663F8B"/>
    <w:rsid w:val="00664A1A"/>
    <w:rsid w:val="0066538B"/>
    <w:rsid w:val="00667751"/>
    <w:rsid w:val="00670385"/>
    <w:rsid w:val="006722A5"/>
    <w:rsid w:val="00675EFE"/>
    <w:rsid w:val="006812D9"/>
    <w:rsid w:val="00684C04"/>
    <w:rsid w:val="00685086"/>
    <w:rsid w:val="006854A3"/>
    <w:rsid w:val="00687C1E"/>
    <w:rsid w:val="006926F9"/>
    <w:rsid w:val="0069496A"/>
    <w:rsid w:val="006953CF"/>
    <w:rsid w:val="006A3998"/>
    <w:rsid w:val="006A3BFF"/>
    <w:rsid w:val="006B337C"/>
    <w:rsid w:val="006C4097"/>
    <w:rsid w:val="006C6999"/>
    <w:rsid w:val="006D19B1"/>
    <w:rsid w:val="006D1F41"/>
    <w:rsid w:val="006D51AD"/>
    <w:rsid w:val="006D569A"/>
    <w:rsid w:val="006D5DA3"/>
    <w:rsid w:val="006D6522"/>
    <w:rsid w:val="006E0694"/>
    <w:rsid w:val="006F1521"/>
    <w:rsid w:val="006F2322"/>
    <w:rsid w:val="00703BC7"/>
    <w:rsid w:val="00707D87"/>
    <w:rsid w:val="00712C5D"/>
    <w:rsid w:val="0071684F"/>
    <w:rsid w:val="00721E93"/>
    <w:rsid w:val="007230AC"/>
    <w:rsid w:val="00725680"/>
    <w:rsid w:val="0073708D"/>
    <w:rsid w:val="00741284"/>
    <w:rsid w:val="007421F2"/>
    <w:rsid w:val="00743ACB"/>
    <w:rsid w:val="007467C6"/>
    <w:rsid w:val="00754259"/>
    <w:rsid w:val="007578E5"/>
    <w:rsid w:val="00761ED3"/>
    <w:rsid w:val="0076211F"/>
    <w:rsid w:val="007647A5"/>
    <w:rsid w:val="007716A8"/>
    <w:rsid w:val="00777DCD"/>
    <w:rsid w:val="00791293"/>
    <w:rsid w:val="007920F7"/>
    <w:rsid w:val="0079518A"/>
    <w:rsid w:val="00795D7C"/>
    <w:rsid w:val="0079691F"/>
    <w:rsid w:val="007974A9"/>
    <w:rsid w:val="007A30F9"/>
    <w:rsid w:val="007B21AF"/>
    <w:rsid w:val="007B49B9"/>
    <w:rsid w:val="007B53AF"/>
    <w:rsid w:val="007B5818"/>
    <w:rsid w:val="007B6383"/>
    <w:rsid w:val="007B7308"/>
    <w:rsid w:val="007C2AFC"/>
    <w:rsid w:val="007C4BBA"/>
    <w:rsid w:val="007C540B"/>
    <w:rsid w:val="007C7313"/>
    <w:rsid w:val="007D2262"/>
    <w:rsid w:val="007D354D"/>
    <w:rsid w:val="007D3D16"/>
    <w:rsid w:val="007D6D1B"/>
    <w:rsid w:val="007E126F"/>
    <w:rsid w:val="007E3547"/>
    <w:rsid w:val="007F2AC0"/>
    <w:rsid w:val="007F3B50"/>
    <w:rsid w:val="007F47A4"/>
    <w:rsid w:val="007F486D"/>
    <w:rsid w:val="007F59E6"/>
    <w:rsid w:val="007F647E"/>
    <w:rsid w:val="007F754C"/>
    <w:rsid w:val="00800003"/>
    <w:rsid w:val="00802374"/>
    <w:rsid w:val="008065B2"/>
    <w:rsid w:val="00814B3B"/>
    <w:rsid w:val="008158E5"/>
    <w:rsid w:val="00825D00"/>
    <w:rsid w:val="00832023"/>
    <w:rsid w:val="00832DB4"/>
    <w:rsid w:val="008330E8"/>
    <w:rsid w:val="0083325D"/>
    <w:rsid w:val="00835A40"/>
    <w:rsid w:val="008463D9"/>
    <w:rsid w:val="008511D1"/>
    <w:rsid w:val="00854BCC"/>
    <w:rsid w:val="00873843"/>
    <w:rsid w:val="0087760F"/>
    <w:rsid w:val="00880100"/>
    <w:rsid w:val="00881C73"/>
    <w:rsid w:val="00882059"/>
    <w:rsid w:val="0088307C"/>
    <w:rsid w:val="00883474"/>
    <w:rsid w:val="00884874"/>
    <w:rsid w:val="00891457"/>
    <w:rsid w:val="00893C12"/>
    <w:rsid w:val="008A1D5D"/>
    <w:rsid w:val="008B25CF"/>
    <w:rsid w:val="008B3507"/>
    <w:rsid w:val="008B3F62"/>
    <w:rsid w:val="008B4993"/>
    <w:rsid w:val="008B7D7A"/>
    <w:rsid w:val="008C28C6"/>
    <w:rsid w:val="008C45E4"/>
    <w:rsid w:val="008D6921"/>
    <w:rsid w:val="008E05F4"/>
    <w:rsid w:val="008E0F5A"/>
    <w:rsid w:val="008E10B5"/>
    <w:rsid w:val="008E61CA"/>
    <w:rsid w:val="008F0F7F"/>
    <w:rsid w:val="008F3D51"/>
    <w:rsid w:val="008F593A"/>
    <w:rsid w:val="0090570C"/>
    <w:rsid w:val="00905A58"/>
    <w:rsid w:val="009115D9"/>
    <w:rsid w:val="00915745"/>
    <w:rsid w:val="00917922"/>
    <w:rsid w:val="009200C2"/>
    <w:rsid w:val="009204F2"/>
    <w:rsid w:val="009204F4"/>
    <w:rsid w:val="0092115B"/>
    <w:rsid w:val="0092214B"/>
    <w:rsid w:val="00923066"/>
    <w:rsid w:val="00931E0C"/>
    <w:rsid w:val="00936448"/>
    <w:rsid w:val="00944405"/>
    <w:rsid w:val="00945DCF"/>
    <w:rsid w:val="00950444"/>
    <w:rsid w:val="00956543"/>
    <w:rsid w:val="009605DC"/>
    <w:rsid w:val="00960C27"/>
    <w:rsid w:val="00963DD8"/>
    <w:rsid w:val="00965376"/>
    <w:rsid w:val="00970592"/>
    <w:rsid w:val="009741F6"/>
    <w:rsid w:val="00982437"/>
    <w:rsid w:val="00982BE9"/>
    <w:rsid w:val="0098570D"/>
    <w:rsid w:val="00987DEB"/>
    <w:rsid w:val="00992E06"/>
    <w:rsid w:val="00997DAF"/>
    <w:rsid w:val="009A1027"/>
    <w:rsid w:val="009A4ACB"/>
    <w:rsid w:val="009A5089"/>
    <w:rsid w:val="009C3329"/>
    <w:rsid w:val="009C7F23"/>
    <w:rsid w:val="009D2245"/>
    <w:rsid w:val="009D6D96"/>
    <w:rsid w:val="009D7134"/>
    <w:rsid w:val="009D78EE"/>
    <w:rsid w:val="009E014C"/>
    <w:rsid w:val="009E01B8"/>
    <w:rsid w:val="009F07D2"/>
    <w:rsid w:val="009F4245"/>
    <w:rsid w:val="009F63C5"/>
    <w:rsid w:val="00A00883"/>
    <w:rsid w:val="00A054CE"/>
    <w:rsid w:val="00A13C3F"/>
    <w:rsid w:val="00A13EE9"/>
    <w:rsid w:val="00A14F2C"/>
    <w:rsid w:val="00A33435"/>
    <w:rsid w:val="00A33BF7"/>
    <w:rsid w:val="00A36CE6"/>
    <w:rsid w:val="00A41C78"/>
    <w:rsid w:val="00A50B81"/>
    <w:rsid w:val="00A60AED"/>
    <w:rsid w:val="00A60CCD"/>
    <w:rsid w:val="00A617AB"/>
    <w:rsid w:val="00A6259A"/>
    <w:rsid w:val="00A62B7C"/>
    <w:rsid w:val="00A730EF"/>
    <w:rsid w:val="00A801B1"/>
    <w:rsid w:val="00A81FA7"/>
    <w:rsid w:val="00A823A7"/>
    <w:rsid w:val="00A92945"/>
    <w:rsid w:val="00A92CDE"/>
    <w:rsid w:val="00A96730"/>
    <w:rsid w:val="00A97741"/>
    <w:rsid w:val="00AA082C"/>
    <w:rsid w:val="00AA3C75"/>
    <w:rsid w:val="00AA5300"/>
    <w:rsid w:val="00AA655F"/>
    <w:rsid w:val="00AA672C"/>
    <w:rsid w:val="00AB7C7E"/>
    <w:rsid w:val="00AC247A"/>
    <w:rsid w:val="00AD5F77"/>
    <w:rsid w:val="00AE33C1"/>
    <w:rsid w:val="00AF23CD"/>
    <w:rsid w:val="00B01901"/>
    <w:rsid w:val="00B02E84"/>
    <w:rsid w:val="00B04322"/>
    <w:rsid w:val="00B112E8"/>
    <w:rsid w:val="00B14C62"/>
    <w:rsid w:val="00B16659"/>
    <w:rsid w:val="00B1730D"/>
    <w:rsid w:val="00B178FE"/>
    <w:rsid w:val="00B2084C"/>
    <w:rsid w:val="00B219EE"/>
    <w:rsid w:val="00B23938"/>
    <w:rsid w:val="00B32B91"/>
    <w:rsid w:val="00B37F3D"/>
    <w:rsid w:val="00B42993"/>
    <w:rsid w:val="00B46F4F"/>
    <w:rsid w:val="00B47137"/>
    <w:rsid w:val="00B5126B"/>
    <w:rsid w:val="00B5188F"/>
    <w:rsid w:val="00B527DF"/>
    <w:rsid w:val="00B55087"/>
    <w:rsid w:val="00B62A14"/>
    <w:rsid w:val="00B6420A"/>
    <w:rsid w:val="00B740A0"/>
    <w:rsid w:val="00B75600"/>
    <w:rsid w:val="00B75954"/>
    <w:rsid w:val="00B8038B"/>
    <w:rsid w:val="00B8388F"/>
    <w:rsid w:val="00B8649A"/>
    <w:rsid w:val="00B87440"/>
    <w:rsid w:val="00B94230"/>
    <w:rsid w:val="00B9711C"/>
    <w:rsid w:val="00B973A4"/>
    <w:rsid w:val="00B977D4"/>
    <w:rsid w:val="00BA56C1"/>
    <w:rsid w:val="00BA588E"/>
    <w:rsid w:val="00BB569C"/>
    <w:rsid w:val="00BB712E"/>
    <w:rsid w:val="00BC245E"/>
    <w:rsid w:val="00BC297A"/>
    <w:rsid w:val="00BC2FCF"/>
    <w:rsid w:val="00BC450B"/>
    <w:rsid w:val="00BC46AA"/>
    <w:rsid w:val="00BD0528"/>
    <w:rsid w:val="00BD084E"/>
    <w:rsid w:val="00BD368D"/>
    <w:rsid w:val="00BD4ADA"/>
    <w:rsid w:val="00BD63E9"/>
    <w:rsid w:val="00BE49E8"/>
    <w:rsid w:val="00BE586E"/>
    <w:rsid w:val="00BE6209"/>
    <w:rsid w:val="00BF1DBE"/>
    <w:rsid w:val="00BF37E2"/>
    <w:rsid w:val="00C00B1E"/>
    <w:rsid w:val="00C017EB"/>
    <w:rsid w:val="00C03872"/>
    <w:rsid w:val="00C051C5"/>
    <w:rsid w:val="00C061EE"/>
    <w:rsid w:val="00C16C63"/>
    <w:rsid w:val="00C179D5"/>
    <w:rsid w:val="00C2103E"/>
    <w:rsid w:val="00C24512"/>
    <w:rsid w:val="00C246AC"/>
    <w:rsid w:val="00C31926"/>
    <w:rsid w:val="00C31C7B"/>
    <w:rsid w:val="00C32F23"/>
    <w:rsid w:val="00C34E5B"/>
    <w:rsid w:val="00C41D72"/>
    <w:rsid w:val="00C50D25"/>
    <w:rsid w:val="00C54B8B"/>
    <w:rsid w:val="00C56CDC"/>
    <w:rsid w:val="00C64EE4"/>
    <w:rsid w:val="00C6581F"/>
    <w:rsid w:val="00C71247"/>
    <w:rsid w:val="00C7412D"/>
    <w:rsid w:val="00C8149F"/>
    <w:rsid w:val="00C81836"/>
    <w:rsid w:val="00C85D9E"/>
    <w:rsid w:val="00C87ABE"/>
    <w:rsid w:val="00C90FC7"/>
    <w:rsid w:val="00C96173"/>
    <w:rsid w:val="00C96552"/>
    <w:rsid w:val="00CA1765"/>
    <w:rsid w:val="00CA26F3"/>
    <w:rsid w:val="00CA3B3F"/>
    <w:rsid w:val="00CA5A6D"/>
    <w:rsid w:val="00CB0AA1"/>
    <w:rsid w:val="00CC4157"/>
    <w:rsid w:val="00CD06B8"/>
    <w:rsid w:val="00CD0F7A"/>
    <w:rsid w:val="00CD2AD8"/>
    <w:rsid w:val="00D00D91"/>
    <w:rsid w:val="00D034FA"/>
    <w:rsid w:val="00D07FB9"/>
    <w:rsid w:val="00D11EE3"/>
    <w:rsid w:val="00D129C0"/>
    <w:rsid w:val="00D16BEE"/>
    <w:rsid w:val="00D32508"/>
    <w:rsid w:val="00D34176"/>
    <w:rsid w:val="00D35739"/>
    <w:rsid w:val="00D37708"/>
    <w:rsid w:val="00D468F8"/>
    <w:rsid w:val="00D50CEA"/>
    <w:rsid w:val="00D611BE"/>
    <w:rsid w:val="00D63E9B"/>
    <w:rsid w:val="00D649AF"/>
    <w:rsid w:val="00D702D4"/>
    <w:rsid w:val="00D7477E"/>
    <w:rsid w:val="00D8603E"/>
    <w:rsid w:val="00D864E2"/>
    <w:rsid w:val="00D907E8"/>
    <w:rsid w:val="00D91A2E"/>
    <w:rsid w:val="00D974DF"/>
    <w:rsid w:val="00D97720"/>
    <w:rsid w:val="00DA2115"/>
    <w:rsid w:val="00DA5A68"/>
    <w:rsid w:val="00DA6472"/>
    <w:rsid w:val="00DB0457"/>
    <w:rsid w:val="00DB09C5"/>
    <w:rsid w:val="00DB6BDD"/>
    <w:rsid w:val="00DB7847"/>
    <w:rsid w:val="00DC1FA0"/>
    <w:rsid w:val="00DC4285"/>
    <w:rsid w:val="00DC76BB"/>
    <w:rsid w:val="00DD01C1"/>
    <w:rsid w:val="00DD17A3"/>
    <w:rsid w:val="00DD3264"/>
    <w:rsid w:val="00DD47CA"/>
    <w:rsid w:val="00DE5289"/>
    <w:rsid w:val="00DE5EA6"/>
    <w:rsid w:val="00DE6AB0"/>
    <w:rsid w:val="00DF2703"/>
    <w:rsid w:val="00DF4974"/>
    <w:rsid w:val="00E004E1"/>
    <w:rsid w:val="00E02607"/>
    <w:rsid w:val="00E02FDE"/>
    <w:rsid w:val="00E0511A"/>
    <w:rsid w:val="00E10668"/>
    <w:rsid w:val="00E27F52"/>
    <w:rsid w:val="00E36970"/>
    <w:rsid w:val="00E432A9"/>
    <w:rsid w:val="00E4337D"/>
    <w:rsid w:val="00E4556E"/>
    <w:rsid w:val="00E45E4D"/>
    <w:rsid w:val="00E472DA"/>
    <w:rsid w:val="00E5254C"/>
    <w:rsid w:val="00E5400F"/>
    <w:rsid w:val="00E62203"/>
    <w:rsid w:val="00E63B67"/>
    <w:rsid w:val="00E828F5"/>
    <w:rsid w:val="00E82E69"/>
    <w:rsid w:val="00E91197"/>
    <w:rsid w:val="00E94201"/>
    <w:rsid w:val="00E95F62"/>
    <w:rsid w:val="00EA2454"/>
    <w:rsid w:val="00EA24E2"/>
    <w:rsid w:val="00EB021D"/>
    <w:rsid w:val="00EB14C3"/>
    <w:rsid w:val="00EB7966"/>
    <w:rsid w:val="00EC2C1D"/>
    <w:rsid w:val="00EC33E6"/>
    <w:rsid w:val="00EC4FA2"/>
    <w:rsid w:val="00EC53C5"/>
    <w:rsid w:val="00EC5D00"/>
    <w:rsid w:val="00ED050B"/>
    <w:rsid w:val="00ED1D8B"/>
    <w:rsid w:val="00ED200A"/>
    <w:rsid w:val="00ED5C1F"/>
    <w:rsid w:val="00EE1723"/>
    <w:rsid w:val="00EE430E"/>
    <w:rsid w:val="00EE574B"/>
    <w:rsid w:val="00EE73F0"/>
    <w:rsid w:val="00EE7763"/>
    <w:rsid w:val="00EF1CA1"/>
    <w:rsid w:val="00EF5ED1"/>
    <w:rsid w:val="00F00D0B"/>
    <w:rsid w:val="00F016F7"/>
    <w:rsid w:val="00F02D38"/>
    <w:rsid w:val="00F03F68"/>
    <w:rsid w:val="00F06F4B"/>
    <w:rsid w:val="00F13907"/>
    <w:rsid w:val="00F220D7"/>
    <w:rsid w:val="00F22306"/>
    <w:rsid w:val="00F24F7A"/>
    <w:rsid w:val="00F34231"/>
    <w:rsid w:val="00F41BB4"/>
    <w:rsid w:val="00F4232F"/>
    <w:rsid w:val="00F4268B"/>
    <w:rsid w:val="00F45215"/>
    <w:rsid w:val="00F51B9B"/>
    <w:rsid w:val="00F56F16"/>
    <w:rsid w:val="00F57C15"/>
    <w:rsid w:val="00F64814"/>
    <w:rsid w:val="00F71D95"/>
    <w:rsid w:val="00F77823"/>
    <w:rsid w:val="00F80FD4"/>
    <w:rsid w:val="00F833DB"/>
    <w:rsid w:val="00F8442D"/>
    <w:rsid w:val="00F87490"/>
    <w:rsid w:val="00F93087"/>
    <w:rsid w:val="00F939F5"/>
    <w:rsid w:val="00FA2774"/>
    <w:rsid w:val="00FA3E00"/>
    <w:rsid w:val="00FA678E"/>
    <w:rsid w:val="00FB0F3F"/>
    <w:rsid w:val="00FB195C"/>
    <w:rsid w:val="00FC1830"/>
    <w:rsid w:val="00FC682D"/>
    <w:rsid w:val="00FD0A2F"/>
    <w:rsid w:val="00FD38DA"/>
    <w:rsid w:val="00FD45BA"/>
    <w:rsid w:val="00FE27BB"/>
    <w:rsid w:val="00FE41FF"/>
    <w:rsid w:val="00FE4982"/>
    <w:rsid w:val="00FE55BA"/>
    <w:rsid w:val="00FF3F57"/>
    <w:rsid w:val="00FF714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43050"/>
  <w15:docId w15:val="{1CA177BB-A016-436E-AE66-48A227EF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7F3D"/>
    <w:pPr>
      <w:jc w:val="center"/>
    </w:pPr>
    <w:rPr>
      <w:b/>
      <w:bCs/>
      <w:lang w:eastAsia="es-ES"/>
    </w:rPr>
  </w:style>
  <w:style w:type="paragraph" w:styleId="Header">
    <w:name w:val="header"/>
    <w:basedOn w:val="Normal"/>
    <w:link w:val="HeaderChar"/>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fr-FR" w:eastAsia="ja-JP"/>
    </w:rPr>
  </w:style>
  <w:style w:type="paragraph" w:styleId="ListParagraph">
    <w:name w:val="List Paragraph"/>
    <w:basedOn w:val="Normal"/>
    <w:uiPriority w:val="34"/>
    <w:qFormat/>
    <w:rsid w:val="00B977D4"/>
    <w:pPr>
      <w:ind w:left="720"/>
    </w:pPr>
    <w:rPr>
      <w:rFonts w:ascii="Calibri" w:eastAsiaTheme="minorHAnsi" w:hAnsi="Calibri" w:cs="Calibri"/>
      <w:sz w:val="22"/>
      <w:szCs w:val="22"/>
      <w:lang w:eastAsia="es-ES"/>
    </w:rPr>
  </w:style>
  <w:style w:type="character" w:customStyle="1" w:styleId="hps">
    <w:name w:val="hps"/>
    <w:basedOn w:val="DefaultParagraphFont"/>
    <w:rsid w:val="00634073"/>
  </w:style>
  <w:style w:type="character" w:styleId="Emphasis">
    <w:name w:val="Emphasis"/>
    <w:basedOn w:val="DefaultParagraphFont"/>
    <w:uiPriority w:val="20"/>
    <w:qFormat/>
    <w:rsid w:val="00634073"/>
    <w:rPr>
      <w:i/>
      <w:iCs/>
    </w:rPr>
  </w:style>
  <w:style w:type="paragraph" w:styleId="NoSpacing">
    <w:name w:val="No Spacing"/>
    <w:uiPriority w:val="1"/>
    <w:qFormat/>
    <w:rsid w:val="000D1E9A"/>
    <w:rPr>
      <w:szCs w:val="24"/>
      <w:lang w:eastAsia="en-US"/>
    </w:rPr>
  </w:style>
  <w:style w:type="character" w:styleId="CommentReference">
    <w:name w:val="annotation reference"/>
    <w:basedOn w:val="DefaultParagraphFont"/>
    <w:uiPriority w:val="99"/>
    <w:rsid w:val="0092214B"/>
    <w:rPr>
      <w:sz w:val="16"/>
      <w:szCs w:val="16"/>
    </w:rPr>
  </w:style>
  <w:style w:type="paragraph" w:styleId="CommentText">
    <w:name w:val="annotation text"/>
    <w:basedOn w:val="Normal"/>
    <w:link w:val="CommentTextChar"/>
    <w:uiPriority w:val="99"/>
    <w:rsid w:val="0092214B"/>
    <w:rPr>
      <w:sz w:val="20"/>
      <w:szCs w:val="20"/>
    </w:rPr>
  </w:style>
  <w:style w:type="character" w:customStyle="1" w:styleId="CommentTextChar">
    <w:name w:val="Comment Text Char"/>
    <w:basedOn w:val="DefaultParagraphFont"/>
    <w:link w:val="CommentText"/>
    <w:uiPriority w:val="99"/>
    <w:rsid w:val="0092214B"/>
    <w:rPr>
      <w:lang w:val="fr-FR" w:eastAsia="en-US"/>
    </w:rPr>
  </w:style>
  <w:style w:type="paragraph" w:styleId="CommentSubject">
    <w:name w:val="annotation subject"/>
    <w:basedOn w:val="CommentText"/>
    <w:next w:val="CommentText"/>
    <w:link w:val="CommentSubjectChar"/>
    <w:rsid w:val="0092214B"/>
    <w:rPr>
      <w:b/>
      <w:bCs/>
    </w:rPr>
  </w:style>
  <w:style w:type="character" w:customStyle="1" w:styleId="CommentSubjectChar">
    <w:name w:val="Comment Subject Char"/>
    <w:basedOn w:val="CommentTextChar"/>
    <w:link w:val="CommentSubject"/>
    <w:rsid w:val="0092214B"/>
    <w:rPr>
      <w:b/>
      <w:bCs/>
      <w:lang w:val="fr-FR" w:eastAsia="en-US"/>
    </w:rPr>
  </w:style>
  <w:style w:type="character" w:customStyle="1" w:styleId="FooterChar">
    <w:name w:val="Footer Char"/>
    <w:basedOn w:val="DefaultParagraphFont"/>
    <w:link w:val="Footer"/>
    <w:uiPriority w:val="99"/>
    <w:rsid w:val="001605DF"/>
    <w:rPr>
      <w:szCs w:val="24"/>
      <w:lang w:val="fr-FR" w:eastAsia="en-US"/>
    </w:rPr>
  </w:style>
  <w:style w:type="paragraph" w:customStyle="1" w:styleId="Normal1">
    <w:name w:val="Normal1"/>
    <w:link w:val="normalChar"/>
    <w:qFormat/>
    <w:rsid w:val="00D649AF"/>
    <w:pPr>
      <w:widowControl w:val="0"/>
      <w:suppressAutoHyphens/>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649AF"/>
    <w:rPr>
      <w:rFonts w:ascii="Courier" w:eastAsia="SimSun" w:hAnsi="Courier" w:cs="Courier"/>
      <w:sz w:val="24"/>
      <w:szCs w:val="24"/>
      <w:lang w:eastAsia="zh-CN"/>
    </w:rPr>
  </w:style>
  <w:style w:type="character" w:customStyle="1" w:styleId="HeaderChar">
    <w:name w:val="Header Char"/>
    <w:basedOn w:val="DefaultParagraphFont"/>
    <w:link w:val="Header"/>
    <w:rsid w:val="00905A58"/>
    <w:rPr>
      <w:sz w:val="24"/>
      <w:szCs w:val="24"/>
      <w:lang w:val="fr-FR" w:eastAsia="es-ES"/>
    </w:rPr>
  </w:style>
  <w:style w:type="table" w:customStyle="1" w:styleId="TableauNorm1">
    <w:name w:val="Tableau Norm1"/>
    <w:uiPriority w:val="99"/>
    <w:semiHidden/>
    <w:rsid w:val="00511094"/>
    <w:rPr>
      <w:rFonts w:ascii="Calibri" w:eastAsia="Calibri" w:hAnsi="Calibri"/>
      <w:lang w:eastAsia="fr-FR" w:bidi="fr-FR"/>
    </w:rPr>
    <w:tblPr>
      <w:tblInd w:w="0" w:type="dxa"/>
      <w:tblCellMar>
        <w:top w:w="0" w:type="dxa"/>
        <w:left w:w="108" w:type="dxa"/>
        <w:bottom w:w="0" w:type="dxa"/>
        <w:right w:w="108" w:type="dxa"/>
      </w:tblCellMar>
    </w:tblPr>
  </w:style>
  <w:style w:type="paragraph" w:styleId="FootnoteText">
    <w:name w:val="footnote text"/>
    <w:aliases w:val="ft"/>
    <w:basedOn w:val="Normal"/>
    <w:link w:val="FootnoteTextChar"/>
    <w:uiPriority w:val="99"/>
    <w:qFormat/>
    <w:rsid w:val="00511094"/>
    <w:rPr>
      <w:sz w:val="20"/>
      <w:szCs w:val="20"/>
    </w:rPr>
  </w:style>
  <w:style w:type="character" w:customStyle="1" w:styleId="FootnoteTextChar">
    <w:name w:val="Footnote Text Char"/>
    <w:aliases w:val="ft Char"/>
    <w:basedOn w:val="DefaultParagraphFont"/>
    <w:link w:val="FootnoteText"/>
    <w:uiPriority w:val="99"/>
    <w:rsid w:val="00511094"/>
    <w:rPr>
      <w:lang w:eastAsia="en-US"/>
    </w:rPr>
  </w:style>
  <w:style w:type="character" w:styleId="FootnoteReference">
    <w:name w:val="footnote reference"/>
    <w:aliases w:val="Footnote Text Char1,fr,ft Char1"/>
    <w:uiPriority w:val="99"/>
    <w:rsid w:val="005110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47634">
      <w:bodyDiv w:val="1"/>
      <w:marLeft w:val="0"/>
      <w:marRight w:val="0"/>
      <w:marTop w:val="0"/>
      <w:marBottom w:val="0"/>
      <w:divBdr>
        <w:top w:val="none" w:sz="0" w:space="0" w:color="auto"/>
        <w:left w:val="none" w:sz="0" w:space="0" w:color="auto"/>
        <w:bottom w:val="none" w:sz="0" w:space="0" w:color="auto"/>
        <w:right w:val="none" w:sz="0" w:space="0" w:color="auto"/>
      </w:divBdr>
    </w:div>
    <w:div w:id="851257381">
      <w:bodyDiv w:val="1"/>
      <w:marLeft w:val="0"/>
      <w:marRight w:val="0"/>
      <w:marTop w:val="0"/>
      <w:marBottom w:val="0"/>
      <w:divBdr>
        <w:top w:val="none" w:sz="0" w:space="0" w:color="auto"/>
        <w:left w:val="none" w:sz="0" w:space="0" w:color="auto"/>
        <w:bottom w:val="none" w:sz="0" w:space="0" w:color="auto"/>
        <w:right w:val="none" w:sz="0" w:space="0" w:color="auto"/>
      </w:divBdr>
    </w:div>
    <w:div w:id="876937846">
      <w:bodyDiv w:val="1"/>
      <w:marLeft w:val="0"/>
      <w:marRight w:val="0"/>
      <w:marTop w:val="0"/>
      <w:marBottom w:val="0"/>
      <w:divBdr>
        <w:top w:val="none" w:sz="0" w:space="0" w:color="auto"/>
        <w:left w:val="none" w:sz="0" w:space="0" w:color="auto"/>
        <w:bottom w:val="none" w:sz="0" w:space="0" w:color="auto"/>
        <w:right w:val="none" w:sz="0" w:space="0" w:color="auto"/>
      </w:divBdr>
    </w:div>
    <w:div w:id="1532038583">
      <w:bodyDiv w:val="1"/>
      <w:marLeft w:val="0"/>
      <w:marRight w:val="0"/>
      <w:marTop w:val="0"/>
      <w:marBottom w:val="0"/>
      <w:divBdr>
        <w:top w:val="none" w:sz="0" w:space="0" w:color="auto"/>
        <w:left w:val="none" w:sz="0" w:space="0" w:color="auto"/>
        <w:bottom w:val="none" w:sz="0" w:space="0" w:color="auto"/>
        <w:right w:val="none" w:sz="0" w:space="0" w:color="auto"/>
      </w:divBdr>
    </w:div>
    <w:div w:id="166731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20CBF-8FEF-409B-A15D-A820AA09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869</Words>
  <Characters>4392</Characters>
  <Application>Microsoft Office Word</Application>
  <DocSecurity>0</DocSecurity>
  <Lines>146</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19th Regular Meeting</vt:lpstr>
      <vt:lpstr>19th Regular Meeting</vt:lpstr>
    </vt:vector>
  </TitlesOfParts>
  <Company>ICCAT</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19th Regular Meeting</dc:title>
  <dc:creator>vrestrepo</dc:creator>
  <cp:lastModifiedBy>Dorothee Pinet</cp:lastModifiedBy>
  <cp:revision>76</cp:revision>
  <cp:lastPrinted>2020-12-16T09:41:00Z</cp:lastPrinted>
  <dcterms:created xsi:type="dcterms:W3CDTF">2021-04-22T08:14:00Z</dcterms:created>
  <dcterms:modified xsi:type="dcterms:W3CDTF">2025-06-18T08:57:00Z</dcterms:modified>
</cp:coreProperties>
</file>