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2B71" w14:textId="55283648" w:rsidR="002E4FB5" w:rsidRPr="00B608F5" w:rsidRDefault="002E4FB5" w:rsidP="002E4FB5">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cs="Times New Roman"/>
          <w:bCs/>
          <w:sz w:val="20"/>
          <w:szCs w:val="20"/>
        </w:rPr>
      </w:pPr>
      <w:r w:rsidRPr="00B608F5">
        <w:rPr>
          <w:rFonts w:ascii="Cambria" w:eastAsia="Times New Roman" w:hAnsi="Cambria" w:cs="Times New Roman"/>
          <w:bCs/>
          <w:sz w:val="20"/>
          <w:szCs w:val="20"/>
        </w:rPr>
        <w:t>22-</w:t>
      </w:r>
      <w:r w:rsidR="00FA7565" w:rsidRPr="00B608F5">
        <w:rPr>
          <w:rFonts w:ascii="Cambria" w:eastAsia="Times New Roman" w:hAnsi="Cambria" w:cs="Times New Roman"/>
          <w:bCs/>
          <w:sz w:val="20"/>
          <w:szCs w:val="20"/>
        </w:rPr>
        <w:t>10</w:t>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r>
      <w:r w:rsidRPr="00B608F5">
        <w:rPr>
          <w:rFonts w:ascii="Cambria" w:eastAsia="Times New Roman" w:hAnsi="Cambria" w:cs="Times New Roman"/>
          <w:bCs/>
          <w:sz w:val="20"/>
          <w:szCs w:val="20"/>
        </w:rPr>
        <w:tab/>
        <w:t xml:space="preserve"> </w:t>
      </w:r>
      <w:r w:rsidR="00FA7565" w:rsidRPr="00B608F5">
        <w:rPr>
          <w:rFonts w:ascii="Cambria" w:eastAsia="Times New Roman" w:hAnsi="Cambria" w:cs="Times New Roman"/>
          <w:bCs/>
          <w:sz w:val="20"/>
          <w:szCs w:val="20"/>
        </w:rPr>
        <w:t>BFT</w:t>
      </w:r>
    </w:p>
    <w:p w14:paraId="6E55593C" w14:textId="5B4D35A0" w:rsidR="002E4FB5" w:rsidRPr="00B608F5" w:rsidRDefault="00416E35" w:rsidP="002E4FB5">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cs="Times New Roman"/>
          <w:bCs/>
          <w:sz w:val="20"/>
          <w:szCs w:val="20"/>
        </w:rPr>
      </w:pPr>
      <w:r w:rsidRPr="00B608F5">
        <w:rPr>
          <w:rFonts w:ascii="Cambria" w:eastAsia="Times New Roman" w:hAnsi="Cambria" w:cs="Times New Roman"/>
          <w:bCs/>
          <w:sz w:val="20"/>
          <w:szCs w:val="20"/>
        </w:rPr>
        <w:t xml:space="preserve">RECOMENDACIÓN DE ICCAT PARA UN PLAN DE CONSERVACIÓN </w:t>
      </w:r>
    </w:p>
    <w:p w14:paraId="72FD4986" w14:textId="3A42347C" w:rsidR="00F51AFC" w:rsidRPr="0094279B" w:rsidRDefault="00416E35" w:rsidP="002E4FB5">
      <w:pPr>
        <w:pStyle w:val="Heading5"/>
        <w:keepLines w:val="0"/>
        <w:widowControl/>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cs="Times New Roman"/>
          <w:bCs/>
          <w:sz w:val="6"/>
          <w:szCs w:val="6"/>
        </w:rPr>
      </w:pPr>
      <w:r w:rsidRPr="00B608F5">
        <w:rPr>
          <w:rFonts w:ascii="Cambria" w:eastAsia="Times New Roman" w:hAnsi="Cambria" w:cs="Times New Roman"/>
          <w:bCs/>
          <w:sz w:val="20"/>
          <w:szCs w:val="20"/>
        </w:rPr>
        <w:t>Y</w:t>
      </w:r>
      <w:r w:rsidR="002E4FB5" w:rsidRPr="00B608F5">
        <w:rPr>
          <w:rFonts w:ascii="Cambria" w:eastAsia="Times New Roman" w:hAnsi="Cambria" w:cs="Times New Roman"/>
          <w:bCs/>
          <w:sz w:val="20"/>
          <w:szCs w:val="20"/>
        </w:rPr>
        <w:t xml:space="preserve"> </w:t>
      </w:r>
      <w:r w:rsidRPr="00B608F5">
        <w:rPr>
          <w:rFonts w:ascii="Cambria" w:eastAsia="Times New Roman" w:hAnsi="Cambria" w:cs="Times New Roman"/>
          <w:bCs/>
          <w:sz w:val="20"/>
          <w:szCs w:val="20"/>
        </w:rPr>
        <w:t>ORDENACIÓN PARA EL ATÚN ROJO DEL ATLÁNTICO OESTE</w:t>
      </w:r>
      <w:r w:rsidR="0094279B">
        <w:rPr>
          <w:rFonts w:ascii="Cambria" w:eastAsia="Times New Roman" w:hAnsi="Cambria" w:cs="Times New Roman"/>
          <w:bCs/>
          <w:sz w:val="20"/>
          <w:szCs w:val="20"/>
        </w:rPr>
        <w:br/>
      </w:r>
    </w:p>
    <w:p w14:paraId="7250A1F8" w14:textId="77777777" w:rsidR="005D5654" w:rsidRPr="005D5654" w:rsidRDefault="005D5654" w:rsidP="005D5654">
      <w:pPr>
        <w:tabs>
          <w:tab w:val="left" w:pos="426"/>
          <w:tab w:val="center" w:pos="4680"/>
          <w:tab w:val="left" w:pos="6430"/>
        </w:tabs>
        <w:jc w:val="both"/>
        <w:rPr>
          <w:rFonts w:ascii="Cambria" w:hAnsi="Cambria"/>
          <w:i/>
          <w:color w:val="231F20"/>
          <w:sz w:val="20"/>
          <w:szCs w:val="20"/>
        </w:rPr>
      </w:pPr>
    </w:p>
    <w:p w14:paraId="1A62AA98"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r w:rsidRPr="005D5654">
        <w:rPr>
          <w:rFonts w:ascii="Cambria" w:hAnsi="Cambria"/>
          <w:i/>
          <w:color w:val="231F20"/>
          <w:sz w:val="20"/>
          <w:szCs w:val="20"/>
        </w:rPr>
        <w:tab/>
      </w:r>
      <w:r w:rsidRPr="005D5654">
        <w:rPr>
          <w:rFonts w:ascii="Cambria" w:hAnsi="Cambria"/>
          <w:i/>
          <w:iCs/>
          <w:sz w:val="20"/>
          <w:szCs w:val="20"/>
        </w:rPr>
        <w:t>CONSTATANDO</w:t>
      </w:r>
      <w:r w:rsidRPr="005D5654">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5D5654" w:rsidRDefault="005D5654" w:rsidP="005D5654">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TENIENDO EN CUENTA</w:t>
      </w:r>
      <w:r w:rsidRPr="005D5654">
        <w:rPr>
          <w:rFonts w:ascii="Cambria" w:hAnsi="Cambria"/>
          <w:sz w:val="20"/>
          <w:szCs w:val="20"/>
        </w:rPr>
        <w:t xml:space="preserve"> que, en previsión de la finalización de un programa de recuperación de 20 años en 2018, la Comisión adoptó la </w:t>
      </w:r>
      <w:r w:rsidRPr="005D5654">
        <w:rPr>
          <w:rFonts w:ascii="Cambria" w:hAnsi="Cambria"/>
          <w:i/>
          <w:iCs/>
          <w:sz w:val="20"/>
          <w:szCs w:val="20"/>
        </w:rPr>
        <w:t xml:space="preserve">Recomendación de ICCAT para un plan provisional de conservación y ordenación para el atún rojo del Atlántico oeste </w:t>
      </w:r>
      <w:r w:rsidRPr="005D5654">
        <w:rPr>
          <w:rFonts w:ascii="Cambria" w:hAnsi="Cambria"/>
          <w:sz w:val="20"/>
          <w:szCs w:val="20"/>
        </w:rPr>
        <w:t>(Rec.</w:t>
      </w:r>
      <w:r w:rsidRPr="005D5654">
        <w:rPr>
          <w:rFonts w:ascii="Cambria" w:hAnsi="Cambria"/>
          <w:i/>
          <w:iCs/>
          <w:sz w:val="20"/>
          <w:szCs w:val="20"/>
        </w:rPr>
        <w:t xml:space="preserve"> </w:t>
      </w:r>
      <w:r w:rsidRPr="005D5654">
        <w:rPr>
          <w:rFonts w:ascii="Cambria" w:hAnsi="Cambria"/>
          <w:sz w:val="20"/>
          <w:szCs w:val="20"/>
        </w:rPr>
        <w:t>17-06);</w:t>
      </w:r>
    </w:p>
    <w:p w14:paraId="5FD612E5"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p>
    <w:p w14:paraId="329FCC2F" w14:textId="77777777" w:rsidR="005D5654" w:rsidRPr="005D5654" w:rsidRDefault="005D5654" w:rsidP="005D5654">
      <w:pPr>
        <w:tabs>
          <w:tab w:val="left" w:pos="426"/>
          <w:tab w:val="center" w:pos="4680"/>
          <w:tab w:val="left" w:pos="6430"/>
        </w:tabs>
        <w:jc w:val="both"/>
        <w:rPr>
          <w:rFonts w:ascii="Cambria" w:hAnsi="Cambria"/>
          <w:sz w:val="20"/>
          <w:szCs w:val="20"/>
        </w:rPr>
      </w:pPr>
      <w:r w:rsidRPr="005D5654">
        <w:rPr>
          <w:rFonts w:ascii="Cambria" w:hAnsi="Cambria"/>
          <w:i/>
          <w:sz w:val="20"/>
          <w:szCs w:val="20"/>
        </w:rPr>
        <w:t xml:space="preserve"> </w:t>
      </w:r>
      <w:r w:rsidRPr="005D5654">
        <w:rPr>
          <w:rFonts w:ascii="Cambria" w:hAnsi="Cambria"/>
          <w:i/>
          <w:sz w:val="20"/>
          <w:szCs w:val="20"/>
        </w:rPr>
        <w:tab/>
      </w:r>
      <w:r w:rsidRPr="005D5654">
        <w:rPr>
          <w:rFonts w:ascii="Cambria" w:hAnsi="Cambria"/>
          <w:i/>
          <w:iCs/>
          <w:sz w:val="20"/>
          <w:szCs w:val="20"/>
        </w:rPr>
        <w:t>RECORDANDO</w:t>
      </w:r>
      <w:r w:rsidRPr="005D5654">
        <w:rPr>
          <w:rFonts w:ascii="Cambria" w:hAnsi="Cambria"/>
          <w:sz w:val="20"/>
          <w:szCs w:val="20"/>
        </w:rPr>
        <w:t xml:space="preserve"> que el SCRS, al no poder resolver la incertidumbre sobre el reclutamiento, proporcionó en 2017 un asesoramiento de ordenación a corto plazo basado en una tasa de mortalidad por pesca (F</w:t>
      </w:r>
      <w:r w:rsidRPr="005D5654">
        <w:rPr>
          <w:rFonts w:ascii="Cambria" w:hAnsi="Cambria"/>
          <w:sz w:val="20"/>
          <w:szCs w:val="20"/>
          <w:vertAlign w:val="subscript"/>
        </w:rPr>
        <w:t>0,1</w:t>
      </w:r>
      <w:r w:rsidRPr="005D5654">
        <w:rPr>
          <w:rFonts w:ascii="Cambria" w:hAnsi="Cambria"/>
          <w:sz w:val="20"/>
          <w:szCs w:val="20"/>
        </w:rPr>
        <w:t>) que el SCRS consideró una aproximación razonable a F</w:t>
      </w:r>
      <w:r w:rsidRPr="005D5654">
        <w:rPr>
          <w:rFonts w:ascii="Cambria" w:hAnsi="Cambria"/>
          <w:sz w:val="20"/>
          <w:szCs w:val="20"/>
          <w:vertAlign w:val="subscript"/>
        </w:rPr>
        <w:t>RMS</w:t>
      </w:r>
      <w:r w:rsidRPr="005D5654">
        <w:rPr>
          <w:rFonts w:ascii="Cambria" w:hAnsi="Cambria"/>
          <w:sz w:val="20"/>
          <w:szCs w:val="20"/>
        </w:rPr>
        <w:t xml:space="preserve"> y que tenía en cuenta el efecto de los cambios en el reclutamiento sobre la biomasa del stock, lo que proporcionó la base para la ordenación provisional del stock a la espera del desarrollo de un procedimiento de ordenación (MP) mediante el proceso de evaluación de estrategias de ordenación (MSE); </w:t>
      </w:r>
    </w:p>
    <w:p w14:paraId="3768FD9E" w14:textId="77777777" w:rsidR="005D5654" w:rsidRPr="005D5654" w:rsidRDefault="005D5654" w:rsidP="005D5654">
      <w:pPr>
        <w:tabs>
          <w:tab w:val="left" w:pos="426"/>
          <w:tab w:val="center" w:pos="4680"/>
          <w:tab w:val="left" w:pos="6430"/>
        </w:tabs>
        <w:jc w:val="both"/>
        <w:rPr>
          <w:rFonts w:ascii="Cambria" w:hAnsi="Cambria"/>
          <w:sz w:val="20"/>
          <w:szCs w:val="20"/>
        </w:rPr>
      </w:pPr>
    </w:p>
    <w:p w14:paraId="51D6685F" w14:textId="77777777" w:rsidR="005D5654" w:rsidRPr="005D5654" w:rsidRDefault="005D5654" w:rsidP="005D5654">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 xml:space="preserve">RECORDANDO ADEMÁS </w:t>
      </w:r>
      <w:r w:rsidRPr="005D5654">
        <w:rPr>
          <w:rFonts w:ascii="Cambria" w:hAnsi="Cambria"/>
          <w:sz w:val="20"/>
          <w:szCs w:val="20"/>
        </w:rPr>
        <w:t xml:space="preserve">que la Rec. 17-06 fue enmendada y prorrogada durante 2021 por la </w:t>
      </w:r>
      <w:r w:rsidRPr="005D5654">
        <w:rPr>
          <w:rFonts w:ascii="Cambria" w:hAnsi="Cambria"/>
          <w:i/>
          <w:iCs/>
          <w:sz w:val="20"/>
          <w:szCs w:val="20"/>
        </w:rPr>
        <w:t xml:space="preserve">Recomendación de ICCAT que enmienda la Rec. 17-06 para un plan provisional de conservación y ordenación para el atún rojo del Atlántico oeste </w:t>
      </w:r>
      <w:r w:rsidRPr="005D5654">
        <w:rPr>
          <w:rFonts w:ascii="Cambria" w:hAnsi="Cambria"/>
          <w:sz w:val="20"/>
          <w:szCs w:val="20"/>
        </w:rPr>
        <w:t xml:space="preserve">(Rec. 20-06), que fue enmendada y prorrogada de nuevo durante 2022 mediante la </w:t>
      </w:r>
      <w:r w:rsidRPr="005D5654">
        <w:rPr>
          <w:rFonts w:ascii="Cambria" w:hAnsi="Cambria"/>
          <w:i/>
          <w:iCs/>
          <w:sz w:val="20"/>
          <w:szCs w:val="20"/>
        </w:rPr>
        <w:t xml:space="preserve">Recomendación de ICCAT que enmienda la Recomendación 17-06 para un plan provisional de conservación y ordenación para el atún rojo del Atlántico oeste </w:t>
      </w:r>
      <w:r w:rsidRPr="005D5654">
        <w:rPr>
          <w:rFonts w:ascii="Cambria" w:hAnsi="Cambria"/>
          <w:sz w:val="20"/>
          <w:szCs w:val="20"/>
        </w:rPr>
        <w:t>(Rec. 21-07), que incluía un aumento del total admisible de capturas (TAC) después de tener en cuenta el asesoramiento del SCRS en 2021;</w:t>
      </w:r>
    </w:p>
    <w:p w14:paraId="296ED36A"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p>
    <w:p w14:paraId="1BB14740" w14:textId="77777777" w:rsidR="005D5654" w:rsidRPr="005D5654" w:rsidRDefault="005D5654" w:rsidP="005D5654">
      <w:pPr>
        <w:tabs>
          <w:tab w:val="left" w:pos="426"/>
          <w:tab w:val="center" w:pos="4680"/>
          <w:tab w:val="left" w:pos="6430"/>
        </w:tabs>
        <w:jc w:val="both"/>
        <w:rPr>
          <w:rFonts w:ascii="Cambria" w:eastAsia="Cambria" w:hAnsi="Cambria" w:cs="Cambria"/>
          <w:sz w:val="20"/>
          <w:szCs w:val="20"/>
        </w:rPr>
      </w:pPr>
      <w:r w:rsidRPr="005D5654">
        <w:rPr>
          <w:rFonts w:ascii="Cambria" w:hAnsi="Cambria"/>
          <w:sz w:val="20"/>
          <w:szCs w:val="20"/>
        </w:rPr>
        <w:tab/>
      </w:r>
      <w:r w:rsidRPr="005D5654">
        <w:rPr>
          <w:rFonts w:ascii="Cambria" w:hAnsi="Cambria"/>
          <w:i/>
          <w:iCs/>
          <w:sz w:val="20"/>
          <w:szCs w:val="20"/>
        </w:rPr>
        <w:t xml:space="preserve">PLENAMENTE CONSCIENTE </w:t>
      </w:r>
      <w:r w:rsidRPr="005D5654">
        <w:rPr>
          <w:rFonts w:ascii="Cambria" w:hAnsi="Cambria"/>
          <w:sz w:val="20"/>
          <w:szCs w:val="20"/>
        </w:rPr>
        <w:t>de la intención de sustituir el plan provisional de conservación y ordenación aprobado por primera vez en 2017 con un plan de conservación y ordenación basado en un MP probado a través de la MSE para gestionar la pesquería de atún rojo de forma más eficaz ante las incertidumbres identificadas;</w:t>
      </w:r>
    </w:p>
    <w:p w14:paraId="7B072F7F"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p>
    <w:p w14:paraId="5DB625C1" w14:textId="77777777" w:rsidR="005D5654" w:rsidRPr="005D5654" w:rsidRDefault="005D5654" w:rsidP="005D5654">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APRECIANDO</w:t>
      </w:r>
      <w:r w:rsidRPr="005D5654">
        <w:rPr>
          <w:rFonts w:ascii="Cambria" w:hAnsi="Cambria"/>
          <w:sz w:val="20"/>
          <w:szCs w:val="20"/>
        </w:rPr>
        <w:t xml:space="preserve"> el importante trabajo realizado por ICCAT para avanzar en la MSE para el atún rojo, lo que incluye la adopción de la R</w:t>
      </w:r>
      <w:r w:rsidRPr="005D5654">
        <w:rPr>
          <w:rFonts w:ascii="Cambria" w:hAnsi="Cambria"/>
          <w:i/>
          <w:iCs/>
          <w:sz w:val="20"/>
          <w:szCs w:val="20"/>
        </w:rPr>
        <w:t xml:space="preserve">esolución de ICCAT sobre el desarrollo de objetivos de ordenación iniciales para el atún rojo del este y del oeste </w:t>
      </w:r>
      <w:r w:rsidRPr="005D5654">
        <w:rPr>
          <w:rFonts w:ascii="Cambria" w:hAnsi="Cambria"/>
          <w:sz w:val="20"/>
          <w:szCs w:val="20"/>
        </w:rPr>
        <w:t xml:space="preserve">(Res. 18-03), y las actividades intersesiones realizadas para finalizar estos objetivos de ordenación en consonancia con el Convenio, con la </w:t>
      </w:r>
      <w:r w:rsidRPr="005D5654">
        <w:rPr>
          <w:rFonts w:ascii="Cambria" w:hAnsi="Cambria"/>
          <w:i/>
          <w:iCs/>
          <w:sz w:val="20"/>
          <w:szCs w:val="20"/>
        </w:rPr>
        <w:t>Recomendación de ICCAT sobre los principios de toma de decisiones para las medidas de conservación y ordenación de ICCA</w:t>
      </w:r>
      <w:r w:rsidRPr="005D5654">
        <w:rPr>
          <w:rFonts w:ascii="Cambria" w:hAnsi="Cambria"/>
          <w:sz w:val="20"/>
          <w:szCs w:val="20"/>
        </w:rPr>
        <w:t xml:space="preserve">T (Rec. 11-13) y con la </w:t>
      </w:r>
      <w:r w:rsidRPr="005D5654">
        <w:rPr>
          <w:rFonts w:ascii="Cambria" w:hAnsi="Cambria"/>
          <w:i/>
          <w:iCs/>
          <w:sz w:val="20"/>
          <w:szCs w:val="20"/>
        </w:rPr>
        <w:t>Recomendación de ICCAT sobre el desarrollo de normas de control de capturas y de evaluación de estrategias de ordenació</w:t>
      </w:r>
      <w:r w:rsidRPr="005D5654">
        <w:rPr>
          <w:rFonts w:ascii="Cambria" w:hAnsi="Cambria"/>
          <w:sz w:val="20"/>
          <w:szCs w:val="20"/>
        </w:rPr>
        <w:t>n (Rec. 15-07);</w:t>
      </w:r>
    </w:p>
    <w:p w14:paraId="2FD33874"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p>
    <w:p w14:paraId="55297DBA" w14:textId="77777777" w:rsidR="005D5654" w:rsidRPr="005D5654" w:rsidRDefault="005D5654" w:rsidP="005D5654">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RECONOCIENDO</w:t>
      </w:r>
      <w:r w:rsidRPr="005D5654">
        <w:rPr>
          <w:rFonts w:ascii="Cambria" w:hAnsi="Cambria"/>
          <w:sz w:val="20"/>
          <w:szCs w:val="20"/>
        </w:rPr>
        <w:t xml:space="preserve"> el marco de MSE completo desarrollado por el SCRS que se ha utilizado para poner a prueba los MP candidatos 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 TAC;</w:t>
      </w:r>
    </w:p>
    <w:p w14:paraId="33C91C44" w14:textId="77777777" w:rsidR="005D5654" w:rsidRPr="005D5654" w:rsidRDefault="005D5654" w:rsidP="005D5654">
      <w:pPr>
        <w:tabs>
          <w:tab w:val="left" w:pos="426"/>
          <w:tab w:val="center" w:pos="4680"/>
          <w:tab w:val="left" w:pos="6430"/>
        </w:tabs>
        <w:jc w:val="both"/>
        <w:rPr>
          <w:rFonts w:ascii="Cambria" w:eastAsia="Cambria" w:hAnsi="Cambria" w:cs="Cambria"/>
          <w:i/>
          <w:sz w:val="20"/>
          <w:szCs w:val="20"/>
        </w:rPr>
      </w:pPr>
    </w:p>
    <w:p w14:paraId="454E326C" w14:textId="77777777" w:rsidR="005D5654" w:rsidRPr="005D5654" w:rsidRDefault="005D5654" w:rsidP="005D5654">
      <w:pPr>
        <w:tabs>
          <w:tab w:val="left" w:pos="426"/>
          <w:tab w:val="center" w:pos="4680"/>
          <w:tab w:val="left" w:pos="6430"/>
        </w:tabs>
        <w:jc w:val="both"/>
        <w:rPr>
          <w:rFonts w:ascii="Cambria" w:eastAsia="Cambria" w:hAnsi="Cambria" w:cs="Cambria"/>
          <w:sz w:val="20"/>
          <w:szCs w:val="20"/>
        </w:rPr>
      </w:pPr>
      <w:r w:rsidRPr="005D5654">
        <w:rPr>
          <w:rFonts w:ascii="Cambria" w:hAnsi="Cambria"/>
          <w:i/>
          <w:sz w:val="20"/>
          <w:szCs w:val="20"/>
        </w:rPr>
        <w:tab/>
      </w:r>
      <w:r w:rsidRPr="005D5654">
        <w:rPr>
          <w:rFonts w:ascii="Cambria" w:hAnsi="Cambria"/>
          <w:i/>
          <w:iCs/>
          <w:sz w:val="20"/>
          <w:szCs w:val="20"/>
        </w:rPr>
        <w:t xml:space="preserve">ACOGIENDO CON SATISFACCIÓN </w:t>
      </w:r>
      <w:r w:rsidRPr="005D5654">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63F12B47" w14:textId="77777777" w:rsidR="005D5654" w:rsidRPr="005D5654" w:rsidRDefault="005D5654" w:rsidP="005D5654">
      <w:pPr>
        <w:tabs>
          <w:tab w:val="left" w:pos="426"/>
          <w:tab w:val="center" w:pos="4680"/>
          <w:tab w:val="left" w:pos="6430"/>
        </w:tabs>
        <w:spacing w:before="240" w:after="240"/>
        <w:jc w:val="both"/>
        <w:rPr>
          <w:rFonts w:ascii="Cambria" w:hAnsi="Cambria"/>
          <w:i/>
          <w:color w:val="231F20"/>
          <w:sz w:val="20"/>
          <w:szCs w:val="20"/>
        </w:rPr>
      </w:pPr>
      <w:r w:rsidRPr="005D5654">
        <w:rPr>
          <w:rFonts w:ascii="Cambria" w:hAnsi="Cambria"/>
          <w:i/>
          <w:color w:val="231F20"/>
          <w:sz w:val="20"/>
          <w:szCs w:val="20"/>
        </w:rPr>
        <w:tab/>
      </w:r>
      <w:r w:rsidRPr="005D5654">
        <w:rPr>
          <w:rFonts w:ascii="Cambria" w:hAnsi="Cambria"/>
          <w:i/>
          <w:color w:val="231F20"/>
          <w:sz w:val="20"/>
          <w:szCs w:val="20"/>
        </w:rPr>
        <w:tab/>
      </w:r>
      <w:r w:rsidRPr="005D5654">
        <w:rPr>
          <w:rFonts w:ascii="Cambria" w:hAnsi="Cambria"/>
          <w:i/>
          <w:iCs/>
          <w:color w:val="231F20"/>
          <w:sz w:val="20"/>
          <w:szCs w:val="20"/>
        </w:rPr>
        <w:t>RECONOCIENDO</w:t>
      </w:r>
      <w:r w:rsidRPr="005D5654">
        <w:rPr>
          <w:rFonts w:ascii="Cambria" w:hAnsi="Cambria"/>
          <w:color w:val="231F20"/>
          <w:sz w:val="20"/>
          <w:szCs w:val="20"/>
        </w:rPr>
        <w:t xml:space="preserve"> que un elemento importante del MP es su revisión y que el SCRS ha recomendado que la primera revisión se realice antes de 2028 para garantizar que el MP tiene el desempeño previsto y para determinar si existen condiciones que justifiquen: el recondicionamiento de los modelos operativos de la MSE; la recalibración del MP existente; y/o la consideración de procedimientos de ordenación candidatos alternativos o de una nueva MSE completa; </w:t>
      </w:r>
      <w:r w:rsidRPr="005D5654">
        <w:rPr>
          <w:rFonts w:ascii="Cambria" w:hAnsi="Cambria"/>
          <w:i/>
          <w:color w:val="231F20"/>
          <w:sz w:val="20"/>
          <w:szCs w:val="20"/>
        </w:rPr>
        <w:tab/>
      </w:r>
    </w:p>
    <w:p w14:paraId="36163F06" w14:textId="77777777" w:rsidR="005D5654" w:rsidRPr="005D5654" w:rsidRDefault="005D5654" w:rsidP="005D5654">
      <w:pPr>
        <w:tabs>
          <w:tab w:val="left" w:pos="426"/>
          <w:tab w:val="center" w:pos="4680"/>
          <w:tab w:val="left" w:pos="6430"/>
        </w:tabs>
        <w:spacing w:before="240" w:after="240"/>
        <w:ind w:firstLine="340"/>
        <w:jc w:val="both"/>
        <w:rPr>
          <w:rFonts w:ascii="Cambria" w:hAnsi="Cambria"/>
          <w:i/>
          <w:color w:val="231F20"/>
          <w:sz w:val="20"/>
          <w:szCs w:val="20"/>
        </w:rPr>
      </w:pPr>
    </w:p>
    <w:p w14:paraId="0E7CA92B" w14:textId="77777777" w:rsidR="005D5654" w:rsidRPr="005D5654" w:rsidRDefault="005D5654" w:rsidP="005D5654">
      <w:pPr>
        <w:tabs>
          <w:tab w:val="left" w:pos="426"/>
          <w:tab w:val="center" w:pos="4680"/>
          <w:tab w:val="left" w:pos="6430"/>
        </w:tabs>
        <w:spacing w:before="240" w:after="240"/>
        <w:ind w:firstLine="340"/>
        <w:jc w:val="both"/>
        <w:rPr>
          <w:rFonts w:ascii="Cambria" w:eastAsia="Cambria" w:hAnsi="Cambria" w:cs="Cambria"/>
          <w:color w:val="231F20"/>
          <w:sz w:val="20"/>
          <w:szCs w:val="20"/>
        </w:rPr>
      </w:pPr>
      <w:r w:rsidRPr="005D5654">
        <w:rPr>
          <w:rFonts w:ascii="Cambria" w:hAnsi="Cambria"/>
          <w:sz w:val="20"/>
          <w:szCs w:val="20"/>
        </w:rPr>
        <w:br w:type="page"/>
      </w:r>
      <w:r w:rsidRPr="005D5654">
        <w:rPr>
          <w:rFonts w:ascii="Cambria" w:hAnsi="Cambria"/>
          <w:i/>
          <w:iCs/>
          <w:color w:val="231F20"/>
          <w:sz w:val="20"/>
          <w:szCs w:val="20"/>
        </w:rPr>
        <w:lastRenderedPageBreak/>
        <w:t>DESTACANDO</w:t>
      </w:r>
      <w:r w:rsidRPr="005D5654">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5D5654"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5D5654">
        <w:rPr>
          <w:rFonts w:ascii="Cambria" w:hAnsi="Cambria"/>
          <w:i/>
          <w:color w:val="231F20"/>
          <w:sz w:val="20"/>
          <w:szCs w:val="20"/>
        </w:rPr>
        <w:tab/>
      </w:r>
      <w:r w:rsidRPr="005D5654">
        <w:rPr>
          <w:rFonts w:ascii="Cambria" w:hAnsi="Cambria"/>
          <w:i/>
          <w:color w:val="231F20"/>
          <w:sz w:val="20"/>
          <w:szCs w:val="20"/>
        </w:rPr>
        <w:tab/>
      </w:r>
      <w:r w:rsidRPr="005D5654">
        <w:rPr>
          <w:rFonts w:ascii="Cambria" w:hAnsi="Cambria"/>
          <w:i/>
          <w:iCs/>
          <w:color w:val="231F20"/>
          <w:sz w:val="20"/>
          <w:szCs w:val="20"/>
        </w:rPr>
        <w:t xml:space="preserve">RECONOCIENDO </w:t>
      </w:r>
      <w:r w:rsidRPr="005D5654">
        <w:rPr>
          <w:rFonts w:ascii="Cambria" w:hAnsi="Cambria"/>
          <w:color w:val="231F20"/>
          <w:sz w:val="20"/>
          <w:szCs w:val="20"/>
        </w:rPr>
        <w:t xml:space="preserve">la </w:t>
      </w:r>
      <w:r w:rsidRPr="005D5654">
        <w:rPr>
          <w:rFonts w:ascii="Cambria" w:hAnsi="Cambria"/>
          <w:i/>
          <w:iCs/>
          <w:color w:val="231F20"/>
          <w:sz w:val="20"/>
          <w:szCs w:val="20"/>
        </w:rPr>
        <w:t>Resolución de ICCAT sobre los criterios de ICCAT para la asignación de posibilidades de pesca</w:t>
      </w:r>
      <w:r w:rsidRPr="005D5654">
        <w:rPr>
          <w:rFonts w:ascii="Cambria" w:hAnsi="Cambria"/>
          <w:color w:val="231F20"/>
          <w:sz w:val="20"/>
          <w:szCs w:val="20"/>
        </w:rPr>
        <w:t xml:space="preserve"> (Res. 15-13);</w:t>
      </w:r>
    </w:p>
    <w:p w14:paraId="465427D5" w14:textId="77777777" w:rsidR="005D5654" w:rsidRPr="005D5654"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5D5654">
        <w:rPr>
          <w:rFonts w:ascii="Cambria" w:hAnsi="Cambria"/>
          <w:i/>
          <w:color w:val="231F20"/>
          <w:sz w:val="20"/>
          <w:szCs w:val="20"/>
        </w:rPr>
        <w:tab/>
        <w:t>RENOVANDO</w:t>
      </w:r>
      <w:r w:rsidRPr="005D5654">
        <w:rPr>
          <w:rFonts w:ascii="Cambria" w:hAnsi="Cambria"/>
          <w:color w:val="231F20"/>
          <w:sz w:val="20"/>
          <w:szCs w:val="20"/>
        </w:rPr>
        <w:t xml:space="preserve"> el compromiso con la plena implementación de las obligaciones de comunicación existentes, incluyendo las establecidas en la </w:t>
      </w:r>
      <w:r w:rsidRPr="005D5654">
        <w:rPr>
          <w:rFonts w:ascii="Cambria" w:hAnsi="Cambria"/>
          <w:i/>
          <w:iCs/>
          <w:color w:val="231F20"/>
          <w:sz w:val="20"/>
          <w:szCs w:val="20"/>
        </w:rPr>
        <w:t>Recomendación de ICCAT sobre el registro de capturas realizadas por barcos en la zona del Convenio ICCAT</w:t>
      </w:r>
      <w:r w:rsidRPr="005D5654">
        <w:rPr>
          <w:rFonts w:ascii="Cambria" w:hAnsi="Cambria"/>
          <w:color w:val="231F20"/>
          <w:sz w:val="20"/>
          <w:szCs w:val="20"/>
        </w:rPr>
        <w:t xml:space="preserve"> (Rec. 03-13);</w:t>
      </w:r>
    </w:p>
    <w:p w14:paraId="25890354" w14:textId="77777777" w:rsidR="005D5654" w:rsidRPr="005D5654" w:rsidRDefault="005D5654" w:rsidP="005D5654">
      <w:pPr>
        <w:ind w:left="2092" w:right="1457" w:hanging="455"/>
        <w:jc w:val="center"/>
        <w:rPr>
          <w:rFonts w:ascii="Cambria" w:hAnsi="Cambria"/>
          <w:color w:val="231F20"/>
          <w:sz w:val="20"/>
          <w:szCs w:val="20"/>
        </w:rPr>
      </w:pPr>
      <w:r w:rsidRPr="005D5654">
        <w:rPr>
          <w:rFonts w:ascii="Cambria" w:hAnsi="Cambria"/>
          <w:color w:val="231F20"/>
          <w:sz w:val="20"/>
          <w:szCs w:val="20"/>
        </w:rPr>
        <w:t xml:space="preserve">LA COMISIÓN INTERNACIONAL PARA LA CONSERVACIÓN </w:t>
      </w:r>
    </w:p>
    <w:p w14:paraId="1451650A" w14:textId="77777777" w:rsidR="005D5654" w:rsidRPr="005D5654" w:rsidRDefault="005D5654" w:rsidP="005D5654">
      <w:pPr>
        <w:ind w:left="2092" w:right="1457" w:hanging="455"/>
        <w:jc w:val="center"/>
        <w:rPr>
          <w:rFonts w:ascii="Cambria" w:hAnsi="Cambria"/>
          <w:color w:val="231F20"/>
          <w:sz w:val="20"/>
          <w:szCs w:val="20"/>
        </w:rPr>
      </w:pPr>
      <w:r w:rsidRPr="005D5654">
        <w:rPr>
          <w:rFonts w:ascii="Cambria" w:hAnsi="Cambria"/>
          <w:color w:val="231F20"/>
          <w:sz w:val="20"/>
          <w:szCs w:val="20"/>
        </w:rPr>
        <w:t>DEL ATÚN ATLÁNTICO (ICCAT) RECOMIENDA LO SIGUIENTE:</w:t>
      </w:r>
    </w:p>
    <w:p w14:paraId="119DFAF7" w14:textId="77777777" w:rsidR="005D5654" w:rsidRPr="005D5654" w:rsidRDefault="005D5654" w:rsidP="005D5654">
      <w:pPr>
        <w:rPr>
          <w:rFonts w:ascii="Cambria" w:eastAsia="Cambria" w:hAnsi="Cambria" w:cs="Cambria"/>
          <w:sz w:val="20"/>
          <w:szCs w:val="20"/>
        </w:rPr>
      </w:pPr>
    </w:p>
    <w:p w14:paraId="74B19065" w14:textId="77777777" w:rsidR="005D5654" w:rsidRPr="005D5654" w:rsidRDefault="005D5654" w:rsidP="005D5654">
      <w:pPr>
        <w:widowControl/>
        <w:numPr>
          <w:ilvl w:val="0"/>
          <w:numId w:val="5"/>
        </w:numPr>
        <w:ind w:left="426" w:hanging="426"/>
        <w:jc w:val="both"/>
        <w:rPr>
          <w:rFonts w:ascii="Cambria" w:eastAsia="Cambria" w:hAnsi="Cambria" w:cs="Cambria"/>
          <w:strike/>
          <w:sz w:val="20"/>
          <w:szCs w:val="20"/>
        </w:rPr>
      </w:pPr>
      <w:r w:rsidRPr="005D5654">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Pr="005D5654">
        <w:rPr>
          <w:rFonts w:ascii="Cambria" w:hAnsi="Cambria"/>
          <w:i/>
          <w:iCs/>
          <w:color w:val="231F20"/>
          <w:sz w:val="20"/>
          <w:szCs w:val="20"/>
        </w:rPr>
        <w:t>Recomendación de ICCAT para establecer un procedimiento de ordenación para el atún rojo del Atlántico que se utilizará para las zonas de ordenación del Atlántico occidental y del Atlántico oriental y Mediterráneo</w:t>
      </w:r>
      <w:r w:rsidRPr="005D5654">
        <w:rPr>
          <w:rFonts w:ascii="Cambria" w:hAnsi="Cambria"/>
          <w:color w:val="231F20"/>
          <w:sz w:val="20"/>
          <w:szCs w:val="20"/>
        </w:rPr>
        <w:t xml:space="preserve"> (Rec. 22-09</w:t>
      </w:r>
      <w:r w:rsidRPr="005D5654">
        <w:rPr>
          <w:rFonts w:ascii="Cambria" w:hAnsi="Cambria"/>
          <w:color w:val="231F20"/>
          <w:sz w:val="20"/>
          <w:szCs w:val="20"/>
          <w:vertAlign w:val="superscript"/>
        </w:rPr>
        <w:footnoteReference w:id="1"/>
      </w:r>
      <w:r w:rsidRPr="005D5654">
        <w:rPr>
          <w:rFonts w:ascii="Cambria" w:hAnsi="Cambria"/>
          <w:color w:val="231F20"/>
          <w:sz w:val="20"/>
          <w:szCs w:val="20"/>
        </w:rPr>
        <w:t xml:space="preserve">). </w:t>
      </w:r>
    </w:p>
    <w:p w14:paraId="5AFD7B82" w14:textId="77777777" w:rsidR="005D5654" w:rsidRPr="005D5654" w:rsidRDefault="005D5654" w:rsidP="005D5654">
      <w:pPr>
        <w:tabs>
          <w:tab w:val="left" w:pos="535"/>
        </w:tabs>
        <w:jc w:val="both"/>
        <w:rPr>
          <w:rFonts w:ascii="Cambria" w:eastAsia="Cambria" w:hAnsi="Cambria" w:cs="Cambria"/>
          <w:strike/>
          <w:sz w:val="20"/>
          <w:szCs w:val="20"/>
        </w:rPr>
      </w:pPr>
    </w:p>
    <w:p w14:paraId="49781E24" w14:textId="77777777" w:rsidR="005D5654" w:rsidRPr="005D5654" w:rsidRDefault="005D5654" w:rsidP="005D5654">
      <w:pPr>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Límites de capacidad y esfuerzo</w:t>
      </w:r>
    </w:p>
    <w:p w14:paraId="202924D8" w14:textId="77777777" w:rsidR="005D5654" w:rsidRPr="005D5654" w:rsidRDefault="005D5654" w:rsidP="005D5654">
      <w:pPr>
        <w:rPr>
          <w:rFonts w:ascii="Cambria" w:eastAsia="Cambria" w:hAnsi="Cambria" w:cs="Cambria"/>
          <w:b/>
          <w:i/>
          <w:sz w:val="20"/>
          <w:szCs w:val="20"/>
        </w:rPr>
      </w:pPr>
    </w:p>
    <w:p w14:paraId="65773D2C"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2A729E7F" w14:textId="77777777" w:rsidR="005D5654" w:rsidRPr="005D5654" w:rsidRDefault="005D5654" w:rsidP="005D5654">
      <w:pPr>
        <w:jc w:val="both"/>
        <w:rPr>
          <w:rFonts w:ascii="Cambria" w:eastAsia="Cambria" w:hAnsi="Cambria" w:cs="Cambria"/>
          <w:sz w:val="20"/>
          <w:szCs w:val="20"/>
        </w:rPr>
      </w:pPr>
    </w:p>
    <w:p w14:paraId="0A373BFE" w14:textId="77777777" w:rsidR="005D5654" w:rsidRPr="005D5654" w:rsidRDefault="005D5654" w:rsidP="005D5654">
      <w:pPr>
        <w:jc w:val="both"/>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TAC, asignaciones de TAC y límites de captura</w:t>
      </w:r>
    </w:p>
    <w:p w14:paraId="04052830" w14:textId="77777777" w:rsidR="005D5654" w:rsidRPr="005D5654" w:rsidRDefault="005D5654" w:rsidP="005D5654">
      <w:pPr>
        <w:jc w:val="both"/>
        <w:rPr>
          <w:rFonts w:ascii="Cambria" w:eastAsia="Cambria" w:hAnsi="Cambria" w:cs="Cambria"/>
          <w:b/>
          <w:i/>
          <w:sz w:val="20"/>
          <w:szCs w:val="20"/>
        </w:rPr>
      </w:pPr>
    </w:p>
    <w:p w14:paraId="54E373A8"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 xml:space="preserve">De conformidad con la aplicación del MP establecido en la Rec. 22-09 se establece un total admisible de captura (TAC) anual, incluidos los descartes de peces muertos, de 2.726 t para </w:t>
      </w:r>
      <w:r w:rsidRPr="005D5654">
        <w:rPr>
          <w:rFonts w:ascii="Cambria" w:eastAsia="Cambria" w:hAnsi="Cambria" w:cs="Cambria"/>
          <w:color w:val="231F20"/>
          <w:sz w:val="20"/>
          <w:szCs w:val="20"/>
        </w:rPr>
        <w:t xml:space="preserve">2023, 2024 y 2025. </w:t>
      </w:r>
      <w:r w:rsidRPr="005D5654">
        <w:rPr>
          <w:rFonts w:ascii="Cambria" w:hAnsi="Cambria"/>
          <w:color w:val="231F20"/>
          <w:sz w:val="20"/>
          <w:szCs w:val="20"/>
        </w:rPr>
        <w:t>Los TAC para el periodo 2026-2028 se establecerán en la reunión anual de ICCAT de 2025 de acuerdo con la aplicación del MP.</w:t>
      </w:r>
    </w:p>
    <w:p w14:paraId="34D8D30B" w14:textId="77777777" w:rsidR="005D5654" w:rsidRPr="005D5654" w:rsidRDefault="005D5654" w:rsidP="005D5654">
      <w:pPr>
        <w:tabs>
          <w:tab w:val="left" w:pos="530"/>
        </w:tabs>
        <w:ind w:left="7347"/>
        <w:jc w:val="both"/>
        <w:rPr>
          <w:rFonts w:ascii="Cambria" w:eastAsia="Cambria" w:hAnsi="Cambria" w:cs="Cambria"/>
          <w:color w:val="231F20"/>
          <w:sz w:val="20"/>
          <w:szCs w:val="20"/>
        </w:rPr>
      </w:pPr>
    </w:p>
    <w:p w14:paraId="7D250CC2"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22-09, y para otros fines científicos pertinentes que determine el SCRS. </w:t>
      </w:r>
    </w:p>
    <w:p w14:paraId="11675E6C" w14:textId="77777777" w:rsidR="005D5654" w:rsidRPr="005D5654" w:rsidRDefault="005D5654" w:rsidP="005D5654">
      <w:pPr>
        <w:jc w:val="both"/>
        <w:rPr>
          <w:rFonts w:ascii="Cambria" w:eastAsia="Cambria" w:hAnsi="Cambria" w:cs="Cambria"/>
          <w:sz w:val="20"/>
          <w:szCs w:val="20"/>
        </w:rPr>
      </w:pPr>
    </w:p>
    <w:p w14:paraId="459E1719"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sz w:val="20"/>
          <w:szCs w:val="20"/>
        </w:rPr>
        <w:t>La asignación del TAC anual, incluidos los descartes de ejemplares muertos, se indicará de la siguiente manera:</w:t>
      </w:r>
    </w:p>
    <w:p w14:paraId="5CE8E6F5" w14:textId="77777777" w:rsidR="005D5654" w:rsidRPr="005D5654" w:rsidRDefault="005D5654" w:rsidP="005D5654">
      <w:pPr>
        <w:pBdr>
          <w:top w:val="nil"/>
          <w:left w:val="nil"/>
          <w:bottom w:val="nil"/>
          <w:right w:val="nil"/>
          <w:between w:val="nil"/>
        </w:pBdr>
        <w:ind w:left="720"/>
        <w:rPr>
          <w:rFonts w:ascii="Cambria" w:eastAsia="Cambria" w:hAnsi="Cambria" w:cs="Cambria"/>
          <w:color w:val="000000"/>
          <w:sz w:val="20"/>
          <w:szCs w:val="20"/>
        </w:rPr>
      </w:pPr>
    </w:p>
    <w:p w14:paraId="6DF12CC7" w14:textId="77777777" w:rsidR="005D5654" w:rsidRPr="005D5654"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5D5654">
        <w:rPr>
          <w:rFonts w:ascii="Cambria" w:hAnsi="Cambria"/>
          <w:color w:val="231F20"/>
          <w:sz w:val="20"/>
          <w:szCs w:val="20"/>
        </w:rPr>
        <w:t>El TAC anual incluirá las siguientes asignaciones:</w:t>
      </w:r>
    </w:p>
    <w:p w14:paraId="584FBE16" w14:textId="77777777" w:rsidR="005D5654" w:rsidRPr="005D5654" w:rsidRDefault="005D5654" w:rsidP="005D5654">
      <w:pPr>
        <w:spacing w:before="11"/>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5D5654"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5D5654" w:rsidRDefault="005D5654" w:rsidP="005D5654">
            <w:pPr>
              <w:spacing w:before="72"/>
              <w:ind w:left="396"/>
              <w:jc w:val="center"/>
              <w:rPr>
                <w:rFonts w:ascii="Cambria" w:eastAsia="Cambria" w:hAnsi="Cambria" w:cs="Cambria"/>
                <w:sz w:val="20"/>
                <w:szCs w:val="20"/>
              </w:rPr>
            </w:pPr>
            <w:r w:rsidRPr="005D5654">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5D5654" w:rsidRDefault="005D5654" w:rsidP="005D5654">
            <w:pPr>
              <w:spacing w:before="72"/>
              <w:ind w:left="-2"/>
              <w:rPr>
                <w:rFonts w:ascii="Cambria" w:eastAsia="Cambria" w:hAnsi="Cambria" w:cs="Cambria"/>
                <w:sz w:val="20"/>
                <w:szCs w:val="20"/>
              </w:rPr>
            </w:pPr>
            <w:r w:rsidRPr="005D5654">
              <w:rPr>
                <w:rFonts w:ascii="Cambria" w:hAnsi="Cambria"/>
                <w:i/>
                <w:color w:val="231F20"/>
                <w:sz w:val="20"/>
                <w:szCs w:val="20"/>
              </w:rPr>
              <w:t>Asignación</w:t>
            </w:r>
          </w:p>
        </w:tc>
      </w:tr>
      <w:tr w:rsidR="005D5654" w:rsidRPr="005D5654" w14:paraId="54A000D2"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2158BF93" w14:textId="77777777" w:rsidR="005D5654" w:rsidRPr="005D5654" w:rsidRDefault="005D5654" w:rsidP="005D5654">
            <w:pPr>
              <w:spacing w:before="151"/>
              <w:ind w:left="94"/>
              <w:rPr>
                <w:rFonts w:ascii="Cambria" w:eastAsia="Cambria" w:hAnsi="Cambria" w:cs="Cambria"/>
                <w:sz w:val="20"/>
                <w:szCs w:val="20"/>
              </w:rPr>
            </w:pPr>
            <w:r w:rsidRPr="005D5654">
              <w:rPr>
                <w:rFonts w:ascii="Cambria" w:hAnsi="Cambria"/>
                <w:color w:val="231F20"/>
                <w:sz w:val="20"/>
                <w:szCs w:val="20"/>
              </w:rPr>
              <w:t>Estados Unidos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64BA2811" w14:textId="77777777" w:rsidR="005D5654" w:rsidRPr="005D5654" w:rsidRDefault="005D5654" w:rsidP="005D5654">
            <w:pPr>
              <w:spacing w:before="151"/>
              <w:jc w:val="center"/>
              <w:rPr>
                <w:rFonts w:ascii="Cambria" w:eastAsia="Cambria" w:hAnsi="Cambria" w:cs="Cambria"/>
                <w:sz w:val="20"/>
                <w:szCs w:val="20"/>
              </w:rPr>
            </w:pPr>
            <w:r w:rsidRPr="005D5654">
              <w:rPr>
                <w:rFonts w:ascii="Cambria" w:hAnsi="Cambria"/>
                <w:color w:val="231F20"/>
                <w:sz w:val="20"/>
                <w:szCs w:val="20"/>
              </w:rPr>
              <w:t>25 t</w:t>
            </w:r>
          </w:p>
        </w:tc>
      </w:tr>
      <w:tr w:rsidR="005D5654" w:rsidRPr="005D5654" w14:paraId="085EA494"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77777777" w:rsidR="005D5654" w:rsidRPr="005D5654" w:rsidRDefault="005D5654" w:rsidP="005D5654">
            <w:pPr>
              <w:spacing w:before="151"/>
              <w:ind w:left="94"/>
              <w:rPr>
                <w:rFonts w:ascii="Cambria" w:eastAsia="Cambria" w:hAnsi="Cambria" w:cs="Cambria"/>
                <w:sz w:val="20"/>
                <w:szCs w:val="20"/>
              </w:rPr>
            </w:pPr>
            <w:r w:rsidRPr="005D5654">
              <w:rPr>
                <w:rFonts w:ascii="Cambria" w:hAnsi="Cambria"/>
                <w:color w:val="231F20"/>
                <w:sz w:val="20"/>
                <w:szCs w:val="20"/>
              </w:rPr>
              <w:t>Canadá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22253493" w14:textId="77777777" w:rsidR="005D5654" w:rsidRPr="005D5654" w:rsidRDefault="005D5654" w:rsidP="005D5654">
            <w:pPr>
              <w:spacing w:before="151"/>
              <w:jc w:val="center"/>
              <w:rPr>
                <w:rFonts w:ascii="Cambria" w:eastAsia="Cambria" w:hAnsi="Cambria" w:cs="Cambria"/>
                <w:sz w:val="20"/>
                <w:szCs w:val="20"/>
              </w:rPr>
            </w:pPr>
            <w:r w:rsidRPr="005D5654">
              <w:rPr>
                <w:rFonts w:ascii="Cambria" w:hAnsi="Cambria"/>
                <w:color w:val="231F20"/>
                <w:sz w:val="20"/>
                <w:szCs w:val="20"/>
              </w:rPr>
              <w:t>15 t</w:t>
            </w:r>
          </w:p>
        </w:tc>
      </w:tr>
    </w:tbl>
    <w:p w14:paraId="31DC6595" w14:textId="77777777" w:rsidR="005D5654" w:rsidRPr="005D5654" w:rsidRDefault="005D5654" w:rsidP="005D5654">
      <w:pPr>
        <w:widowControl/>
        <w:numPr>
          <w:ilvl w:val="1"/>
          <w:numId w:val="3"/>
        </w:numPr>
        <w:tabs>
          <w:tab w:val="left" w:pos="993"/>
        </w:tabs>
        <w:spacing w:after="160" w:line="259" w:lineRule="auto"/>
        <w:ind w:left="993" w:hanging="426"/>
        <w:jc w:val="both"/>
        <w:rPr>
          <w:rFonts w:ascii="Cambria" w:hAnsi="Cambria"/>
          <w:color w:val="231F20"/>
          <w:sz w:val="20"/>
          <w:szCs w:val="20"/>
        </w:rPr>
      </w:pPr>
      <w:r w:rsidRPr="005D5654">
        <w:rPr>
          <w:rFonts w:ascii="Cambria" w:hAnsi="Cambria"/>
          <w:color w:val="231F20"/>
          <w:sz w:val="20"/>
          <w:szCs w:val="20"/>
        </w:rPr>
        <w:lastRenderedPageBreak/>
        <w:t>Tras sustraer las cantidades mencionadas en el párrafo 5 a), el resto del TAC anual se asignará del siguiente modo:</w:t>
      </w:r>
    </w:p>
    <w:tbl>
      <w:tblPr>
        <w:tblW w:w="9066" w:type="dxa"/>
        <w:tblInd w:w="285" w:type="dxa"/>
        <w:tblLayout w:type="fixed"/>
        <w:tblLook w:val="0000" w:firstRow="0" w:lastRow="0" w:firstColumn="0" w:lastColumn="0" w:noHBand="0" w:noVBand="0"/>
      </w:tblPr>
      <w:tblGrid>
        <w:gridCol w:w="2042"/>
        <w:gridCol w:w="1779"/>
        <w:gridCol w:w="1559"/>
        <w:gridCol w:w="2127"/>
        <w:gridCol w:w="1559"/>
      </w:tblGrid>
      <w:tr w:rsidR="005D5654" w:rsidRPr="005D5654" w14:paraId="63E07B6E" w14:textId="77777777" w:rsidTr="00885113">
        <w:trPr>
          <w:trHeight w:val="260"/>
        </w:trPr>
        <w:tc>
          <w:tcPr>
            <w:tcW w:w="2042" w:type="dxa"/>
            <w:tcBorders>
              <w:top w:val="single" w:sz="4" w:space="0" w:color="231F20"/>
              <w:left w:val="single" w:sz="4" w:space="0" w:color="231F20"/>
              <w:bottom w:val="single" w:sz="4" w:space="0" w:color="231F20"/>
              <w:right w:val="single" w:sz="4" w:space="0" w:color="231F20"/>
            </w:tcBorders>
          </w:tcPr>
          <w:p w14:paraId="6F31D839" w14:textId="77777777" w:rsidR="005D5654" w:rsidRPr="005D5654" w:rsidRDefault="005D5654" w:rsidP="005D5654">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6640ED67" w14:textId="77777777" w:rsidR="005D5654" w:rsidRPr="005D5654" w:rsidRDefault="005D5654" w:rsidP="005D5654">
            <w:pPr>
              <w:spacing w:line="213" w:lineRule="auto"/>
              <w:ind w:left="1636"/>
              <w:rPr>
                <w:rFonts w:ascii="Cambria" w:eastAsia="Cambria" w:hAnsi="Cambria" w:cs="Cambria"/>
                <w:sz w:val="20"/>
                <w:szCs w:val="20"/>
              </w:rPr>
            </w:pPr>
            <w:r w:rsidRPr="005D5654">
              <w:rPr>
                <w:rFonts w:ascii="Cambria" w:hAnsi="Cambria"/>
                <w:i/>
                <w:color w:val="231F20"/>
                <w:sz w:val="20"/>
                <w:szCs w:val="20"/>
              </w:rPr>
              <w:t>Si el resto del TAC anual es:</w:t>
            </w:r>
          </w:p>
        </w:tc>
      </w:tr>
      <w:tr w:rsidR="005D5654" w:rsidRPr="005D5654" w14:paraId="6C1B5475" w14:textId="77777777" w:rsidTr="00885113">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5D5654" w:rsidRDefault="005D5654" w:rsidP="005D5654">
            <w:pPr>
              <w:spacing w:line="215" w:lineRule="auto"/>
              <w:ind w:left="96"/>
              <w:rPr>
                <w:rFonts w:ascii="Cambria" w:eastAsia="Cambria" w:hAnsi="Cambria" w:cs="Cambria"/>
                <w:sz w:val="20"/>
                <w:szCs w:val="20"/>
              </w:rPr>
            </w:pPr>
            <w:r w:rsidRPr="005D5654">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5D5654" w:rsidRDefault="005D5654" w:rsidP="005D5654">
            <w:pPr>
              <w:spacing w:before="1" w:line="216" w:lineRule="auto"/>
              <w:ind w:left="662" w:right="472" w:hanging="190"/>
              <w:rPr>
                <w:rFonts w:ascii="Cambria" w:eastAsia="Cambria" w:hAnsi="Cambria" w:cs="Cambria"/>
                <w:sz w:val="20"/>
                <w:szCs w:val="20"/>
              </w:rPr>
            </w:pPr>
            <w:r w:rsidRPr="005D5654">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5D5654" w:rsidRDefault="005D5654" w:rsidP="005D5654">
            <w:pPr>
              <w:spacing w:before="1" w:line="216" w:lineRule="auto"/>
              <w:ind w:left="589" w:right="446" w:hanging="141"/>
              <w:rPr>
                <w:rFonts w:ascii="Cambria" w:eastAsia="Cambria" w:hAnsi="Cambria" w:cs="Cambria"/>
                <w:sz w:val="20"/>
                <w:szCs w:val="20"/>
              </w:rPr>
            </w:pPr>
            <w:r w:rsidRPr="005D5654">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5D5654" w:rsidRDefault="005D5654" w:rsidP="005D5654">
            <w:pPr>
              <w:spacing w:before="1" w:line="216" w:lineRule="auto"/>
              <w:ind w:left="764" w:right="330" w:hanging="433"/>
              <w:rPr>
                <w:rFonts w:ascii="Cambria" w:eastAsia="Cambria" w:hAnsi="Cambria" w:cs="Cambria"/>
                <w:sz w:val="20"/>
                <w:szCs w:val="20"/>
              </w:rPr>
            </w:pPr>
            <w:r w:rsidRPr="005D5654">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5D5654" w:rsidRDefault="005D5654" w:rsidP="005D5654">
            <w:pPr>
              <w:spacing w:before="1" w:line="216" w:lineRule="auto"/>
              <w:ind w:left="530" w:right="339" w:hanging="190"/>
              <w:rPr>
                <w:rFonts w:ascii="Cambria" w:eastAsia="Cambria" w:hAnsi="Cambria" w:cs="Cambria"/>
                <w:sz w:val="20"/>
                <w:szCs w:val="20"/>
              </w:rPr>
            </w:pPr>
            <w:r w:rsidRPr="005D5654">
              <w:rPr>
                <w:rFonts w:ascii="Cambria" w:hAnsi="Cambria"/>
                <w:color w:val="231F20"/>
                <w:sz w:val="20"/>
                <w:szCs w:val="20"/>
              </w:rPr>
              <w:t>&gt;2.660 t (D)</w:t>
            </w:r>
          </w:p>
        </w:tc>
      </w:tr>
      <w:tr w:rsidR="005D5654" w:rsidRPr="005D5654" w14:paraId="66D19869"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6F83FADF" w14:textId="77777777" w:rsidR="005D5654" w:rsidRPr="005D5654" w:rsidRDefault="005D5654" w:rsidP="005D5654">
            <w:pPr>
              <w:spacing w:line="214" w:lineRule="auto"/>
              <w:ind w:left="96"/>
              <w:rPr>
                <w:rFonts w:ascii="Cambria" w:eastAsia="Cambria" w:hAnsi="Cambria" w:cs="Cambria"/>
                <w:sz w:val="20"/>
                <w:szCs w:val="20"/>
              </w:rPr>
            </w:pPr>
            <w:r w:rsidRPr="005D5654">
              <w:rPr>
                <w:rFonts w:ascii="Cambria" w:hAnsi="Cambria"/>
                <w:color w:val="231F20"/>
                <w:sz w:val="20"/>
                <w:szCs w:val="20"/>
              </w:rPr>
              <w:t>Estados Unidos</w:t>
            </w:r>
          </w:p>
        </w:tc>
        <w:tc>
          <w:tcPr>
            <w:tcW w:w="1779" w:type="dxa"/>
            <w:tcBorders>
              <w:top w:val="single" w:sz="4" w:space="0" w:color="231F20"/>
              <w:left w:val="single" w:sz="4" w:space="0" w:color="231F20"/>
              <w:bottom w:val="single" w:sz="4" w:space="0" w:color="231F20"/>
              <w:right w:val="single" w:sz="4" w:space="0" w:color="231F20"/>
            </w:tcBorders>
          </w:tcPr>
          <w:p w14:paraId="353C2C48" w14:textId="77777777" w:rsidR="005D5654" w:rsidRPr="005D5654" w:rsidRDefault="005D5654" w:rsidP="005D5654">
            <w:pPr>
              <w:spacing w:line="214" w:lineRule="auto"/>
              <w:ind w:left="502"/>
              <w:rPr>
                <w:rFonts w:ascii="Cambria" w:eastAsia="Cambria" w:hAnsi="Cambria" w:cs="Cambria"/>
                <w:sz w:val="20"/>
                <w:szCs w:val="20"/>
              </w:rPr>
            </w:pPr>
            <w:r w:rsidRPr="005D5654">
              <w:rPr>
                <w:rFonts w:ascii="Cambria" w:hAnsi="Cambria"/>
                <w:color w:val="231F20"/>
                <w:sz w:val="20"/>
                <w:szCs w:val="20"/>
              </w:rPr>
              <w:t>54,02 %</w:t>
            </w:r>
          </w:p>
        </w:tc>
        <w:tc>
          <w:tcPr>
            <w:tcW w:w="1559" w:type="dxa"/>
            <w:tcBorders>
              <w:top w:val="single" w:sz="4" w:space="0" w:color="231F20"/>
              <w:left w:val="single" w:sz="4" w:space="0" w:color="231F20"/>
              <w:bottom w:val="single" w:sz="4" w:space="0" w:color="231F20"/>
              <w:right w:val="single" w:sz="4" w:space="0" w:color="231F20"/>
            </w:tcBorders>
          </w:tcPr>
          <w:p w14:paraId="607B95F4" w14:textId="77777777" w:rsidR="005D5654" w:rsidRPr="005D5654" w:rsidRDefault="005D5654" w:rsidP="005D5654">
            <w:pPr>
              <w:spacing w:line="214" w:lineRule="auto"/>
              <w:ind w:left="452"/>
              <w:rPr>
                <w:rFonts w:ascii="Cambria" w:eastAsia="Cambria" w:hAnsi="Cambria" w:cs="Cambria"/>
                <w:sz w:val="20"/>
                <w:szCs w:val="20"/>
              </w:rPr>
            </w:pPr>
            <w:r w:rsidRPr="005D5654">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00349CA4" w14:textId="77777777" w:rsidR="005D5654" w:rsidRPr="005D5654" w:rsidRDefault="005D5654" w:rsidP="005D5654">
            <w:pPr>
              <w:spacing w:line="214" w:lineRule="auto"/>
              <w:jc w:val="center"/>
              <w:rPr>
                <w:rFonts w:ascii="Cambria" w:eastAsia="Cambria" w:hAnsi="Cambria" w:cs="Cambria"/>
                <w:sz w:val="20"/>
                <w:szCs w:val="20"/>
              </w:rPr>
            </w:pPr>
            <w:r w:rsidRPr="005D5654">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D6A01BD" w14:textId="77777777" w:rsidR="005D5654" w:rsidRPr="005D5654" w:rsidRDefault="005D5654" w:rsidP="005D5654">
            <w:pPr>
              <w:spacing w:line="214" w:lineRule="auto"/>
              <w:ind w:left="370"/>
              <w:rPr>
                <w:rFonts w:ascii="Cambria" w:eastAsia="Cambria" w:hAnsi="Cambria" w:cs="Cambria"/>
                <w:sz w:val="20"/>
                <w:szCs w:val="20"/>
              </w:rPr>
            </w:pPr>
            <w:r w:rsidRPr="005D5654">
              <w:rPr>
                <w:rFonts w:ascii="Cambria" w:hAnsi="Cambria"/>
                <w:color w:val="231F20"/>
                <w:sz w:val="20"/>
                <w:szCs w:val="20"/>
              </w:rPr>
              <w:t>49,00 %</w:t>
            </w:r>
          </w:p>
        </w:tc>
      </w:tr>
      <w:tr w:rsidR="005D5654" w:rsidRPr="005D5654" w14:paraId="5F550298"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11D0D9D3" w14:textId="77777777" w:rsidR="005D5654" w:rsidRPr="005D5654" w:rsidRDefault="005D5654" w:rsidP="005D5654">
            <w:pPr>
              <w:spacing w:line="214" w:lineRule="auto"/>
              <w:ind w:left="96"/>
              <w:rPr>
                <w:rFonts w:ascii="Cambria" w:eastAsia="Cambria" w:hAnsi="Cambria" w:cs="Cambria"/>
                <w:sz w:val="20"/>
                <w:szCs w:val="20"/>
              </w:rPr>
            </w:pPr>
            <w:r w:rsidRPr="005D5654">
              <w:rPr>
                <w:rFonts w:ascii="Cambria" w:hAnsi="Cambria"/>
                <w:color w:val="231F20"/>
                <w:sz w:val="20"/>
                <w:szCs w:val="20"/>
              </w:rPr>
              <w:t>Canadá</w:t>
            </w:r>
          </w:p>
        </w:tc>
        <w:tc>
          <w:tcPr>
            <w:tcW w:w="1779" w:type="dxa"/>
            <w:tcBorders>
              <w:top w:val="single" w:sz="4" w:space="0" w:color="231F20"/>
              <w:left w:val="single" w:sz="4" w:space="0" w:color="231F20"/>
              <w:bottom w:val="single" w:sz="4" w:space="0" w:color="231F20"/>
              <w:right w:val="single" w:sz="4" w:space="0" w:color="231F20"/>
            </w:tcBorders>
          </w:tcPr>
          <w:p w14:paraId="144139CA" w14:textId="77777777" w:rsidR="005D5654" w:rsidRPr="005D5654" w:rsidRDefault="005D5654" w:rsidP="005D5654">
            <w:pPr>
              <w:spacing w:line="214" w:lineRule="auto"/>
              <w:ind w:left="502"/>
              <w:rPr>
                <w:rFonts w:ascii="Cambria" w:eastAsia="Cambria" w:hAnsi="Cambria" w:cs="Cambria"/>
                <w:sz w:val="20"/>
                <w:szCs w:val="20"/>
              </w:rPr>
            </w:pPr>
            <w:r w:rsidRPr="005D5654">
              <w:rPr>
                <w:rFonts w:ascii="Cambria" w:hAnsi="Cambria"/>
                <w:color w:val="231F20"/>
                <w:sz w:val="20"/>
                <w:szCs w:val="20"/>
              </w:rPr>
              <w:t>22,32 %</w:t>
            </w:r>
          </w:p>
        </w:tc>
        <w:tc>
          <w:tcPr>
            <w:tcW w:w="1559" w:type="dxa"/>
            <w:tcBorders>
              <w:top w:val="single" w:sz="4" w:space="0" w:color="231F20"/>
              <w:left w:val="single" w:sz="4" w:space="0" w:color="231F20"/>
              <w:bottom w:val="single" w:sz="4" w:space="0" w:color="231F20"/>
              <w:right w:val="single" w:sz="4" w:space="0" w:color="231F20"/>
            </w:tcBorders>
          </w:tcPr>
          <w:p w14:paraId="2552AE76" w14:textId="77777777" w:rsidR="005D5654" w:rsidRPr="005D5654" w:rsidRDefault="005D5654" w:rsidP="005D5654">
            <w:pPr>
              <w:spacing w:line="214" w:lineRule="auto"/>
              <w:ind w:left="1"/>
              <w:jc w:val="center"/>
              <w:rPr>
                <w:rFonts w:ascii="Cambria" w:eastAsia="Cambria" w:hAnsi="Cambria" w:cs="Cambria"/>
                <w:sz w:val="20"/>
                <w:szCs w:val="20"/>
              </w:rPr>
            </w:pPr>
            <w:r w:rsidRPr="005D5654">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6FFBA18E" w14:textId="77777777" w:rsidR="005D5654" w:rsidRPr="005D5654" w:rsidRDefault="005D5654" w:rsidP="005D5654">
            <w:pPr>
              <w:spacing w:line="214" w:lineRule="auto"/>
              <w:ind w:left="1"/>
              <w:jc w:val="center"/>
              <w:rPr>
                <w:rFonts w:ascii="Cambria" w:eastAsia="Cambria" w:hAnsi="Cambria" w:cs="Cambria"/>
                <w:sz w:val="20"/>
                <w:szCs w:val="20"/>
              </w:rPr>
            </w:pPr>
            <w:r w:rsidRPr="005D5654">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2371C9BC" w14:textId="77777777" w:rsidR="005D5654" w:rsidRPr="005D5654" w:rsidRDefault="005D5654" w:rsidP="005D5654">
            <w:pPr>
              <w:spacing w:line="214" w:lineRule="auto"/>
              <w:ind w:left="370"/>
              <w:rPr>
                <w:rFonts w:ascii="Cambria" w:eastAsia="Cambria" w:hAnsi="Cambria" w:cs="Cambria"/>
                <w:sz w:val="20"/>
                <w:szCs w:val="20"/>
              </w:rPr>
            </w:pPr>
            <w:r w:rsidRPr="005D5654">
              <w:rPr>
                <w:rFonts w:ascii="Cambria" w:hAnsi="Cambria"/>
                <w:color w:val="231F20"/>
                <w:sz w:val="20"/>
                <w:szCs w:val="20"/>
              </w:rPr>
              <w:t>20,24 %</w:t>
            </w:r>
          </w:p>
        </w:tc>
      </w:tr>
      <w:tr w:rsidR="005D5654" w:rsidRPr="005D5654" w14:paraId="165FBC7A" w14:textId="77777777" w:rsidTr="00885113">
        <w:trPr>
          <w:trHeight w:val="800"/>
        </w:trPr>
        <w:tc>
          <w:tcPr>
            <w:tcW w:w="2042" w:type="dxa"/>
            <w:tcBorders>
              <w:top w:val="single" w:sz="4" w:space="0" w:color="231F20"/>
              <w:left w:val="single" w:sz="4" w:space="0" w:color="231F20"/>
              <w:bottom w:val="single" w:sz="4" w:space="0" w:color="231F20"/>
              <w:right w:val="single" w:sz="4" w:space="0" w:color="231F20"/>
            </w:tcBorders>
          </w:tcPr>
          <w:p w14:paraId="5B515E21" w14:textId="77777777" w:rsidR="005D5654" w:rsidRPr="005D5654" w:rsidRDefault="005D5654" w:rsidP="005D5654">
            <w:pPr>
              <w:spacing w:before="4"/>
              <w:rPr>
                <w:rFonts w:ascii="Cambria" w:eastAsia="Cambria" w:hAnsi="Cambria" w:cs="Cambria"/>
                <w:sz w:val="20"/>
                <w:szCs w:val="20"/>
              </w:rPr>
            </w:pPr>
          </w:p>
          <w:p w14:paraId="5B94FAD1" w14:textId="77777777" w:rsidR="005D5654" w:rsidRPr="005D5654" w:rsidRDefault="005D5654" w:rsidP="005D5654">
            <w:pPr>
              <w:ind w:left="96"/>
              <w:rPr>
                <w:rFonts w:ascii="Cambria" w:eastAsia="Cambria" w:hAnsi="Cambria" w:cs="Cambria"/>
                <w:sz w:val="20"/>
                <w:szCs w:val="20"/>
              </w:rPr>
            </w:pPr>
            <w:r w:rsidRPr="005D5654">
              <w:rPr>
                <w:rFonts w:ascii="Cambria" w:hAnsi="Cambria"/>
                <w:color w:val="231F20"/>
                <w:sz w:val="20"/>
                <w:szCs w:val="20"/>
              </w:rPr>
              <w:t>Japón</w:t>
            </w:r>
          </w:p>
        </w:tc>
        <w:tc>
          <w:tcPr>
            <w:tcW w:w="1779" w:type="dxa"/>
            <w:tcBorders>
              <w:top w:val="single" w:sz="4" w:space="0" w:color="231F20"/>
              <w:left w:val="single" w:sz="4" w:space="0" w:color="231F20"/>
              <w:bottom w:val="single" w:sz="4" w:space="0" w:color="231F20"/>
              <w:right w:val="single" w:sz="4" w:space="0" w:color="231F20"/>
            </w:tcBorders>
          </w:tcPr>
          <w:p w14:paraId="7D67142A" w14:textId="77777777" w:rsidR="005D5654" w:rsidRPr="005D5654" w:rsidRDefault="005D5654" w:rsidP="005D5654">
            <w:pPr>
              <w:spacing w:before="4"/>
              <w:rPr>
                <w:rFonts w:ascii="Cambria" w:eastAsia="Cambria" w:hAnsi="Cambria" w:cs="Cambria"/>
                <w:sz w:val="20"/>
                <w:szCs w:val="20"/>
              </w:rPr>
            </w:pPr>
          </w:p>
          <w:p w14:paraId="767D9334" w14:textId="77777777" w:rsidR="005D5654" w:rsidRPr="005D5654" w:rsidRDefault="005D5654" w:rsidP="005D5654">
            <w:pPr>
              <w:ind w:left="502"/>
              <w:rPr>
                <w:rFonts w:ascii="Cambria" w:eastAsia="Cambria" w:hAnsi="Cambria" w:cs="Cambria"/>
                <w:sz w:val="20"/>
                <w:szCs w:val="20"/>
              </w:rPr>
            </w:pPr>
            <w:r w:rsidRPr="005D5654">
              <w:rPr>
                <w:rFonts w:ascii="Cambria" w:hAnsi="Cambria"/>
                <w:color w:val="231F20"/>
                <w:sz w:val="20"/>
                <w:szCs w:val="20"/>
              </w:rPr>
              <w:t>17,64 %</w:t>
            </w:r>
          </w:p>
        </w:tc>
        <w:tc>
          <w:tcPr>
            <w:tcW w:w="1559" w:type="dxa"/>
            <w:tcBorders>
              <w:top w:val="single" w:sz="4" w:space="0" w:color="231F20"/>
              <w:left w:val="single" w:sz="4" w:space="0" w:color="231F20"/>
              <w:bottom w:val="single" w:sz="4" w:space="0" w:color="231F20"/>
              <w:right w:val="single" w:sz="4" w:space="0" w:color="231F20"/>
            </w:tcBorders>
          </w:tcPr>
          <w:p w14:paraId="4A852D26" w14:textId="77777777" w:rsidR="005D5654" w:rsidRPr="005D5654" w:rsidRDefault="005D5654" w:rsidP="005D5654">
            <w:pPr>
              <w:spacing w:before="4"/>
              <w:rPr>
                <w:rFonts w:ascii="Cambria" w:eastAsia="Cambria" w:hAnsi="Cambria" w:cs="Cambria"/>
                <w:sz w:val="20"/>
                <w:szCs w:val="20"/>
              </w:rPr>
            </w:pPr>
          </w:p>
          <w:p w14:paraId="7221DD00" w14:textId="77777777" w:rsidR="005D5654" w:rsidRPr="005D5654" w:rsidRDefault="005D5654" w:rsidP="005D5654">
            <w:pPr>
              <w:ind w:left="1"/>
              <w:jc w:val="center"/>
              <w:rPr>
                <w:rFonts w:ascii="Cambria" w:eastAsia="Cambria" w:hAnsi="Cambria" w:cs="Cambria"/>
                <w:sz w:val="20"/>
                <w:szCs w:val="20"/>
              </w:rPr>
            </w:pPr>
            <w:r w:rsidRPr="005D5654">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18282CCF" w14:textId="77777777" w:rsidR="005D5654" w:rsidRPr="005D5654" w:rsidRDefault="005D5654" w:rsidP="005D5654">
            <w:pPr>
              <w:spacing w:line="237" w:lineRule="auto"/>
              <w:ind w:left="136" w:right="135"/>
              <w:jc w:val="center"/>
              <w:rPr>
                <w:rFonts w:ascii="Cambria" w:eastAsia="Cambria" w:hAnsi="Cambria" w:cs="Cambria"/>
                <w:color w:val="231F20"/>
                <w:sz w:val="20"/>
                <w:szCs w:val="20"/>
              </w:rPr>
            </w:pPr>
            <w:r w:rsidRPr="005D5654">
              <w:rPr>
                <w:rFonts w:ascii="Cambria" w:hAnsi="Cambria"/>
                <w:color w:val="231F20"/>
                <w:sz w:val="20"/>
                <w:szCs w:val="20"/>
              </w:rPr>
              <w:t xml:space="preserve">426 t + </w:t>
            </w:r>
          </w:p>
          <w:p w14:paraId="584BB293" w14:textId="77777777" w:rsidR="005D5654" w:rsidRPr="005D5654" w:rsidRDefault="005D5654" w:rsidP="005D5654">
            <w:pPr>
              <w:spacing w:line="237" w:lineRule="auto"/>
              <w:ind w:left="136" w:right="135"/>
              <w:jc w:val="center"/>
              <w:rPr>
                <w:rFonts w:ascii="Cambria" w:eastAsia="Cambria" w:hAnsi="Cambria" w:cs="Cambria"/>
                <w:color w:val="231F20"/>
                <w:sz w:val="20"/>
                <w:szCs w:val="20"/>
              </w:rPr>
            </w:pPr>
            <w:r w:rsidRPr="005D5654">
              <w:rPr>
                <w:rFonts w:ascii="Cambria" w:hAnsi="Cambria"/>
                <w:color w:val="231F20"/>
                <w:sz w:val="20"/>
                <w:szCs w:val="20"/>
              </w:rPr>
              <w:t xml:space="preserve">todo incremento entre </w:t>
            </w:r>
          </w:p>
          <w:p w14:paraId="6B0EA623" w14:textId="77777777" w:rsidR="005D5654" w:rsidRPr="005D5654" w:rsidRDefault="005D5654" w:rsidP="005D5654">
            <w:pPr>
              <w:spacing w:line="237" w:lineRule="auto"/>
              <w:ind w:left="136" w:right="135"/>
              <w:jc w:val="center"/>
              <w:rPr>
                <w:rFonts w:ascii="Cambria" w:eastAsia="Cambria" w:hAnsi="Cambria" w:cs="Cambria"/>
                <w:sz w:val="20"/>
                <w:szCs w:val="20"/>
              </w:rPr>
            </w:pPr>
            <w:r w:rsidRPr="005D5654">
              <w:rPr>
                <w:rFonts w:ascii="Cambria" w:hAnsi="Cambria"/>
                <w:color w:val="231F20"/>
                <w:sz w:val="20"/>
                <w:szCs w:val="20"/>
              </w:rPr>
              <w:t>2.413 t y 2.660 t</w:t>
            </w:r>
          </w:p>
        </w:tc>
        <w:tc>
          <w:tcPr>
            <w:tcW w:w="1559" w:type="dxa"/>
            <w:tcBorders>
              <w:top w:val="single" w:sz="4" w:space="0" w:color="231F20"/>
              <w:left w:val="single" w:sz="4" w:space="0" w:color="231F20"/>
              <w:bottom w:val="single" w:sz="4" w:space="0" w:color="231F20"/>
              <w:right w:val="single" w:sz="4" w:space="0" w:color="231F20"/>
            </w:tcBorders>
          </w:tcPr>
          <w:p w14:paraId="2C088CC5" w14:textId="77777777" w:rsidR="005D5654" w:rsidRPr="005D5654" w:rsidRDefault="005D5654" w:rsidP="005D5654">
            <w:pPr>
              <w:spacing w:before="4"/>
              <w:rPr>
                <w:rFonts w:ascii="Cambria" w:eastAsia="Cambria" w:hAnsi="Cambria" w:cs="Cambria"/>
                <w:sz w:val="20"/>
                <w:szCs w:val="20"/>
              </w:rPr>
            </w:pPr>
          </w:p>
          <w:p w14:paraId="5F0D2560" w14:textId="77777777" w:rsidR="005D5654" w:rsidRPr="005D5654" w:rsidRDefault="005D5654" w:rsidP="005D5654">
            <w:pPr>
              <w:ind w:left="370"/>
              <w:rPr>
                <w:rFonts w:ascii="Cambria" w:eastAsia="Cambria" w:hAnsi="Cambria" w:cs="Cambria"/>
                <w:sz w:val="20"/>
                <w:szCs w:val="20"/>
              </w:rPr>
            </w:pPr>
            <w:r w:rsidRPr="005D5654">
              <w:rPr>
                <w:rFonts w:ascii="Cambria" w:hAnsi="Cambria"/>
                <w:color w:val="231F20"/>
                <w:sz w:val="20"/>
                <w:szCs w:val="20"/>
              </w:rPr>
              <w:t>24,74 %</w:t>
            </w:r>
          </w:p>
        </w:tc>
      </w:tr>
      <w:tr w:rsidR="005D5654" w:rsidRPr="005D5654" w14:paraId="69F32DF3" w14:textId="77777777" w:rsidTr="00885113">
        <w:trPr>
          <w:trHeight w:val="700"/>
        </w:trPr>
        <w:tc>
          <w:tcPr>
            <w:tcW w:w="2042" w:type="dxa"/>
            <w:tcBorders>
              <w:top w:val="single" w:sz="4" w:space="0" w:color="231F20"/>
              <w:left w:val="single" w:sz="4" w:space="0" w:color="231F20"/>
              <w:bottom w:val="single" w:sz="4" w:space="0" w:color="231F20"/>
              <w:right w:val="single" w:sz="4" w:space="0" w:color="231F20"/>
            </w:tcBorders>
          </w:tcPr>
          <w:p w14:paraId="71CE5DAC" w14:textId="77777777" w:rsidR="005D5654" w:rsidRPr="005D5654" w:rsidRDefault="005D5654" w:rsidP="005D5654">
            <w:pPr>
              <w:spacing w:line="238" w:lineRule="auto"/>
              <w:ind w:left="96" w:right="397"/>
              <w:rPr>
                <w:rFonts w:ascii="Cambria" w:eastAsia="Cambria" w:hAnsi="Cambria" w:cs="Cambria"/>
                <w:sz w:val="20"/>
                <w:szCs w:val="20"/>
              </w:rPr>
            </w:pPr>
            <w:r w:rsidRPr="005D5654">
              <w:rPr>
                <w:rFonts w:ascii="Cambria" w:hAnsi="Cambria"/>
                <w:color w:val="231F20"/>
                <w:sz w:val="20"/>
                <w:szCs w:val="20"/>
              </w:rPr>
              <w:t>Reino Unido (por Bermudas)</w:t>
            </w:r>
          </w:p>
        </w:tc>
        <w:tc>
          <w:tcPr>
            <w:tcW w:w="1779" w:type="dxa"/>
            <w:tcBorders>
              <w:top w:val="single" w:sz="4" w:space="0" w:color="231F20"/>
              <w:left w:val="single" w:sz="4" w:space="0" w:color="231F20"/>
              <w:bottom w:val="single" w:sz="4" w:space="0" w:color="231F20"/>
              <w:right w:val="single" w:sz="4" w:space="0" w:color="231F20"/>
            </w:tcBorders>
          </w:tcPr>
          <w:p w14:paraId="14EC8905" w14:textId="77777777" w:rsidR="005D5654" w:rsidRPr="005D5654" w:rsidRDefault="005D5654" w:rsidP="005D5654">
            <w:pPr>
              <w:spacing w:before="102"/>
              <w:jc w:val="center"/>
              <w:rPr>
                <w:rFonts w:ascii="Cambria" w:eastAsia="Cambria" w:hAnsi="Cambria" w:cs="Cambria"/>
                <w:sz w:val="20"/>
                <w:szCs w:val="20"/>
              </w:rPr>
            </w:pPr>
            <w:r w:rsidRPr="005D5654">
              <w:rPr>
                <w:rFonts w:ascii="Cambria" w:hAnsi="Cambria"/>
                <w:color w:val="231F20"/>
                <w:sz w:val="20"/>
                <w:szCs w:val="20"/>
              </w:rPr>
              <w:t>0,23 %</w:t>
            </w:r>
          </w:p>
        </w:tc>
        <w:tc>
          <w:tcPr>
            <w:tcW w:w="1559" w:type="dxa"/>
            <w:tcBorders>
              <w:top w:val="single" w:sz="4" w:space="0" w:color="231F20"/>
              <w:left w:val="single" w:sz="4" w:space="0" w:color="231F20"/>
              <w:bottom w:val="single" w:sz="4" w:space="0" w:color="231F20"/>
              <w:right w:val="single" w:sz="4" w:space="0" w:color="231F20"/>
            </w:tcBorders>
          </w:tcPr>
          <w:p w14:paraId="51515045" w14:textId="77777777" w:rsidR="005D5654" w:rsidRPr="005D5654" w:rsidRDefault="005D5654" w:rsidP="005D5654">
            <w:pPr>
              <w:spacing w:before="102"/>
              <w:ind w:left="547"/>
              <w:rPr>
                <w:rFonts w:ascii="Cambria" w:eastAsia="Cambria" w:hAnsi="Cambria" w:cs="Cambria"/>
                <w:sz w:val="20"/>
                <w:szCs w:val="20"/>
              </w:rPr>
            </w:pPr>
            <w:r w:rsidRPr="005D5654">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37813D89" w14:textId="77777777" w:rsidR="005D5654" w:rsidRPr="005D5654" w:rsidRDefault="005D5654" w:rsidP="005D5654">
            <w:pPr>
              <w:spacing w:before="102"/>
              <w:ind w:left="728"/>
              <w:rPr>
                <w:rFonts w:ascii="Cambria" w:eastAsia="Cambria" w:hAnsi="Cambria" w:cs="Cambria"/>
                <w:sz w:val="20"/>
                <w:szCs w:val="20"/>
              </w:rPr>
            </w:pPr>
            <w:r w:rsidRPr="005D5654">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74227BC5" w14:textId="77777777" w:rsidR="005D5654" w:rsidRPr="005D5654" w:rsidRDefault="005D5654" w:rsidP="005D5654">
            <w:pPr>
              <w:spacing w:before="102"/>
              <w:ind w:left="417"/>
              <w:rPr>
                <w:rFonts w:ascii="Cambria" w:eastAsia="Cambria" w:hAnsi="Cambria" w:cs="Cambria"/>
                <w:sz w:val="20"/>
                <w:szCs w:val="20"/>
              </w:rPr>
            </w:pPr>
            <w:r w:rsidRPr="005D5654">
              <w:rPr>
                <w:rFonts w:ascii="Cambria" w:hAnsi="Cambria"/>
                <w:color w:val="231F20"/>
                <w:sz w:val="20"/>
                <w:szCs w:val="20"/>
              </w:rPr>
              <w:t>0,23 %</w:t>
            </w:r>
          </w:p>
        </w:tc>
      </w:tr>
      <w:tr w:rsidR="005D5654" w:rsidRPr="005D5654" w14:paraId="456BF16E" w14:textId="77777777" w:rsidTr="00885113">
        <w:trPr>
          <w:trHeight w:val="700"/>
        </w:trPr>
        <w:tc>
          <w:tcPr>
            <w:tcW w:w="2042" w:type="dxa"/>
            <w:tcBorders>
              <w:top w:val="single" w:sz="4" w:space="0" w:color="231F20"/>
              <w:left w:val="single" w:sz="4" w:space="0" w:color="231F20"/>
              <w:bottom w:val="single" w:sz="4" w:space="0" w:color="231F20"/>
              <w:right w:val="single" w:sz="4" w:space="0" w:color="231F20"/>
            </w:tcBorders>
          </w:tcPr>
          <w:p w14:paraId="3136A702" w14:textId="77777777" w:rsidR="005D5654" w:rsidRPr="005D5654" w:rsidRDefault="005D5654" w:rsidP="005D5654">
            <w:pPr>
              <w:spacing w:line="216" w:lineRule="auto"/>
              <w:ind w:left="96" w:right="128"/>
              <w:rPr>
                <w:rFonts w:ascii="Cambria" w:eastAsia="Cambria" w:hAnsi="Cambria" w:cs="Cambria"/>
                <w:sz w:val="20"/>
                <w:szCs w:val="20"/>
              </w:rPr>
            </w:pPr>
            <w:r w:rsidRPr="005D5654">
              <w:rPr>
                <w:rFonts w:ascii="Cambria" w:hAnsi="Cambria"/>
                <w:color w:val="231F20"/>
                <w:sz w:val="20"/>
                <w:szCs w:val="20"/>
              </w:rPr>
              <w:t>Francia (por San Pedro y Miquelón)</w:t>
            </w:r>
          </w:p>
        </w:tc>
        <w:tc>
          <w:tcPr>
            <w:tcW w:w="1779" w:type="dxa"/>
            <w:tcBorders>
              <w:top w:val="single" w:sz="4" w:space="0" w:color="231F20"/>
              <w:left w:val="single" w:sz="4" w:space="0" w:color="231F20"/>
              <w:bottom w:val="single" w:sz="4" w:space="0" w:color="231F20"/>
              <w:right w:val="single" w:sz="4" w:space="0" w:color="231F20"/>
            </w:tcBorders>
          </w:tcPr>
          <w:p w14:paraId="18B1C881" w14:textId="77777777" w:rsidR="005D5654" w:rsidRPr="005D5654" w:rsidRDefault="005D5654" w:rsidP="005D5654">
            <w:pPr>
              <w:spacing w:before="103"/>
              <w:jc w:val="center"/>
              <w:rPr>
                <w:rFonts w:ascii="Cambria" w:eastAsia="Cambria" w:hAnsi="Cambria" w:cs="Cambria"/>
                <w:sz w:val="20"/>
                <w:szCs w:val="20"/>
              </w:rPr>
            </w:pPr>
            <w:r w:rsidRPr="005D5654">
              <w:rPr>
                <w:rFonts w:ascii="Cambria" w:hAnsi="Cambria"/>
                <w:color w:val="231F20"/>
                <w:sz w:val="20"/>
                <w:szCs w:val="20"/>
              </w:rPr>
              <w:t>0,23 %</w:t>
            </w:r>
          </w:p>
        </w:tc>
        <w:tc>
          <w:tcPr>
            <w:tcW w:w="1559" w:type="dxa"/>
            <w:tcBorders>
              <w:top w:val="single" w:sz="4" w:space="0" w:color="231F20"/>
              <w:left w:val="single" w:sz="4" w:space="0" w:color="231F20"/>
              <w:bottom w:val="single" w:sz="4" w:space="0" w:color="231F20"/>
              <w:right w:val="single" w:sz="4" w:space="0" w:color="231F20"/>
            </w:tcBorders>
          </w:tcPr>
          <w:p w14:paraId="7765A8FE" w14:textId="77777777" w:rsidR="005D5654" w:rsidRPr="005D5654" w:rsidRDefault="005D5654" w:rsidP="005D5654">
            <w:pPr>
              <w:spacing w:before="103"/>
              <w:ind w:left="547"/>
              <w:rPr>
                <w:rFonts w:ascii="Cambria" w:eastAsia="Cambria" w:hAnsi="Cambria" w:cs="Cambria"/>
                <w:sz w:val="20"/>
                <w:szCs w:val="20"/>
              </w:rPr>
            </w:pPr>
            <w:r w:rsidRPr="005D5654">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tcPr>
          <w:p w14:paraId="121117F4" w14:textId="77777777" w:rsidR="005D5654" w:rsidRPr="005D5654" w:rsidRDefault="005D5654" w:rsidP="005D5654">
            <w:pPr>
              <w:spacing w:before="103"/>
              <w:ind w:left="728"/>
              <w:rPr>
                <w:rFonts w:ascii="Cambria" w:eastAsia="Cambria" w:hAnsi="Cambria" w:cs="Cambria"/>
                <w:sz w:val="20"/>
                <w:szCs w:val="20"/>
              </w:rPr>
            </w:pPr>
            <w:r w:rsidRPr="005D5654">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tcPr>
          <w:p w14:paraId="34D0B2E6" w14:textId="77777777" w:rsidR="005D5654" w:rsidRPr="005D5654" w:rsidRDefault="005D5654" w:rsidP="005D5654">
            <w:pPr>
              <w:spacing w:before="103"/>
              <w:ind w:left="417"/>
              <w:rPr>
                <w:rFonts w:ascii="Cambria" w:eastAsia="Cambria" w:hAnsi="Cambria" w:cs="Cambria"/>
                <w:sz w:val="20"/>
                <w:szCs w:val="20"/>
              </w:rPr>
            </w:pPr>
            <w:r w:rsidRPr="005D5654">
              <w:rPr>
                <w:rFonts w:ascii="Cambria" w:hAnsi="Cambria"/>
                <w:color w:val="231F20"/>
                <w:sz w:val="20"/>
                <w:szCs w:val="20"/>
              </w:rPr>
              <w:t>0,23 %</w:t>
            </w:r>
          </w:p>
        </w:tc>
      </w:tr>
      <w:tr w:rsidR="005D5654" w:rsidRPr="005D5654" w14:paraId="5551D091" w14:textId="77777777" w:rsidTr="00885113">
        <w:trPr>
          <w:trHeight w:val="220"/>
        </w:trPr>
        <w:tc>
          <w:tcPr>
            <w:tcW w:w="2042" w:type="dxa"/>
            <w:tcBorders>
              <w:top w:val="single" w:sz="4" w:space="0" w:color="231F20"/>
              <w:left w:val="single" w:sz="4" w:space="0" w:color="231F20"/>
              <w:bottom w:val="single" w:sz="4" w:space="0" w:color="231F20"/>
              <w:right w:val="single" w:sz="4" w:space="0" w:color="231F20"/>
            </w:tcBorders>
          </w:tcPr>
          <w:p w14:paraId="5919D490" w14:textId="77777777" w:rsidR="005D5654" w:rsidRPr="005D5654" w:rsidRDefault="005D5654" w:rsidP="005D5654">
            <w:pPr>
              <w:spacing w:line="213" w:lineRule="auto"/>
              <w:ind w:left="96"/>
              <w:rPr>
                <w:rFonts w:ascii="Cambria" w:eastAsia="Cambria" w:hAnsi="Cambria" w:cs="Cambria"/>
                <w:sz w:val="20"/>
                <w:szCs w:val="20"/>
              </w:rPr>
            </w:pPr>
            <w:r w:rsidRPr="005D5654">
              <w:rPr>
                <w:rFonts w:ascii="Cambria" w:hAnsi="Cambria"/>
                <w:color w:val="231F20"/>
                <w:sz w:val="20"/>
                <w:szCs w:val="20"/>
              </w:rPr>
              <w:t>México</w:t>
            </w:r>
          </w:p>
        </w:tc>
        <w:tc>
          <w:tcPr>
            <w:tcW w:w="1779" w:type="dxa"/>
            <w:tcBorders>
              <w:top w:val="single" w:sz="4" w:space="0" w:color="231F20"/>
              <w:left w:val="single" w:sz="4" w:space="0" w:color="231F20"/>
              <w:bottom w:val="single" w:sz="4" w:space="0" w:color="231F20"/>
              <w:right w:val="single" w:sz="4" w:space="0" w:color="231F20"/>
            </w:tcBorders>
          </w:tcPr>
          <w:p w14:paraId="4EFC7CB7" w14:textId="77777777" w:rsidR="005D5654" w:rsidRPr="005D5654" w:rsidRDefault="005D5654" w:rsidP="005D5654">
            <w:pPr>
              <w:spacing w:line="213" w:lineRule="auto"/>
              <w:jc w:val="center"/>
              <w:rPr>
                <w:rFonts w:ascii="Cambria" w:eastAsia="Cambria" w:hAnsi="Cambria" w:cs="Cambria"/>
                <w:sz w:val="20"/>
                <w:szCs w:val="20"/>
              </w:rPr>
            </w:pPr>
            <w:r w:rsidRPr="005D5654">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tcPr>
          <w:p w14:paraId="4749619B" w14:textId="77777777" w:rsidR="005D5654" w:rsidRPr="005D5654" w:rsidRDefault="005D5654" w:rsidP="005D5654">
            <w:pPr>
              <w:spacing w:line="213" w:lineRule="auto"/>
              <w:ind w:left="1"/>
              <w:jc w:val="center"/>
              <w:rPr>
                <w:rFonts w:ascii="Cambria" w:eastAsia="Cambria" w:hAnsi="Cambria" w:cs="Cambria"/>
                <w:sz w:val="20"/>
                <w:szCs w:val="20"/>
              </w:rPr>
            </w:pPr>
            <w:r w:rsidRPr="005D5654">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tcPr>
          <w:p w14:paraId="65324B14" w14:textId="77777777" w:rsidR="005D5654" w:rsidRPr="005D5654" w:rsidRDefault="005D5654" w:rsidP="005D5654">
            <w:pPr>
              <w:spacing w:line="213" w:lineRule="auto"/>
              <w:ind w:left="1"/>
              <w:jc w:val="center"/>
              <w:rPr>
                <w:rFonts w:ascii="Cambria" w:eastAsia="Cambria" w:hAnsi="Cambria" w:cs="Cambria"/>
                <w:sz w:val="20"/>
                <w:szCs w:val="20"/>
              </w:rPr>
            </w:pPr>
            <w:r w:rsidRPr="005D5654">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tcPr>
          <w:p w14:paraId="55771AF3" w14:textId="77777777" w:rsidR="005D5654" w:rsidRPr="005D5654" w:rsidRDefault="005D5654" w:rsidP="005D5654">
            <w:pPr>
              <w:spacing w:line="213" w:lineRule="auto"/>
              <w:ind w:left="417"/>
              <w:rPr>
                <w:rFonts w:ascii="Cambria" w:eastAsia="Cambria" w:hAnsi="Cambria" w:cs="Cambria"/>
                <w:sz w:val="20"/>
                <w:szCs w:val="20"/>
              </w:rPr>
            </w:pPr>
            <w:r w:rsidRPr="005D5654">
              <w:rPr>
                <w:rFonts w:ascii="Cambria" w:hAnsi="Cambria"/>
                <w:color w:val="231F20"/>
                <w:sz w:val="20"/>
                <w:szCs w:val="20"/>
              </w:rPr>
              <w:t>5,56 %</w:t>
            </w:r>
          </w:p>
        </w:tc>
      </w:tr>
    </w:tbl>
    <w:p w14:paraId="3EBB20EB" w14:textId="77777777" w:rsidR="005D5654" w:rsidRPr="005D5654" w:rsidRDefault="005D5654" w:rsidP="005D5654">
      <w:pPr>
        <w:spacing w:line="213" w:lineRule="auto"/>
        <w:rPr>
          <w:rFonts w:ascii="Cambria" w:eastAsia="Cambria" w:hAnsi="Cambria" w:cs="Cambria"/>
          <w:sz w:val="20"/>
          <w:szCs w:val="20"/>
        </w:rPr>
      </w:pPr>
    </w:p>
    <w:p w14:paraId="2BEAB3D6" w14:textId="77777777" w:rsidR="005D5654" w:rsidRPr="005D5654"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5D5654">
        <w:rPr>
          <w:rFonts w:ascii="Cambria" w:hAnsi="Cambria"/>
          <w:color w:val="231F20"/>
          <w:sz w:val="20"/>
          <w:szCs w:val="20"/>
        </w:rPr>
        <w:t>De conformidad con los párrafos 1, 3 y 5 b), los TAC anuales para 2023-2025 darán lugar a las siguientes asignaciones de cuota específicas de cada CPC, sin incluir la tolerancia para captura fortuita mencionada en el párrafo 5 a):</w:t>
      </w:r>
    </w:p>
    <w:p w14:paraId="6601D1C3" w14:textId="77777777" w:rsidR="005D5654" w:rsidRPr="005D5654" w:rsidRDefault="005D5654" w:rsidP="005D5654">
      <w:pPr>
        <w:ind w:left="1722"/>
        <w:rPr>
          <w:rFonts w:ascii="Cambria" w:eastAsia="Cambria" w:hAnsi="Cambria" w:cs="Cambria"/>
          <w:sz w:val="20"/>
          <w:szCs w:val="20"/>
        </w:rPr>
      </w:pPr>
    </w:p>
    <w:p w14:paraId="6ED90871" w14:textId="77777777" w:rsidR="005D5654" w:rsidRPr="005D5654" w:rsidRDefault="005D5654" w:rsidP="005D5654">
      <w:pPr>
        <w:tabs>
          <w:tab w:val="left" w:pos="4621"/>
        </w:tabs>
        <w:spacing w:before="28"/>
        <w:ind w:left="1"/>
        <w:jc w:val="center"/>
        <w:rPr>
          <w:rFonts w:ascii="Cambria" w:hAnsi="Cambria"/>
          <w:i/>
          <w:color w:val="231F20"/>
          <w:sz w:val="20"/>
          <w:szCs w:val="20"/>
        </w:rPr>
      </w:pPr>
      <w:r w:rsidRPr="005D5654">
        <w:rPr>
          <w:rFonts w:ascii="Cambria" w:hAnsi="Cambria"/>
          <w:i/>
          <w:color w:val="231F20"/>
          <w:sz w:val="20"/>
          <w:szCs w:val="20"/>
        </w:rPr>
        <w:t xml:space="preserve">TAC </w:t>
      </w:r>
      <w:r w:rsidRPr="005D5654">
        <w:rPr>
          <w:rFonts w:ascii="Cambria" w:hAnsi="Cambria"/>
          <w:i/>
          <w:iCs/>
          <w:color w:val="231F20"/>
          <w:sz w:val="20"/>
          <w:szCs w:val="20"/>
        </w:rPr>
        <w:t>anual</w:t>
      </w:r>
      <w:r w:rsidRPr="005D5654">
        <w:rPr>
          <w:rFonts w:ascii="Cambria" w:hAnsi="Cambria"/>
          <w:i/>
          <w:color w:val="231F20"/>
          <w:sz w:val="20"/>
          <w:szCs w:val="20"/>
        </w:rPr>
        <w:t xml:space="preserve"> para </w:t>
      </w:r>
      <w:r w:rsidRPr="005D5654">
        <w:rPr>
          <w:rFonts w:ascii="Cambria" w:hAnsi="Cambria"/>
          <w:i/>
          <w:iCs/>
          <w:color w:val="231F20"/>
          <w:sz w:val="20"/>
          <w:szCs w:val="20"/>
        </w:rPr>
        <w:t>2023-2025</w:t>
      </w:r>
      <w:r w:rsidRPr="005D5654">
        <w:rPr>
          <w:rFonts w:ascii="Cambria" w:hAnsi="Cambria"/>
          <w:i/>
          <w:color w:val="231F20"/>
          <w:sz w:val="20"/>
          <w:szCs w:val="20"/>
        </w:rPr>
        <w:t>: 2.726 t</w:t>
      </w:r>
    </w:p>
    <w:p w14:paraId="1725D8C1" w14:textId="77777777" w:rsidR="005D5654" w:rsidRPr="005D5654" w:rsidRDefault="005D5654" w:rsidP="005D5654">
      <w:pPr>
        <w:tabs>
          <w:tab w:val="left" w:pos="4621"/>
        </w:tabs>
        <w:spacing w:before="28"/>
        <w:ind w:left="1"/>
        <w:jc w:val="center"/>
        <w:rPr>
          <w:rFonts w:ascii="Cambria" w:eastAsia="Cambria" w:hAnsi="Cambria" w:cs="Cambria"/>
          <w:i/>
          <w:color w:val="231F20"/>
          <w:sz w:val="20"/>
          <w:szCs w:val="20"/>
        </w:rPr>
      </w:pPr>
    </w:p>
    <w:p w14:paraId="21F927C7"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eastAsia="Cambria" w:hAnsi="Cambria" w:cs="Cambria"/>
          <w:sz w:val="20"/>
          <w:szCs w:val="20"/>
        </w:rPr>
      </w:pPr>
      <w:r w:rsidRPr="005D5654">
        <w:rPr>
          <w:rFonts w:ascii="Cambria" w:hAnsi="Cambria"/>
          <w:color w:val="231F20"/>
          <w:sz w:val="20"/>
          <w:szCs w:val="20"/>
        </w:rPr>
        <w:tab/>
        <w:t>Estados Unidos</w:t>
      </w:r>
      <w:r w:rsidRPr="005D5654">
        <w:rPr>
          <w:rFonts w:ascii="Cambria" w:hAnsi="Cambria"/>
          <w:color w:val="231F20"/>
          <w:sz w:val="20"/>
          <w:szCs w:val="20"/>
        </w:rPr>
        <w:tab/>
      </w:r>
      <w:r w:rsidRPr="005D5654">
        <w:rPr>
          <w:rFonts w:ascii="Cambria" w:eastAsia="Cambria" w:hAnsi="Cambria" w:cs="Cambria"/>
          <w:color w:val="231F20"/>
          <w:sz w:val="20"/>
          <w:szCs w:val="20"/>
        </w:rPr>
        <w:t>1.316,14 t</w:t>
      </w:r>
    </w:p>
    <w:p w14:paraId="6E77B197"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eastAsia="Cambria" w:hAnsi="Cambria" w:cs="Cambria"/>
          <w:color w:val="231F20"/>
          <w:sz w:val="20"/>
          <w:szCs w:val="20"/>
        </w:rPr>
      </w:pPr>
      <w:r w:rsidRPr="005D5654">
        <w:rPr>
          <w:rFonts w:ascii="Cambria" w:hAnsi="Cambria"/>
          <w:color w:val="231F20"/>
          <w:sz w:val="20"/>
          <w:szCs w:val="20"/>
        </w:rPr>
        <w:tab/>
        <w:t>Canadá</w:t>
      </w:r>
      <w:r w:rsidRPr="005D5654">
        <w:rPr>
          <w:rFonts w:ascii="Cambria" w:hAnsi="Cambria"/>
          <w:color w:val="231F20"/>
          <w:sz w:val="20"/>
          <w:szCs w:val="20"/>
        </w:rPr>
        <w:tab/>
      </w:r>
      <w:r w:rsidRPr="005D5654">
        <w:rPr>
          <w:rFonts w:ascii="Cambria" w:eastAsia="Cambria" w:hAnsi="Cambria" w:cs="Cambria"/>
          <w:color w:val="231F20"/>
          <w:sz w:val="20"/>
          <w:szCs w:val="20"/>
        </w:rPr>
        <w:t>543,65</w:t>
      </w:r>
      <w:r w:rsidRPr="005D5654">
        <w:rPr>
          <w:rFonts w:ascii="Cambria" w:hAnsi="Cambria"/>
          <w:color w:val="231F20"/>
          <w:sz w:val="20"/>
        </w:rPr>
        <w:t xml:space="preserve"> t</w:t>
      </w:r>
    </w:p>
    <w:p w14:paraId="00E4E5D2"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49"/>
        <w:ind w:left="2"/>
        <w:rPr>
          <w:rFonts w:ascii="Cambria" w:eastAsia="Cambria" w:hAnsi="Cambria" w:cs="Cambria"/>
          <w:color w:val="231F20"/>
          <w:sz w:val="20"/>
          <w:szCs w:val="20"/>
        </w:rPr>
      </w:pPr>
      <w:r w:rsidRPr="005D5654">
        <w:rPr>
          <w:rFonts w:ascii="Cambria" w:hAnsi="Cambria"/>
          <w:color w:val="231F20"/>
          <w:sz w:val="20"/>
          <w:szCs w:val="20"/>
        </w:rPr>
        <w:tab/>
        <w:t>Japón</w:t>
      </w:r>
      <w:r w:rsidRPr="005D5654">
        <w:rPr>
          <w:rFonts w:ascii="Cambria" w:hAnsi="Cambria"/>
          <w:color w:val="231F20"/>
          <w:sz w:val="20"/>
          <w:szCs w:val="20"/>
        </w:rPr>
        <w:tab/>
      </w:r>
      <w:r w:rsidRPr="005D5654">
        <w:rPr>
          <w:rFonts w:ascii="Cambria" w:eastAsia="Cambria" w:hAnsi="Cambria" w:cs="Cambria"/>
          <w:color w:val="231F20"/>
          <w:sz w:val="20"/>
          <w:szCs w:val="20"/>
        </w:rPr>
        <w:t>664,52</w:t>
      </w:r>
      <w:r w:rsidRPr="005D5654">
        <w:rPr>
          <w:rFonts w:ascii="Cambria" w:hAnsi="Cambria"/>
          <w:color w:val="231F20"/>
          <w:sz w:val="20"/>
        </w:rPr>
        <w:t xml:space="preserve"> t</w:t>
      </w:r>
    </w:p>
    <w:p w14:paraId="6851556B"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49"/>
        <w:ind w:left="2"/>
        <w:rPr>
          <w:rFonts w:ascii="Cambria" w:eastAsia="Cambria" w:hAnsi="Cambria" w:cs="Cambria"/>
          <w:color w:val="231F20"/>
          <w:sz w:val="20"/>
          <w:szCs w:val="20"/>
        </w:rPr>
      </w:pPr>
      <w:r w:rsidRPr="005D5654">
        <w:rPr>
          <w:rFonts w:ascii="Cambria" w:hAnsi="Cambria"/>
          <w:color w:val="231F20"/>
          <w:sz w:val="20"/>
          <w:szCs w:val="20"/>
        </w:rPr>
        <w:tab/>
        <w:t>Reino Unido (por Bermudas)</w:t>
      </w:r>
      <w:r w:rsidRPr="005D5654">
        <w:rPr>
          <w:rFonts w:ascii="Cambria" w:hAnsi="Cambria"/>
          <w:color w:val="231F20"/>
          <w:sz w:val="20"/>
          <w:szCs w:val="20"/>
        </w:rPr>
        <w:tab/>
      </w:r>
      <w:r w:rsidRPr="005D5654">
        <w:rPr>
          <w:rFonts w:ascii="Cambria" w:eastAsia="Cambria" w:hAnsi="Cambria" w:cs="Cambria"/>
          <w:color w:val="231F20"/>
          <w:sz w:val="20"/>
          <w:szCs w:val="20"/>
        </w:rPr>
        <w:t>6,18</w:t>
      </w:r>
      <w:r w:rsidRPr="005D5654">
        <w:rPr>
          <w:rFonts w:ascii="Cambria" w:hAnsi="Cambria"/>
          <w:color w:val="231F20"/>
          <w:sz w:val="20"/>
        </w:rPr>
        <w:t xml:space="preserve"> t</w:t>
      </w:r>
    </w:p>
    <w:p w14:paraId="1346E98E"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48"/>
        <w:ind w:left="2"/>
        <w:rPr>
          <w:rFonts w:ascii="Cambria" w:eastAsia="Cambria" w:hAnsi="Cambria" w:cs="Cambria"/>
          <w:sz w:val="20"/>
          <w:szCs w:val="20"/>
        </w:rPr>
      </w:pPr>
      <w:r w:rsidRPr="005D5654">
        <w:rPr>
          <w:rFonts w:ascii="Cambria" w:hAnsi="Cambria"/>
          <w:color w:val="231F20"/>
          <w:sz w:val="20"/>
          <w:szCs w:val="20"/>
        </w:rPr>
        <w:tab/>
        <w:t xml:space="preserve">Francia (por San Pedro y Miquelón) </w:t>
      </w:r>
      <w:r w:rsidRPr="005D5654">
        <w:rPr>
          <w:rFonts w:ascii="Cambria" w:hAnsi="Cambria"/>
          <w:color w:val="231F20"/>
          <w:sz w:val="20"/>
          <w:szCs w:val="20"/>
        </w:rPr>
        <w:tab/>
      </w:r>
      <w:r w:rsidRPr="005D5654">
        <w:rPr>
          <w:rFonts w:ascii="Cambria" w:eastAsia="Cambria" w:hAnsi="Cambria" w:cs="Cambria"/>
          <w:color w:val="231F20"/>
          <w:sz w:val="20"/>
          <w:szCs w:val="20"/>
        </w:rPr>
        <w:t>6,18</w:t>
      </w:r>
      <w:r w:rsidRPr="005D5654">
        <w:rPr>
          <w:rFonts w:ascii="Cambria" w:hAnsi="Cambria"/>
          <w:color w:val="231F20"/>
          <w:sz w:val="20"/>
        </w:rPr>
        <w:t xml:space="preserve"> t</w:t>
      </w:r>
    </w:p>
    <w:p w14:paraId="227A98F2"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49"/>
        <w:ind w:left="2" w:right="9"/>
        <w:rPr>
          <w:rFonts w:ascii="Cambria" w:hAnsi="Cambria"/>
          <w:sz w:val="20"/>
          <w:szCs w:val="20"/>
        </w:rPr>
      </w:pPr>
      <w:r w:rsidRPr="005D5654">
        <w:rPr>
          <w:rFonts w:ascii="Cambria" w:hAnsi="Cambria"/>
          <w:color w:val="231F20"/>
          <w:sz w:val="20"/>
          <w:szCs w:val="20"/>
        </w:rPr>
        <w:tab/>
        <w:t>México</w:t>
      </w:r>
      <w:r w:rsidRPr="005D5654">
        <w:rPr>
          <w:rFonts w:ascii="Cambria" w:hAnsi="Cambria"/>
          <w:color w:val="231F20"/>
          <w:sz w:val="20"/>
          <w:szCs w:val="20"/>
        </w:rPr>
        <w:tab/>
      </w:r>
      <w:r w:rsidRPr="005D5654">
        <w:rPr>
          <w:rFonts w:ascii="Cambria" w:eastAsia="Cambria" w:hAnsi="Cambria" w:cs="Cambria"/>
          <w:color w:val="231F20"/>
          <w:sz w:val="20"/>
          <w:szCs w:val="20"/>
        </w:rPr>
        <w:t>149,34</w:t>
      </w:r>
      <w:r w:rsidRPr="005D5654">
        <w:rPr>
          <w:rFonts w:ascii="Cambria" w:hAnsi="Cambria"/>
          <w:color w:val="231F20"/>
          <w:sz w:val="20"/>
        </w:rPr>
        <w:t xml:space="preserve"> t</w:t>
      </w:r>
    </w:p>
    <w:p w14:paraId="544A43C5" w14:textId="77777777" w:rsidR="005D5654" w:rsidRPr="005D5654" w:rsidRDefault="005D5654" w:rsidP="005D5654">
      <w:pPr>
        <w:pBdr>
          <w:top w:val="none" w:sz="0" w:space="0" w:color="000000"/>
          <w:left w:val="none" w:sz="0" w:space="0" w:color="000000"/>
          <w:bottom w:val="none" w:sz="0" w:space="0" w:color="000000"/>
          <w:right w:val="none" w:sz="0" w:space="0" w:color="000000"/>
          <w:between w:val="none" w:sz="0" w:space="0" w:color="000000"/>
        </w:pBdr>
        <w:spacing w:before="49"/>
        <w:ind w:right="9"/>
        <w:rPr>
          <w:rFonts w:ascii="Cambria" w:eastAsia="Cambria" w:hAnsi="Cambria" w:cs="Cambria"/>
          <w:sz w:val="20"/>
          <w:szCs w:val="20"/>
        </w:rPr>
      </w:pPr>
    </w:p>
    <w:p w14:paraId="4016BDD3" w14:textId="77777777" w:rsidR="005D5654" w:rsidRPr="005D5654" w:rsidRDefault="005D5654" w:rsidP="005D5654">
      <w:pPr>
        <w:ind w:left="993"/>
        <w:jc w:val="both"/>
        <w:rPr>
          <w:rFonts w:ascii="Cambria" w:eastAsia="Cambria" w:hAnsi="Cambria" w:cs="Cambria"/>
          <w:color w:val="231F20"/>
          <w:sz w:val="20"/>
          <w:szCs w:val="20"/>
        </w:rPr>
      </w:pPr>
      <w:r w:rsidRPr="005D5654">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5D5654" w:rsidRDefault="005D5654" w:rsidP="005D5654">
      <w:pPr>
        <w:ind w:left="993"/>
        <w:jc w:val="both"/>
        <w:rPr>
          <w:rFonts w:ascii="Cambria" w:eastAsia="Cambria" w:hAnsi="Cambria" w:cs="Cambria"/>
          <w:sz w:val="20"/>
          <w:szCs w:val="20"/>
        </w:rPr>
      </w:pPr>
    </w:p>
    <w:p w14:paraId="31277FB5" w14:textId="77777777" w:rsidR="005D5654" w:rsidRPr="005D5654"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color w:val="231F20"/>
          <w:sz w:val="20"/>
          <w:szCs w:val="20"/>
        </w:rPr>
      </w:pPr>
      <w:r w:rsidRPr="005D5654">
        <w:rPr>
          <w:rFonts w:ascii="Cambria" w:hAnsi="Cambria"/>
          <w:color w:val="231F20"/>
          <w:sz w:val="20"/>
          <w:szCs w:val="20"/>
        </w:rPr>
        <w:t>Dependiendo de la disponibilidad, México puede transferir a Canadá hasta 149,34 t de su cuota ajustada, en cada uno de los años del periodo 2023-2025, para respaldar los trabajos de investigación en colaboración, tal y como se especifican en el párrafo 14.</w:t>
      </w:r>
    </w:p>
    <w:p w14:paraId="535B0FB4" w14:textId="77777777" w:rsidR="005D5654" w:rsidRPr="005D5654"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5D5654">
        <w:rPr>
          <w:rFonts w:ascii="Cambria" w:hAnsi="Cambria"/>
          <w:color w:val="231F20"/>
          <w:sz w:val="20"/>
          <w:szCs w:val="20"/>
        </w:rPr>
        <w:t>Dependiendo de la disponibilidad, el Reino Unido (con respecto a Bermudas) puede transferir a Estados Unidos una cantidad que no supere su cuota ajustada, en cada uno de los años del periodo 2023-2025 para respaldar los trabajos de investigación en colaboración, tal y como se especifican en el párrafo 14.</w:t>
      </w:r>
    </w:p>
    <w:p w14:paraId="67765B22" w14:textId="77777777" w:rsidR="005D5654" w:rsidRPr="005D5654"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5D5654">
        <w:rPr>
          <w:rFonts w:ascii="Cambria" w:hAnsi="Cambria"/>
          <w:color w:val="231F20"/>
          <w:sz w:val="20"/>
          <w:szCs w:val="20"/>
        </w:rPr>
        <w:t>Dependiendo de la disponibilidad, Francia (con respecto a San Pedro y Miquelón) puede transferir a Canadá una cantidad que no supere su cuota ajustada, en cada uno de los años del periodo 2023-2025, para respaldar los trabajos de investigación en colaboración, tal y como se especifican en el párrafo 14.</w:t>
      </w:r>
    </w:p>
    <w:p w14:paraId="42931306" w14:textId="77777777" w:rsidR="005D5654" w:rsidRPr="005D5654" w:rsidRDefault="005D5654" w:rsidP="005D5654">
      <w:pPr>
        <w:widowControl/>
        <w:numPr>
          <w:ilvl w:val="1"/>
          <w:numId w:val="3"/>
        </w:numPr>
        <w:tabs>
          <w:tab w:val="left" w:pos="993"/>
        </w:tabs>
        <w:spacing w:after="160"/>
        <w:ind w:left="993" w:hanging="426"/>
        <w:jc w:val="both"/>
        <w:rPr>
          <w:rFonts w:ascii="Cambria" w:eastAsia="Cambria" w:hAnsi="Cambria" w:cs="Cambria"/>
          <w:sz w:val="20"/>
          <w:szCs w:val="20"/>
        </w:rPr>
      </w:pPr>
      <w:r w:rsidRPr="005D5654">
        <w:rPr>
          <w:rFonts w:ascii="Cambria" w:hAnsi="Cambria"/>
          <w:color w:val="231F20"/>
          <w:sz w:val="20"/>
          <w:szCs w:val="20"/>
        </w:rPr>
        <w:t>Las CPC que tengan previsto participar en las actividades de investigación en colaboración especificadas en los párrafos 5 d), 5e) y 5f) anteriores notificarán al SCRS y a la Comisión información detallada sobre los programas de investigación que van a emprender antes de que se inicien, y presentarán los resultados de la investigación al SCRS.</w:t>
      </w:r>
    </w:p>
    <w:p w14:paraId="1F4DA7B2" w14:textId="77777777" w:rsidR="005D5654" w:rsidRPr="005D5654" w:rsidRDefault="005D5654" w:rsidP="005D5654">
      <w:pPr>
        <w:widowControl/>
        <w:rPr>
          <w:rFonts w:ascii="Cambria" w:hAnsi="Cambria"/>
          <w:color w:val="231F20"/>
          <w:sz w:val="20"/>
          <w:szCs w:val="20"/>
        </w:rPr>
      </w:pPr>
      <w:r w:rsidRPr="005D5654">
        <w:rPr>
          <w:rFonts w:ascii="Cambria" w:hAnsi="Cambria"/>
          <w:color w:val="231F20"/>
          <w:sz w:val="20"/>
          <w:szCs w:val="20"/>
        </w:rPr>
        <w:br w:type="page"/>
      </w:r>
    </w:p>
    <w:p w14:paraId="01271B54"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lastRenderedPageBreak/>
        <w:t>La cuota total de una CPC incluirá sus asignaciones establecidas en el párrafo 5, ajustadas según el exceso o remanente de captura en coherencia con el resto de este párrafo. Cada año se considerará un periodo de ordenación independiente a efectos del resto de este párrafo:</w:t>
      </w:r>
    </w:p>
    <w:p w14:paraId="545019D1" w14:textId="77777777" w:rsidR="005D5654" w:rsidRPr="005D5654" w:rsidRDefault="005D5654" w:rsidP="005D5654">
      <w:pPr>
        <w:tabs>
          <w:tab w:val="left" w:pos="529"/>
        </w:tabs>
        <w:ind w:left="528"/>
        <w:jc w:val="both"/>
        <w:rPr>
          <w:rFonts w:ascii="Cambria" w:eastAsia="Cambria" w:hAnsi="Cambria" w:cs="Cambria"/>
          <w:color w:val="231F20"/>
          <w:sz w:val="20"/>
          <w:szCs w:val="20"/>
        </w:rPr>
      </w:pPr>
    </w:p>
    <w:p w14:paraId="1FFB3887" w14:textId="77777777" w:rsidR="005D5654" w:rsidRPr="005D5654"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5D5654">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el párrafo </w:t>
      </w:r>
      <w:r w:rsidRPr="005D5654">
        <w:rPr>
          <w:rFonts w:ascii="Cambria" w:hAnsi="Cambria"/>
          <w:i/>
          <w:iCs/>
          <w:color w:val="231F20"/>
          <w:sz w:val="20"/>
          <w:szCs w:val="20"/>
        </w:rPr>
        <w:t>5</w:t>
      </w:r>
      <w:r w:rsidRPr="005D5654">
        <w:rPr>
          <w:rFonts w:ascii="Cambria" w:hAnsi="Cambria"/>
          <w:color w:val="231F20"/>
          <w:sz w:val="20"/>
          <w:szCs w:val="20"/>
        </w:rPr>
        <w:t>, con  la excepción de Reino Unido (por Bermudas), Francia (por San Pedro y Miquelón) y México (es decir, las Partes contratantes con asignaciones iniciales de 149,34 t  o menos), para las que el remanente que se traspase no superará en ningún caso el 100 % de la asignación inicial establecida en el párrafo 5 (a saber, la cuota total para dicha CPC no debe superar el doble de su cuota anual en cualquier año).</w:t>
      </w:r>
    </w:p>
    <w:p w14:paraId="03B44A92" w14:textId="77777777" w:rsidR="005D5654" w:rsidRPr="005D5654"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5D5654">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77777777" w:rsidR="005D5654" w:rsidRPr="005D5654" w:rsidRDefault="005D5654" w:rsidP="005D5654">
      <w:pPr>
        <w:widowControl/>
        <w:numPr>
          <w:ilvl w:val="0"/>
          <w:numId w:val="1"/>
        </w:numPr>
        <w:tabs>
          <w:tab w:val="left" w:pos="993"/>
        </w:tabs>
        <w:spacing w:after="160"/>
        <w:ind w:left="990"/>
        <w:jc w:val="both"/>
        <w:rPr>
          <w:rFonts w:ascii="Cambria" w:eastAsia="Cambria" w:hAnsi="Cambria" w:cs="Cambria"/>
          <w:color w:val="231F20"/>
          <w:sz w:val="20"/>
          <w:szCs w:val="20"/>
        </w:rPr>
      </w:pPr>
      <w:r w:rsidRPr="005D5654">
        <w:rPr>
          <w:rFonts w:ascii="Cambria" w:hAnsi="Cambria"/>
          <w:color w:val="231F20"/>
          <w:sz w:val="20"/>
          <w:szCs w:val="20"/>
        </w:rPr>
        <w:t>No obstante el párrafo 6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4F857265" w14:textId="77777777" w:rsidR="005D5654" w:rsidRPr="005D5654" w:rsidRDefault="005D5654" w:rsidP="005D5654">
      <w:pPr>
        <w:jc w:val="both"/>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5D5654" w:rsidRDefault="005D5654" w:rsidP="005D5654">
      <w:pPr>
        <w:jc w:val="both"/>
        <w:rPr>
          <w:rFonts w:ascii="Cambria" w:eastAsia="Cambria" w:hAnsi="Cambria" w:cs="Cambria"/>
          <w:b/>
          <w:i/>
          <w:sz w:val="20"/>
          <w:szCs w:val="20"/>
        </w:rPr>
      </w:pPr>
    </w:p>
    <w:p w14:paraId="1FEED235"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5D5654" w:rsidRDefault="005D5654" w:rsidP="005D5654">
      <w:pPr>
        <w:jc w:val="both"/>
        <w:rPr>
          <w:rFonts w:ascii="Cambria" w:eastAsia="Cambria" w:hAnsi="Cambria" w:cs="Cambria"/>
          <w:sz w:val="20"/>
          <w:szCs w:val="20"/>
        </w:rPr>
      </w:pPr>
    </w:p>
    <w:p w14:paraId="17338394"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5D5654" w:rsidRDefault="005D5654" w:rsidP="005D5654">
      <w:pPr>
        <w:rPr>
          <w:rFonts w:ascii="Cambria" w:eastAsia="Cambria" w:hAnsi="Cambria" w:cs="Cambria"/>
          <w:color w:val="231F20"/>
          <w:sz w:val="20"/>
          <w:szCs w:val="20"/>
        </w:rPr>
      </w:pPr>
    </w:p>
    <w:p w14:paraId="20C0CF27"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5D5654" w:rsidRDefault="005D5654" w:rsidP="005D5654">
      <w:pPr>
        <w:rPr>
          <w:rFonts w:ascii="Cambria" w:eastAsia="Cambria" w:hAnsi="Cambria" w:cs="Cambria"/>
          <w:sz w:val="20"/>
          <w:szCs w:val="20"/>
        </w:rPr>
      </w:pPr>
    </w:p>
    <w:p w14:paraId="37513CB8"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5D5654" w:rsidRDefault="005D5654" w:rsidP="005D5654">
      <w:pPr>
        <w:outlineLvl w:val="0"/>
        <w:rPr>
          <w:rFonts w:ascii="Cambria" w:eastAsia="Times New Roman" w:hAnsi="Cambria" w:cs="Times New Roman"/>
          <w:b/>
          <w:iCs/>
          <w:color w:val="231F20"/>
          <w:sz w:val="20"/>
          <w:szCs w:val="20"/>
        </w:rPr>
      </w:pPr>
    </w:p>
    <w:p w14:paraId="253FFFC2" w14:textId="77777777" w:rsidR="005D5654" w:rsidRPr="005D5654" w:rsidRDefault="005D5654" w:rsidP="005D5654">
      <w:pPr>
        <w:outlineLvl w:val="0"/>
        <w:rPr>
          <w:rFonts w:ascii="Cambria" w:eastAsia="Cambria" w:hAnsi="Cambria" w:cs="Cambria"/>
          <w:iCs/>
          <w:sz w:val="20"/>
          <w:szCs w:val="20"/>
        </w:rPr>
      </w:pPr>
      <w:r w:rsidRPr="005D5654">
        <w:rPr>
          <w:rFonts w:ascii="Cambria" w:eastAsia="Times New Roman" w:hAnsi="Cambria" w:cs="Times New Roman"/>
          <w:b/>
          <w:iCs/>
          <w:color w:val="231F20"/>
          <w:sz w:val="20"/>
          <w:szCs w:val="20"/>
        </w:rPr>
        <w:t>Restricciones de zona y tiempo</w:t>
      </w:r>
    </w:p>
    <w:p w14:paraId="23436C53" w14:textId="77777777" w:rsidR="005D5654" w:rsidRPr="005D5654" w:rsidRDefault="005D5654" w:rsidP="005D5654">
      <w:pPr>
        <w:rPr>
          <w:rFonts w:ascii="Cambria" w:eastAsia="Cambria" w:hAnsi="Cambria" w:cs="Cambria"/>
          <w:b/>
          <w:i/>
          <w:sz w:val="20"/>
          <w:szCs w:val="20"/>
        </w:rPr>
      </w:pPr>
    </w:p>
    <w:p w14:paraId="6C9F847E" w14:textId="77777777" w:rsidR="005D5654" w:rsidRPr="005D5654" w:rsidRDefault="005D5654" w:rsidP="005D5654">
      <w:pPr>
        <w:widowControl/>
        <w:numPr>
          <w:ilvl w:val="0"/>
          <w:numId w:val="5"/>
        </w:numPr>
        <w:ind w:left="425" w:hanging="425"/>
        <w:jc w:val="both"/>
        <w:rPr>
          <w:rFonts w:ascii="Cambria" w:hAnsi="Cambria"/>
          <w:b/>
          <w:bCs/>
          <w:i/>
          <w:iCs/>
          <w:color w:val="231F20"/>
          <w:sz w:val="20"/>
          <w:szCs w:val="20"/>
        </w:rPr>
      </w:pPr>
      <w:r w:rsidRPr="005D5654">
        <w:rPr>
          <w:rFonts w:ascii="Cambria" w:hAnsi="Cambria"/>
          <w:color w:val="231F20"/>
          <w:sz w:val="20"/>
          <w:szCs w:val="20"/>
        </w:rPr>
        <w:t>No habrá una pesquería dirigida al stock reproductor de atún rojo en las zonas de reproducción del Atlántico occidental (a saber, el golfo de México). Teniendo en cuenta el asesoramiento recibido del SCRS de conformidad con el párrafo 18, la Comisión considerará examinar esta medida y la necesidad de acciones de ordenación alternativas, teniendo en cuenta los esfuerzos de México y otras CPC para conservar el atún rojo del Atlántico occidental, lo que incluye mediante la reducción de la captura fortuita.</w:t>
      </w:r>
    </w:p>
    <w:p w14:paraId="3EAAB588" w14:textId="77777777" w:rsidR="005D5654" w:rsidRPr="005D5654" w:rsidRDefault="005D5654" w:rsidP="005D5654">
      <w:pPr>
        <w:widowControl/>
        <w:rPr>
          <w:rFonts w:ascii="Cambria" w:hAnsi="Cambria"/>
          <w:b/>
          <w:bCs/>
          <w:color w:val="231F20"/>
          <w:sz w:val="20"/>
          <w:szCs w:val="20"/>
        </w:rPr>
      </w:pPr>
      <w:r w:rsidRPr="005D5654">
        <w:rPr>
          <w:rFonts w:ascii="Cambria" w:hAnsi="Cambria"/>
          <w:b/>
          <w:bCs/>
          <w:color w:val="231F20"/>
          <w:sz w:val="20"/>
          <w:szCs w:val="20"/>
        </w:rPr>
        <w:br w:type="page"/>
      </w:r>
    </w:p>
    <w:p w14:paraId="360301A4" w14:textId="77777777" w:rsidR="005D5654" w:rsidRPr="005D5654" w:rsidRDefault="005D5654" w:rsidP="005D5654">
      <w:pPr>
        <w:tabs>
          <w:tab w:val="left" w:pos="536"/>
        </w:tabs>
        <w:jc w:val="both"/>
        <w:rPr>
          <w:rFonts w:ascii="Cambria" w:eastAsia="Cambria" w:hAnsi="Cambria" w:cs="Cambria"/>
          <w:b/>
          <w:bCs/>
          <w:sz w:val="20"/>
          <w:szCs w:val="20"/>
        </w:rPr>
      </w:pPr>
      <w:r w:rsidRPr="005D5654">
        <w:rPr>
          <w:rFonts w:ascii="Cambria" w:hAnsi="Cambria"/>
          <w:b/>
          <w:bCs/>
          <w:color w:val="231F20"/>
          <w:sz w:val="20"/>
          <w:szCs w:val="20"/>
        </w:rPr>
        <w:lastRenderedPageBreak/>
        <w:t>Transbordo</w:t>
      </w:r>
    </w:p>
    <w:p w14:paraId="2C62C540" w14:textId="77777777" w:rsidR="005D5654" w:rsidRPr="005D5654" w:rsidRDefault="005D5654" w:rsidP="005D5654">
      <w:pPr>
        <w:jc w:val="both"/>
        <w:rPr>
          <w:rFonts w:ascii="Cambria" w:eastAsia="Cambria" w:hAnsi="Cambria" w:cs="Cambria"/>
          <w:b/>
          <w:i/>
          <w:sz w:val="20"/>
          <w:szCs w:val="20"/>
        </w:rPr>
      </w:pPr>
    </w:p>
    <w:p w14:paraId="6435E577" w14:textId="77777777" w:rsidR="005D5654" w:rsidRPr="005D5654" w:rsidRDefault="005D5654" w:rsidP="005D5654">
      <w:pPr>
        <w:widowControl/>
        <w:numPr>
          <w:ilvl w:val="0"/>
          <w:numId w:val="5"/>
        </w:numPr>
        <w:ind w:left="425" w:hanging="425"/>
        <w:jc w:val="both"/>
        <w:rPr>
          <w:rFonts w:ascii="Cambria" w:eastAsia="Cambria" w:hAnsi="Cambria" w:cs="Cambria"/>
          <w:color w:val="231F20"/>
          <w:sz w:val="20"/>
          <w:szCs w:val="20"/>
        </w:rPr>
      </w:pPr>
      <w:r w:rsidRPr="005D5654">
        <w:rPr>
          <w:rFonts w:ascii="Cambria" w:hAnsi="Cambria"/>
          <w:color w:val="231F20"/>
          <w:sz w:val="20"/>
          <w:szCs w:val="20"/>
        </w:rPr>
        <w:t>Quedarán prohibidos los transbordos en el mar.</w:t>
      </w:r>
    </w:p>
    <w:p w14:paraId="02B0EF6F" w14:textId="77777777" w:rsidR="005D5654" w:rsidRPr="005D5654" w:rsidRDefault="005D5654" w:rsidP="005D5654">
      <w:pPr>
        <w:tabs>
          <w:tab w:val="left" w:pos="536"/>
        </w:tabs>
        <w:jc w:val="both"/>
        <w:rPr>
          <w:rFonts w:ascii="Cambria" w:hAnsi="Cambria"/>
          <w:iCs/>
          <w:color w:val="231F20"/>
          <w:sz w:val="20"/>
          <w:szCs w:val="20"/>
        </w:rPr>
      </w:pPr>
    </w:p>
    <w:p w14:paraId="58DE29B3" w14:textId="77777777" w:rsidR="005D5654" w:rsidRPr="005D5654" w:rsidRDefault="005D5654" w:rsidP="005D5654">
      <w:pPr>
        <w:outlineLvl w:val="0"/>
        <w:rPr>
          <w:rFonts w:ascii="Cambria" w:eastAsia="Cambria" w:hAnsi="Cambria" w:cs="Cambria"/>
          <w:iCs/>
          <w:sz w:val="20"/>
          <w:szCs w:val="20"/>
        </w:rPr>
      </w:pPr>
      <w:bookmarkStart w:id="0" w:name="_1fob9te"/>
      <w:bookmarkEnd w:id="0"/>
      <w:r w:rsidRPr="005D5654">
        <w:rPr>
          <w:rFonts w:ascii="Cambria" w:eastAsia="Times New Roman" w:hAnsi="Cambria" w:cs="Times New Roman"/>
          <w:b/>
          <w:iCs/>
          <w:color w:val="231F20"/>
          <w:sz w:val="20"/>
          <w:szCs w:val="20"/>
        </w:rPr>
        <w:t>Investigación científica y requisitos en materia de datos y comunicaciones</w:t>
      </w:r>
    </w:p>
    <w:p w14:paraId="5DF29098" w14:textId="77777777" w:rsidR="005D5654" w:rsidRPr="005D5654" w:rsidRDefault="005D5654" w:rsidP="005D5654">
      <w:pPr>
        <w:rPr>
          <w:rFonts w:ascii="Cambria" w:eastAsia="Cambria" w:hAnsi="Cambria" w:cs="Cambria"/>
          <w:b/>
          <w:i/>
          <w:sz w:val="20"/>
          <w:szCs w:val="20"/>
        </w:rPr>
      </w:pPr>
    </w:p>
    <w:p w14:paraId="3DA1FC86"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5D5654" w:rsidRDefault="005D5654" w:rsidP="005D5654">
      <w:pPr>
        <w:rPr>
          <w:rFonts w:ascii="Cambria" w:eastAsia="Cambria" w:hAnsi="Cambria" w:cs="Cambria"/>
          <w:sz w:val="20"/>
          <w:szCs w:val="20"/>
        </w:rPr>
      </w:pPr>
    </w:p>
    <w:p w14:paraId="56392DEC"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5D5654">
        <w:rPr>
          <w:rFonts w:ascii="Cambria" w:eastAsia="Cambria" w:hAnsi="Cambria" w:cs="Cambria"/>
          <w:sz w:val="20"/>
          <w:szCs w:val="20"/>
        </w:rPr>
        <w:t xml:space="preserve"> </w:t>
      </w:r>
      <w:r w:rsidRPr="005D5654">
        <w:rPr>
          <w:rFonts w:ascii="Cambria" w:hAnsi="Cambria"/>
          <w:color w:val="231F20"/>
          <w:sz w:val="20"/>
          <w:szCs w:val="20"/>
        </w:rPr>
        <w:t>Con el fin de facilitar el recondicionamiento de los modelos operativos de la MSE y apoyar la revisión del MP desde ahora hasta 2028, las CPC deberían apoyar al SCRS en la realización de las cuatro iniciativas estratégicas identificadas en el informe del SCRS:</w:t>
      </w:r>
    </w:p>
    <w:p w14:paraId="6AA397EA" w14:textId="77777777" w:rsidR="005D5654" w:rsidRPr="005D5654" w:rsidRDefault="005D5654" w:rsidP="005D5654">
      <w:pPr>
        <w:widowControl/>
        <w:ind w:left="720"/>
        <w:jc w:val="both"/>
        <w:rPr>
          <w:rFonts w:ascii="Cambria" w:eastAsia="Cambria" w:hAnsi="Cambria" w:cs="Cambria"/>
          <w:sz w:val="20"/>
          <w:szCs w:val="20"/>
          <w:lang w:eastAsia="ja-JP"/>
        </w:rPr>
      </w:pPr>
    </w:p>
    <w:p w14:paraId="2107DC67" w14:textId="77777777" w:rsidR="005D5654" w:rsidRPr="005D5654"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5D5654">
        <w:rPr>
          <w:rFonts w:ascii="Cambria" w:hAnsi="Cambria" w:cs="Cambria"/>
          <w:sz w:val="20"/>
          <w:szCs w:val="20"/>
        </w:rPr>
        <w:t>coordinación del marcado del atún rojo,</w:t>
      </w:r>
    </w:p>
    <w:p w14:paraId="459F2094" w14:textId="77777777" w:rsidR="005D5654" w:rsidRPr="005D5654"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5D5654">
        <w:rPr>
          <w:rFonts w:ascii="Cambria" w:hAnsi="Cambria"/>
          <w:sz w:val="20"/>
        </w:rPr>
        <w:t>coordinación de prospecciones de larvas,</w:t>
      </w:r>
    </w:p>
    <w:p w14:paraId="04B19A59" w14:textId="77777777" w:rsidR="005D5654" w:rsidRPr="005D5654"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5D5654">
        <w:rPr>
          <w:rFonts w:ascii="Cambria" w:hAnsi="Cambria"/>
          <w:sz w:val="20"/>
        </w:rPr>
        <w:t>coordinación del muestreo biológico del atún rojo y</w:t>
      </w:r>
    </w:p>
    <w:p w14:paraId="2C7AEDDF" w14:textId="77777777" w:rsidR="005D5654" w:rsidRPr="005D5654"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5D5654">
        <w:rPr>
          <w:rFonts w:ascii="Cambria" w:hAnsi="Cambria"/>
          <w:sz w:val="20"/>
        </w:rPr>
        <w:t>enfoques genómicos avanzados respecto a la estimación del tamaño de la población (</w:t>
      </w:r>
      <w:proofErr w:type="spellStart"/>
      <w:r w:rsidRPr="005D5654">
        <w:rPr>
          <w:rFonts w:ascii="Cambria" w:hAnsi="Cambria"/>
          <w:sz w:val="20"/>
        </w:rPr>
        <w:t>CKMR</w:t>
      </w:r>
      <w:proofErr w:type="spellEnd"/>
      <w:r w:rsidRPr="005D5654">
        <w:rPr>
          <w:rFonts w:ascii="Cambria" w:hAnsi="Cambria"/>
          <w:sz w:val="20"/>
        </w:rPr>
        <w:t>/marcado genético).</w:t>
      </w:r>
    </w:p>
    <w:p w14:paraId="03045DEE" w14:textId="77777777" w:rsidR="005D5654" w:rsidRPr="005D5654" w:rsidRDefault="005D5654" w:rsidP="005D5654">
      <w:pPr>
        <w:widowControl/>
        <w:autoSpaceDE w:val="0"/>
        <w:autoSpaceDN w:val="0"/>
        <w:adjustRightInd w:val="0"/>
        <w:ind w:left="540"/>
        <w:rPr>
          <w:rFonts w:ascii="Cambria" w:hAnsi="Cambria"/>
          <w:sz w:val="20"/>
        </w:rPr>
      </w:pPr>
    </w:p>
    <w:p w14:paraId="599425BD" w14:textId="77777777" w:rsidR="005D5654" w:rsidRPr="005D5654" w:rsidRDefault="005D5654" w:rsidP="005D5654">
      <w:pPr>
        <w:widowControl/>
        <w:numPr>
          <w:ilvl w:val="0"/>
          <w:numId w:val="5"/>
        </w:numPr>
        <w:ind w:left="425" w:hanging="425"/>
        <w:jc w:val="both"/>
        <w:rPr>
          <w:rFonts w:ascii="Cambria" w:hAnsi="Cambria"/>
          <w:color w:val="231F20"/>
          <w:sz w:val="20"/>
        </w:rPr>
      </w:pPr>
      <w:r w:rsidRPr="005D5654">
        <w:rPr>
          <w:rFonts w:ascii="Cambria" w:hAnsi="Cambria"/>
          <w:color w:val="231F20"/>
          <w:sz w:val="20"/>
        </w:rPr>
        <w:t xml:space="preserve">Al llevar a cabo el trabajo especificado en el párrafo 14, como contribución a la investigación del SCRS, las CPC deberían realizar o continuar los esfuerzos especiales para mejorar el muestreo de las pesquerías de atún rojo del Atlántico, lo que incluye: proporcionar información sobre la talla y/o el peso de </w:t>
      </w:r>
      <w:r w:rsidRPr="005D5654">
        <w:rPr>
          <w:rFonts w:ascii="Cambria" w:hAnsi="Cambria"/>
          <w:color w:val="231F20"/>
          <w:sz w:val="20"/>
          <w:szCs w:val="20"/>
        </w:rPr>
        <w:t>los</w:t>
      </w:r>
      <w:r w:rsidRPr="005D5654">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5D5654" w:rsidRDefault="005D5654" w:rsidP="005D5654">
      <w:pPr>
        <w:tabs>
          <w:tab w:val="left" w:pos="528"/>
        </w:tabs>
        <w:jc w:val="both"/>
        <w:rPr>
          <w:rFonts w:ascii="Cambria" w:eastAsia="Cambria" w:hAnsi="Cambria" w:cs="Cambria"/>
          <w:color w:val="231F20"/>
          <w:sz w:val="20"/>
          <w:szCs w:val="20"/>
        </w:rPr>
      </w:pPr>
    </w:p>
    <w:p w14:paraId="648FC810" w14:textId="77777777" w:rsidR="005D5654" w:rsidRPr="005D5654" w:rsidRDefault="005D5654" w:rsidP="005D5654">
      <w:pPr>
        <w:widowControl/>
        <w:numPr>
          <w:ilvl w:val="0"/>
          <w:numId w:val="5"/>
        </w:numPr>
        <w:ind w:left="425" w:hanging="425"/>
        <w:jc w:val="both"/>
        <w:rPr>
          <w:rFonts w:ascii="Cambria" w:eastAsia="Cambria" w:hAnsi="Cambria" w:cs="Cambria"/>
          <w:color w:val="231F20"/>
          <w:sz w:val="20"/>
          <w:szCs w:val="20"/>
        </w:rPr>
      </w:pPr>
      <w:r w:rsidRPr="005D5654">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5D5654"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5D5654" w:rsidRDefault="005D5654" w:rsidP="005D5654">
      <w:pPr>
        <w:widowControl/>
        <w:numPr>
          <w:ilvl w:val="0"/>
          <w:numId w:val="5"/>
        </w:numPr>
        <w:ind w:left="425" w:hanging="425"/>
        <w:jc w:val="both"/>
        <w:rPr>
          <w:rFonts w:ascii="Cambria" w:eastAsia="Cambria" w:hAnsi="Cambria" w:cs="Cambria"/>
          <w:color w:val="231F20"/>
          <w:sz w:val="20"/>
          <w:szCs w:val="20"/>
        </w:rPr>
      </w:pPr>
      <w:r w:rsidRPr="005D5654">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5D5654">
        <w:rPr>
          <w:rFonts w:ascii="Cambria" w:hAnsi="Cambria"/>
          <w:i/>
          <w:iCs/>
          <w:color w:val="231F20"/>
          <w:sz w:val="20"/>
          <w:szCs w:val="20"/>
        </w:rPr>
        <w:t>Recomendación de ICCAT sobre el registro de capturas realizadas por barcos pesqueros en la zona del Convenio ICCAT</w:t>
      </w:r>
      <w:r w:rsidRPr="005D5654">
        <w:rPr>
          <w:rFonts w:ascii="Cambria" w:hAnsi="Cambria"/>
          <w:color w:val="231F20"/>
          <w:sz w:val="20"/>
          <w:szCs w:val="20"/>
        </w:rPr>
        <w:t xml:space="preserve"> (Rec. 03-13).</w:t>
      </w:r>
    </w:p>
    <w:p w14:paraId="6D5C4116" w14:textId="77777777" w:rsidR="005D5654" w:rsidRPr="005D5654" w:rsidRDefault="005D5654" w:rsidP="005D5654">
      <w:pPr>
        <w:tabs>
          <w:tab w:val="left" w:pos="528"/>
        </w:tabs>
        <w:jc w:val="both"/>
        <w:rPr>
          <w:rFonts w:ascii="Cambria" w:eastAsia="Cambria" w:hAnsi="Cambria" w:cs="Cambria"/>
          <w:i/>
          <w:color w:val="231F20"/>
          <w:sz w:val="20"/>
          <w:szCs w:val="20"/>
        </w:rPr>
      </w:pPr>
    </w:p>
    <w:p w14:paraId="0739D93D" w14:textId="77777777" w:rsidR="005D5654" w:rsidRPr="005D5654" w:rsidRDefault="005D5654" w:rsidP="005D5654">
      <w:pPr>
        <w:widowControl/>
        <w:numPr>
          <w:ilvl w:val="0"/>
          <w:numId w:val="5"/>
        </w:numPr>
        <w:ind w:left="425" w:hanging="425"/>
        <w:jc w:val="both"/>
        <w:rPr>
          <w:rFonts w:ascii="Cambria" w:eastAsia="Cambria" w:hAnsi="Cambria" w:cs="Cambria"/>
          <w:color w:val="231F20"/>
          <w:sz w:val="20"/>
          <w:szCs w:val="20"/>
        </w:rPr>
      </w:pPr>
      <w:r w:rsidRPr="005D5654">
        <w:rPr>
          <w:rFonts w:ascii="Cambria" w:hAnsi="Cambria"/>
          <w:color w:val="231F20"/>
          <w:sz w:val="20"/>
          <w:szCs w:val="20"/>
        </w:rPr>
        <w:t>En relación con el párrafo 11,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Además, el SCRS asesorará sobre la eficacia de la restricción de la pesca dirigida en el golfo de México para reducir la mortalidad del atún rojo en edad de reproducción.</w:t>
      </w:r>
    </w:p>
    <w:p w14:paraId="514FB088" w14:textId="77777777" w:rsidR="005D5654" w:rsidRPr="005D5654" w:rsidRDefault="005D5654" w:rsidP="005D5654">
      <w:pPr>
        <w:rPr>
          <w:rFonts w:ascii="Cambria" w:eastAsia="Cambria" w:hAnsi="Cambria" w:cs="Cambria"/>
          <w:sz w:val="16"/>
          <w:szCs w:val="16"/>
        </w:rPr>
      </w:pPr>
    </w:p>
    <w:p w14:paraId="79343429"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5D5654" w:rsidRDefault="005D5654" w:rsidP="005D5654">
      <w:pPr>
        <w:rPr>
          <w:rFonts w:ascii="Cambria" w:eastAsia="Cambria" w:hAnsi="Cambria" w:cs="Cambria"/>
          <w:sz w:val="20"/>
          <w:szCs w:val="20"/>
        </w:rPr>
      </w:pPr>
    </w:p>
    <w:p w14:paraId="45743D67"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5D5654">
        <w:rPr>
          <w:rFonts w:ascii="Cambria" w:hAnsi="Cambria"/>
          <w:sz w:val="20"/>
          <w:szCs w:val="20"/>
        </w:rPr>
        <w:t xml:space="preserve"> </w:t>
      </w:r>
    </w:p>
    <w:p w14:paraId="176473D5" w14:textId="77777777" w:rsidR="005D5654" w:rsidRPr="005D5654" w:rsidRDefault="005D5654" w:rsidP="005D5654">
      <w:pPr>
        <w:widowControl/>
        <w:ind w:left="720"/>
        <w:jc w:val="both"/>
        <w:rPr>
          <w:rFonts w:ascii="Cambria" w:eastAsia="Cambria" w:hAnsi="Cambria" w:cs="Cambria"/>
          <w:sz w:val="20"/>
          <w:szCs w:val="20"/>
          <w:lang w:eastAsia="ja-JP"/>
        </w:rPr>
      </w:pPr>
    </w:p>
    <w:p w14:paraId="03BC7CF0" w14:textId="77777777" w:rsidR="005D5654" w:rsidRPr="005D5654" w:rsidRDefault="005D5654" w:rsidP="005D5654">
      <w:pPr>
        <w:widowControl/>
        <w:numPr>
          <w:ilvl w:val="0"/>
          <w:numId w:val="5"/>
        </w:numPr>
        <w:ind w:left="425" w:hanging="425"/>
        <w:jc w:val="both"/>
        <w:rPr>
          <w:rFonts w:ascii="Cambria" w:hAnsi="Cambria"/>
          <w:color w:val="231F20"/>
          <w:sz w:val="20"/>
          <w:szCs w:val="20"/>
        </w:rPr>
      </w:pPr>
      <w:r w:rsidRPr="005D5654">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5D5654" w:rsidRDefault="005D5654" w:rsidP="005D5654">
      <w:pPr>
        <w:tabs>
          <w:tab w:val="left" w:pos="530"/>
        </w:tabs>
        <w:ind w:left="528"/>
        <w:jc w:val="both"/>
        <w:rPr>
          <w:rFonts w:ascii="Cambria" w:hAnsi="Cambria"/>
          <w:color w:val="231F20"/>
          <w:sz w:val="20"/>
          <w:szCs w:val="20"/>
        </w:rPr>
      </w:pPr>
    </w:p>
    <w:p w14:paraId="4E0F9B26" w14:textId="77777777" w:rsidR="005D5654" w:rsidRPr="005D5654" w:rsidRDefault="005D5654" w:rsidP="005D5654">
      <w:pPr>
        <w:tabs>
          <w:tab w:val="left" w:pos="530"/>
        </w:tabs>
        <w:ind w:left="528"/>
        <w:jc w:val="both"/>
        <w:rPr>
          <w:rFonts w:ascii="Cambria" w:hAnsi="Cambria"/>
          <w:color w:val="231F20"/>
          <w:sz w:val="20"/>
          <w:szCs w:val="20"/>
        </w:rPr>
      </w:pPr>
    </w:p>
    <w:p w14:paraId="47BFCF68" w14:textId="77777777" w:rsidR="005D5654" w:rsidRPr="005D5654" w:rsidRDefault="005D5654" w:rsidP="005D5654">
      <w:pPr>
        <w:widowControl/>
        <w:numPr>
          <w:ilvl w:val="0"/>
          <w:numId w:val="5"/>
        </w:numPr>
        <w:ind w:left="425" w:hanging="425"/>
        <w:jc w:val="both"/>
        <w:rPr>
          <w:rFonts w:ascii="Cambria" w:eastAsia="Cambria" w:hAnsi="Cambria" w:cs="Cambria"/>
          <w:sz w:val="20"/>
          <w:szCs w:val="20"/>
        </w:rPr>
      </w:pPr>
      <w:r w:rsidRPr="005D5654">
        <w:rPr>
          <w:rFonts w:ascii="Cambria" w:hAnsi="Cambria"/>
          <w:color w:val="231F20"/>
          <w:sz w:val="20"/>
          <w:szCs w:val="20"/>
        </w:rPr>
        <w:lastRenderedPageBreak/>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5D5654" w:rsidRDefault="005D5654" w:rsidP="005D5654">
      <w:pPr>
        <w:ind w:right="129"/>
        <w:jc w:val="both"/>
        <w:rPr>
          <w:rFonts w:ascii="Cambria" w:eastAsia="Cambria" w:hAnsi="Cambria" w:cs="Cambria"/>
          <w:sz w:val="20"/>
          <w:szCs w:val="20"/>
        </w:rPr>
      </w:pPr>
    </w:p>
    <w:p w14:paraId="0CBBFDD4" w14:textId="77777777" w:rsidR="005D5654" w:rsidRPr="005D5654" w:rsidRDefault="005D5654" w:rsidP="005D5654">
      <w:pPr>
        <w:widowControl/>
        <w:numPr>
          <w:ilvl w:val="0"/>
          <w:numId w:val="5"/>
        </w:numPr>
        <w:ind w:left="425" w:hanging="425"/>
        <w:jc w:val="both"/>
        <w:rPr>
          <w:rFonts w:ascii="Cambria" w:hAnsi="Cambria"/>
          <w:color w:val="231F20"/>
          <w:sz w:val="20"/>
          <w:szCs w:val="20"/>
        </w:rPr>
      </w:pPr>
      <w:r w:rsidRPr="005D5654">
        <w:rPr>
          <w:rFonts w:ascii="Cambria" w:hAnsi="Cambria"/>
          <w:color w:val="231F20"/>
          <w:sz w:val="20"/>
          <w:szCs w:val="20"/>
        </w:rPr>
        <w:t xml:space="preserve">Esta Recomendación revoca y sustituye la </w:t>
      </w:r>
      <w:r w:rsidRPr="005D5654">
        <w:rPr>
          <w:rFonts w:ascii="Cambria" w:hAnsi="Cambria"/>
          <w:i/>
          <w:iCs/>
          <w:color w:val="231F20"/>
          <w:sz w:val="20"/>
          <w:szCs w:val="20"/>
        </w:rPr>
        <w:t>Recomendación de ICCAT para un plan provisional de conservación y ordenación para el atún rojo del Atlántico oeste</w:t>
      </w:r>
      <w:r w:rsidRPr="005D5654">
        <w:rPr>
          <w:rFonts w:ascii="Cambria" w:hAnsi="Cambria"/>
          <w:color w:val="231F20"/>
          <w:sz w:val="20"/>
          <w:szCs w:val="20"/>
        </w:rPr>
        <w:t xml:space="preserve"> (Rec. 17-06) tal y como fue enmendada por la </w:t>
      </w:r>
      <w:r w:rsidRPr="005D5654">
        <w:rPr>
          <w:rFonts w:ascii="Cambria" w:hAnsi="Cambria"/>
          <w:i/>
          <w:iCs/>
          <w:color w:val="231F20"/>
          <w:sz w:val="20"/>
          <w:szCs w:val="20"/>
        </w:rPr>
        <w:t>Recomendación de ICCAT que enmienda la Recomendación 17-06 para un plan provisional de conservación y ordenación para el atún rojo del Atlántico oeste</w:t>
      </w:r>
      <w:r w:rsidRPr="005D5654">
        <w:rPr>
          <w:rFonts w:ascii="Cambria" w:hAnsi="Cambria"/>
          <w:color w:val="231F20"/>
          <w:sz w:val="20"/>
          <w:szCs w:val="20"/>
        </w:rPr>
        <w:t xml:space="preserve"> (Rec. 21-07).</w:t>
      </w:r>
    </w:p>
    <w:p w14:paraId="23056A69" w14:textId="77777777" w:rsidR="005D5654" w:rsidRPr="005D5654" w:rsidRDefault="005D5654" w:rsidP="005D5654">
      <w:pPr>
        <w:widowControl/>
        <w:spacing w:after="160" w:line="259" w:lineRule="auto"/>
        <w:rPr>
          <w:rFonts w:ascii="Cambria" w:hAnsi="Cambria"/>
          <w:color w:val="231F20"/>
          <w:sz w:val="20"/>
          <w:szCs w:val="20"/>
        </w:rPr>
      </w:pPr>
    </w:p>
    <w:p w14:paraId="7A841C58" w14:textId="7796E15D" w:rsidR="00F51AFC" w:rsidRPr="00B608F5" w:rsidRDefault="00F51AFC" w:rsidP="005D5654">
      <w:pPr>
        <w:tabs>
          <w:tab w:val="left" w:pos="426"/>
          <w:tab w:val="center" w:pos="4680"/>
          <w:tab w:val="left" w:pos="6430"/>
        </w:tabs>
        <w:jc w:val="center"/>
        <w:rPr>
          <w:rFonts w:ascii="Cambria" w:eastAsia="Cambria" w:hAnsi="Cambria" w:cs="Cambria"/>
          <w:sz w:val="20"/>
          <w:szCs w:val="20"/>
        </w:rPr>
      </w:pPr>
    </w:p>
    <w:sectPr w:rsidR="00F51AFC" w:rsidRPr="00B608F5">
      <w:footerReference w:type="default" r:id="rId7"/>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36E838DA" w:rsidR="00F51AFC" w:rsidRPr="000F0AAA" w:rsidRDefault="007057A8" w:rsidP="00A168A4">
    <w:pPr>
      <w:tabs>
        <w:tab w:val="center" w:pos="4535"/>
        <w:tab w:val="center" w:pos="4680"/>
        <w:tab w:val="left" w:pos="6150"/>
        <w:tab w:val="right" w:pos="9360"/>
      </w:tabs>
      <w:jc w:val="center"/>
      <w:rPr>
        <w:rFonts w:ascii="Cambria" w:hAnsi="Cambria"/>
        <w:sz w:val="20"/>
        <w:szCs w:val="20"/>
      </w:rPr>
    </w:pPr>
    <w:r w:rsidRPr="000F0AAA">
      <w:rPr>
        <w:rFonts w:ascii="Cambria" w:hAnsi="Cambria"/>
        <w:sz w:val="20"/>
        <w:szCs w:val="20"/>
      </w:rPr>
      <w:fldChar w:fldCharType="begin"/>
    </w:r>
    <w:r w:rsidRPr="000F0AAA">
      <w:rPr>
        <w:rFonts w:ascii="Cambria" w:hAnsi="Cambria"/>
        <w:sz w:val="20"/>
        <w:szCs w:val="20"/>
      </w:rPr>
      <w:instrText xml:space="preserve"> PAGE </w:instrText>
    </w:r>
    <w:r w:rsidRPr="000F0AAA">
      <w:rPr>
        <w:rFonts w:ascii="Cambria" w:hAnsi="Cambria"/>
        <w:sz w:val="20"/>
        <w:szCs w:val="20"/>
      </w:rPr>
      <w:fldChar w:fldCharType="separate"/>
    </w:r>
    <w:r w:rsidRPr="000F0AAA">
      <w:rPr>
        <w:rFonts w:ascii="Cambria" w:hAnsi="Cambria"/>
        <w:sz w:val="20"/>
        <w:szCs w:val="20"/>
      </w:rPr>
      <w:t>1</w:t>
    </w:r>
    <w:r w:rsidRPr="000F0AAA">
      <w:rPr>
        <w:rFonts w:ascii="Cambria" w:hAnsi="Cambria"/>
        <w:sz w:val="20"/>
        <w:szCs w:val="20"/>
      </w:rPr>
      <w:fldChar w:fldCharType="end"/>
    </w:r>
    <w:r w:rsidRPr="000F0AAA">
      <w:rPr>
        <w:rFonts w:ascii="Cambria" w:hAnsi="Cambr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 w:id="1">
    <w:p w14:paraId="21D0010F" w14:textId="77777777" w:rsidR="005D5654" w:rsidRPr="00AD6039" w:rsidRDefault="005D5654" w:rsidP="005D5654">
      <w:pPr>
        <w:pStyle w:val="FootnoteText"/>
        <w:rPr>
          <w:rFonts w:ascii="Cambria" w:hAnsi="Cambria"/>
          <w:sz w:val="16"/>
          <w:szCs w:val="16"/>
          <w:lang w:val="es-ES"/>
        </w:rPr>
      </w:pPr>
      <w:r w:rsidRPr="00AD6039">
        <w:rPr>
          <w:rStyle w:val="FootnoteReference"/>
          <w:rFonts w:ascii="Cambria" w:hAnsi="Cambria"/>
          <w:sz w:val="16"/>
          <w:szCs w:val="16"/>
          <w:vertAlign w:val="superscript"/>
        </w:rPr>
        <w:footnoteRef/>
      </w:r>
      <w:r w:rsidRPr="00A0712D">
        <w:rPr>
          <w:rFonts w:ascii="Cambria" w:hAnsi="Cambria"/>
          <w:sz w:val="16"/>
          <w:szCs w:val="16"/>
          <w:vertAlign w:val="superscript"/>
          <w:lang w:val="es-ES"/>
        </w:rPr>
        <w:t xml:space="preserve"> </w:t>
      </w:r>
      <w:r>
        <w:rPr>
          <w:rFonts w:ascii="Cambria" w:hAnsi="Cambria"/>
          <w:sz w:val="16"/>
          <w:szCs w:val="16"/>
          <w:lang w:val="es-ES"/>
        </w:rPr>
        <w:t>Esta medida fue r</w:t>
      </w:r>
      <w:r w:rsidRPr="00AD6039">
        <w:rPr>
          <w:rFonts w:ascii="Cambria" w:hAnsi="Cambria"/>
          <w:sz w:val="16"/>
          <w:szCs w:val="16"/>
          <w:lang w:val="es-ES"/>
        </w:rPr>
        <w:t>evocada y sustituida por la R</w:t>
      </w:r>
      <w:r>
        <w:rPr>
          <w:rFonts w:ascii="Cambria" w:hAnsi="Cambria"/>
          <w:sz w:val="16"/>
          <w:szCs w:val="16"/>
          <w:lang w:val="es-ES"/>
        </w:rPr>
        <w:t>e</w:t>
      </w:r>
      <w:r w:rsidRPr="00AD6039">
        <w:rPr>
          <w:rFonts w:ascii="Cambria" w:hAnsi="Cambria"/>
          <w:sz w:val="16"/>
          <w:szCs w:val="16"/>
          <w:lang w:val="es-ES"/>
        </w:rPr>
        <w:t>c</w:t>
      </w:r>
      <w:r>
        <w:rPr>
          <w:rFonts w:ascii="Cambria" w:hAnsi="Cambria"/>
          <w:sz w:val="16"/>
          <w:szCs w:val="16"/>
          <w:lang w:val="es-ES"/>
        </w:rPr>
        <w:t>omendación</w:t>
      </w:r>
      <w:r w:rsidRPr="00AD6039">
        <w:rPr>
          <w:rFonts w:ascii="Cambria" w:hAnsi="Cambria"/>
          <w:sz w:val="16"/>
          <w:szCs w:val="16"/>
          <w:lang w:val="es-ES"/>
        </w:rPr>
        <w:t xml:space="preserve"> 23-07.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34213823">
    <w:abstractNumId w:val="6"/>
  </w:num>
  <w:num w:numId="2" w16cid:durableId="1999772464">
    <w:abstractNumId w:val="4"/>
  </w:num>
  <w:num w:numId="3" w16cid:durableId="1466775541">
    <w:abstractNumId w:val="1"/>
  </w:num>
  <w:num w:numId="4" w16cid:durableId="1769110195">
    <w:abstractNumId w:val="2"/>
  </w:num>
  <w:num w:numId="5" w16cid:durableId="790323733">
    <w:abstractNumId w:val="3"/>
  </w:num>
  <w:num w:numId="6" w16cid:durableId="1265111111">
    <w:abstractNumId w:val="0"/>
  </w:num>
  <w:num w:numId="7" w16cid:durableId="1240600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343DA"/>
    <w:rsid w:val="00062DE8"/>
    <w:rsid w:val="00070ED2"/>
    <w:rsid w:val="0007696E"/>
    <w:rsid w:val="00085CAE"/>
    <w:rsid w:val="000B4724"/>
    <w:rsid w:val="000B79F1"/>
    <w:rsid w:val="000C2F6B"/>
    <w:rsid w:val="000F0AAA"/>
    <w:rsid w:val="000F4DA7"/>
    <w:rsid w:val="0015158D"/>
    <w:rsid w:val="00181183"/>
    <w:rsid w:val="001913D7"/>
    <w:rsid w:val="001B06E2"/>
    <w:rsid w:val="001B6778"/>
    <w:rsid w:val="001F4B30"/>
    <w:rsid w:val="002078C2"/>
    <w:rsid w:val="00267873"/>
    <w:rsid w:val="002754DF"/>
    <w:rsid w:val="002979C6"/>
    <w:rsid w:val="002B07B3"/>
    <w:rsid w:val="002E4FB5"/>
    <w:rsid w:val="002F0939"/>
    <w:rsid w:val="002F5405"/>
    <w:rsid w:val="00367B46"/>
    <w:rsid w:val="003847B9"/>
    <w:rsid w:val="003B4E85"/>
    <w:rsid w:val="003C3446"/>
    <w:rsid w:val="003F3D45"/>
    <w:rsid w:val="00416E35"/>
    <w:rsid w:val="004639DD"/>
    <w:rsid w:val="004C13E1"/>
    <w:rsid w:val="004F6611"/>
    <w:rsid w:val="00522BD1"/>
    <w:rsid w:val="005252E2"/>
    <w:rsid w:val="005476F0"/>
    <w:rsid w:val="00573C3D"/>
    <w:rsid w:val="005814D5"/>
    <w:rsid w:val="00595393"/>
    <w:rsid w:val="005B54F4"/>
    <w:rsid w:val="005B695E"/>
    <w:rsid w:val="005D5654"/>
    <w:rsid w:val="00633750"/>
    <w:rsid w:val="00641984"/>
    <w:rsid w:val="00642DD9"/>
    <w:rsid w:val="006442A8"/>
    <w:rsid w:val="006A14F8"/>
    <w:rsid w:val="006F2A01"/>
    <w:rsid w:val="007057A8"/>
    <w:rsid w:val="00773F9B"/>
    <w:rsid w:val="0077450F"/>
    <w:rsid w:val="00782999"/>
    <w:rsid w:val="007B2ADD"/>
    <w:rsid w:val="007D322F"/>
    <w:rsid w:val="008B48B4"/>
    <w:rsid w:val="008E739C"/>
    <w:rsid w:val="00924B5C"/>
    <w:rsid w:val="0094279B"/>
    <w:rsid w:val="0096539A"/>
    <w:rsid w:val="0099145B"/>
    <w:rsid w:val="009A5DB5"/>
    <w:rsid w:val="009D1852"/>
    <w:rsid w:val="009D3F12"/>
    <w:rsid w:val="009E4642"/>
    <w:rsid w:val="00A168A4"/>
    <w:rsid w:val="00A20149"/>
    <w:rsid w:val="00AA5339"/>
    <w:rsid w:val="00AC6383"/>
    <w:rsid w:val="00B608F5"/>
    <w:rsid w:val="00BB586E"/>
    <w:rsid w:val="00BB709E"/>
    <w:rsid w:val="00C660AE"/>
    <w:rsid w:val="00C85FA9"/>
    <w:rsid w:val="00C95149"/>
    <w:rsid w:val="00D57518"/>
    <w:rsid w:val="00D57A59"/>
    <w:rsid w:val="00DA0817"/>
    <w:rsid w:val="00E30342"/>
    <w:rsid w:val="00E56549"/>
    <w:rsid w:val="00E73F93"/>
    <w:rsid w:val="00E81F89"/>
    <w:rsid w:val="00EA3638"/>
    <w:rsid w:val="00EA4C98"/>
    <w:rsid w:val="00EB50CC"/>
    <w:rsid w:val="00EC0E9E"/>
    <w:rsid w:val="00F02495"/>
    <w:rsid w:val="00F132C2"/>
    <w:rsid w:val="00F1736F"/>
    <w:rsid w:val="00F221C2"/>
    <w:rsid w:val="00F329D7"/>
    <w:rsid w:val="00F339B2"/>
    <w:rsid w:val="00F51AFC"/>
    <w:rsid w:val="00F67376"/>
    <w:rsid w:val="00FA4697"/>
    <w:rsid w:val="00FA7565"/>
    <w:rsid w:val="00FB1F47"/>
    <w:rsid w:val="00FE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2820</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2022-11-20T16:42:00Z</dcterms:created>
  <dcterms:modified xsi:type="dcterms:W3CDTF">2025-06-17T13:42:00Z</dcterms:modified>
</cp:coreProperties>
</file>