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332D" w14:textId="1059173B" w:rsidR="004E55B7" w:rsidRPr="003072DA" w:rsidRDefault="000E2DE0" w:rsidP="000E2DE0">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3072DA">
        <w:rPr>
          <w:rFonts w:ascii="Cambria" w:hAnsi="Cambria"/>
          <w:sz w:val="20"/>
          <w:szCs w:val="20"/>
        </w:rPr>
        <w:t>22-</w:t>
      </w:r>
      <w:r w:rsidR="00520515" w:rsidRPr="003072DA">
        <w:rPr>
          <w:rFonts w:ascii="Cambria" w:hAnsi="Cambria"/>
          <w:sz w:val="20"/>
          <w:szCs w:val="20"/>
        </w:rPr>
        <w:t>06</w:t>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Pr="003072DA">
        <w:rPr>
          <w:rFonts w:ascii="Cambria" w:hAnsi="Cambria"/>
          <w:sz w:val="20"/>
          <w:szCs w:val="20"/>
        </w:rPr>
        <w:tab/>
      </w:r>
      <w:r w:rsidR="002270EB" w:rsidRPr="003072DA">
        <w:rPr>
          <w:rFonts w:ascii="Cambria" w:hAnsi="Cambria"/>
          <w:sz w:val="20"/>
          <w:szCs w:val="20"/>
        </w:rPr>
        <w:t>ALB</w:t>
      </w:r>
    </w:p>
    <w:p w14:paraId="65AA71BE" w14:textId="6C224D22" w:rsidR="00AB1973" w:rsidRPr="003072DA" w:rsidRDefault="00AB1973" w:rsidP="000E2DE0">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3072DA">
        <w:rPr>
          <w:rFonts w:ascii="Cambria" w:hAnsi="Cambria"/>
          <w:sz w:val="20"/>
          <w:szCs w:val="20"/>
        </w:rPr>
        <w:t>RECOMENDACIÓN DE ICCAT SOBRE LÍMITES DE CAPTURA</w:t>
      </w:r>
    </w:p>
    <w:p w14:paraId="4C6A110F" w14:textId="2DF2D61A" w:rsidR="00AB1973" w:rsidRPr="003072DA" w:rsidRDefault="00AB1973" w:rsidP="000E2DE0">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3072DA">
        <w:rPr>
          <w:rFonts w:ascii="Cambria" w:hAnsi="Cambria"/>
          <w:sz w:val="20"/>
          <w:szCs w:val="20"/>
        </w:rPr>
        <w:t>DE ATÚN BLANCO DEL ATLÁNTICO SUR PARA EL PERIODO 2023-2026</w:t>
      </w:r>
    </w:p>
    <w:p w14:paraId="580C665B" w14:textId="77777777" w:rsidR="000E2DE0" w:rsidRPr="003072DA" w:rsidRDefault="000E2DE0" w:rsidP="000E2DE0">
      <w:pPr>
        <w:pStyle w:val="Heading5"/>
        <w:pBdr>
          <w:top w:val="double" w:sz="4" w:space="1" w:color="auto"/>
          <w:left w:val="double" w:sz="4" w:space="4" w:color="auto"/>
          <w:bottom w:val="double" w:sz="4" w:space="1" w:color="auto"/>
          <w:right w:val="double" w:sz="4" w:space="4" w:color="auto"/>
        </w:pBdr>
        <w:rPr>
          <w:rFonts w:eastAsia="Calibri"/>
          <w:sz w:val="6"/>
          <w:szCs w:val="2"/>
        </w:rPr>
      </w:pPr>
    </w:p>
    <w:p w14:paraId="5690D49B" w14:textId="0D392C62" w:rsidR="00AB1973" w:rsidRPr="003072DA" w:rsidRDefault="00AB1973" w:rsidP="00AB1973">
      <w:pPr>
        <w:autoSpaceDE w:val="0"/>
        <w:autoSpaceDN w:val="0"/>
        <w:adjustRightInd w:val="0"/>
        <w:jc w:val="center"/>
        <w:rPr>
          <w:rFonts w:ascii="Cambria" w:eastAsia="Calibri" w:hAnsi="Cambria"/>
          <w:b/>
          <w:bCs/>
          <w:sz w:val="20"/>
          <w:szCs w:val="20"/>
        </w:rPr>
      </w:pPr>
    </w:p>
    <w:p w14:paraId="5079DE85" w14:textId="4B819CF5" w:rsidR="00FD12B4" w:rsidRPr="003072DA" w:rsidRDefault="00FD12B4" w:rsidP="00B6415A">
      <w:pPr>
        <w:tabs>
          <w:tab w:val="left" w:pos="426"/>
        </w:tabs>
        <w:autoSpaceDE w:val="0"/>
        <w:autoSpaceDN w:val="0"/>
        <w:adjustRightInd w:val="0"/>
        <w:spacing w:line="220" w:lineRule="exact"/>
        <w:jc w:val="both"/>
        <w:rPr>
          <w:rFonts w:ascii="Cambria" w:eastAsia="Calibri" w:hAnsi="Cambria"/>
          <w:sz w:val="20"/>
          <w:szCs w:val="20"/>
        </w:rPr>
      </w:pPr>
      <w:r w:rsidRPr="003072DA">
        <w:rPr>
          <w:rFonts w:ascii="Cambria" w:eastAsia="Calibri" w:hAnsi="Cambria"/>
          <w:i/>
          <w:sz w:val="20"/>
          <w:szCs w:val="20"/>
        </w:rPr>
        <w:tab/>
        <w:t xml:space="preserve">CONSTATANDO </w:t>
      </w:r>
      <w:r w:rsidRPr="003072DA">
        <w:rPr>
          <w:rFonts w:ascii="Cambria" w:eastAsia="Calibri" w:hAnsi="Cambria"/>
          <w:sz w:val="20"/>
          <w:szCs w:val="20"/>
        </w:rPr>
        <w:t>las conclusiones del Informe del SCRS de 20</w:t>
      </w:r>
      <w:r w:rsidR="00AB1973" w:rsidRPr="003072DA">
        <w:rPr>
          <w:rFonts w:ascii="Cambria" w:eastAsia="Calibri" w:hAnsi="Cambria"/>
          <w:sz w:val="20"/>
          <w:szCs w:val="20"/>
        </w:rPr>
        <w:t>20</w:t>
      </w:r>
      <w:r w:rsidRPr="003072DA">
        <w:rPr>
          <w:rFonts w:ascii="Cambria" w:eastAsia="Calibri" w:hAnsi="Cambria"/>
          <w:sz w:val="20"/>
          <w:szCs w:val="20"/>
        </w:rPr>
        <w:t xml:space="preserve"> en cuanto a que es muy probable que el stock de atún blanco del </w:t>
      </w:r>
      <w:r w:rsidR="00AB1973" w:rsidRPr="003072DA">
        <w:rPr>
          <w:rFonts w:ascii="Cambria" w:eastAsia="Calibri" w:hAnsi="Cambria"/>
          <w:sz w:val="20"/>
          <w:szCs w:val="20"/>
        </w:rPr>
        <w:t xml:space="preserve">Atlántico </w:t>
      </w:r>
      <w:r w:rsidRPr="003072DA">
        <w:rPr>
          <w:rFonts w:ascii="Cambria" w:eastAsia="Calibri" w:hAnsi="Cambria"/>
          <w:sz w:val="20"/>
          <w:szCs w:val="20"/>
        </w:rPr>
        <w:t xml:space="preserve">sur no esté sobrepescado y no esté siendo objeto de sobrepesca; </w:t>
      </w:r>
    </w:p>
    <w:p w14:paraId="6E5A79EB" w14:textId="77777777" w:rsidR="00FD12B4" w:rsidRPr="003072DA" w:rsidRDefault="00FD12B4" w:rsidP="00FD12B4">
      <w:pPr>
        <w:autoSpaceDE w:val="0"/>
        <w:autoSpaceDN w:val="0"/>
        <w:adjustRightInd w:val="0"/>
        <w:spacing w:line="220" w:lineRule="exact"/>
        <w:jc w:val="both"/>
        <w:rPr>
          <w:rFonts w:ascii="Cambria" w:eastAsia="Calibri" w:hAnsi="Cambria"/>
          <w:sz w:val="20"/>
          <w:szCs w:val="20"/>
        </w:rPr>
      </w:pPr>
    </w:p>
    <w:p w14:paraId="3B9710E9" w14:textId="475A5409" w:rsidR="00FD12B4" w:rsidRPr="003072DA" w:rsidRDefault="00FD12B4" w:rsidP="00B6415A">
      <w:pPr>
        <w:tabs>
          <w:tab w:val="left" w:pos="426"/>
        </w:tabs>
        <w:autoSpaceDE w:val="0"/>
        <w:autoSpaceDN w:val="0"/>
        <w:adjustRightInd w:val="0"/>
        <w:spacing w:line="220" w:lineRule="exact"/>
        <w:jc w:val="both"/>
        <w:rPr>
          <w:rFonts w:ascii="Cambria" w:eastAsia="Calibri" w:hAnsi="Cambria"/>
          <w:sz w:val="20"/>
          <w:szCs w:val="20"/>
        </w:rPr>
      </w:pPr>
      <w:r w:rsidRPr="003072DA">
        <w:rPr>
          <w:rFonts w:ascii="Cambria" w:eastAsia="Calibri" w:hAnsi="Cambria"/>
          <w:i/>
          <w:sz w:val="20"/>
          <w:szCs w:val="20"/>
        </w:rPr>
        <w:tab/>
        <w:t xml:space="preserve">CONSTATANDO </w:t>
      </w:r>
      <w:r w:rsidR="004710D7" w:rsidRPr="003072DA">
        <w:rPr>
          <w:rFonts w:ascii="Cambria" w:eastAsia="Calibri" w:hAnsi="Cambria"/>
          <w:i/>
          <w:iCs/>
          <w:sz w:val="20"/>
          <w:szCs w:val="20"/>
        </w:rPr>
        <w:t>ADEMÁS</w:t>
      </w:r>
      <w:r w:rsidR="004710D7" w:rsidRPr="003072DA">
        <w:rPr>
          <w:rFonts w:ascii="Cambria" w:eastAsia="Calibri" w:hAnsi="Cambria"/>
          <w:sz w:val="20"/>
          <w:szCs w:val="20"/>
        </w:rPr>
        <w:t xml:space="preserve"> </w:t>
      </w:r>
      <w:r w:rsidRPr="003072DA">
        <w:rPr>
          <w:rFonts w:ascii="Cambria" w:eastAsia="Calibri" w:hAnsi="Cambria"/>
          <w:sz w:val="20"/>
          <w:szCs w:val="20"/>
        </w:rPr>
        <w:t xml:space="preserve">que el SCRS concluyó que las proyecciones </w:t>
      </w:r>
      <w:r w:rsidR="004710D7" w:rsidRPr="003072DA">
        <w:rPr>
          <w:rFonts w:ascii="Cambria" w:eastAsia="Calibri" w:hAnsi="Cambria"/>
          <w:sz w:val="20"/>
          <w:szCs w:val="20"/>
        </w:rPr>
        <w:t xml:space="preserve">del </w:t>
      </w:r>
      <w:r w:rsidR="00E379C4" w:rsidRPr="003072DA">
        <w:rPr>
          <w:rFonts w:ascii="Cambria" w:eastAsia="Calibri" w:hAnsi="Cambria"/>
          <w:sz w:val="20"/>
          <w:szCs w:val="20"/>
        </w:rPr>
        <w:t xml:space="preserve">stock de </w:t>
      </w:r>
      <w:r w:rsidR="004710D7" w:rsidRPr="003072DA">
        <w:rPr>
          <w:rFonts w:ascii="Cambria" w:eastAsia="Calibri" w:hAnsi="Cambria"/>
          <w:sz w:val="20"/>
          <w:szCs w:val="20"/>
        </w:rPr>
        <w:t xml:space="preserve">atún blanco del Atlántico sur </w:t>
      </w:r>
      <w:r w:rsidRPr="003072DA">
        <w:rPr>
          <w:rFonts w:ascii="Cambria" w:eastAsia="Calibri" w:hAnsi="Cambria"/>
          <w:sz w:val="20"/>
          <w:szCs w:val="20"/>
        </w:rPr>
        <w:t xml:space="preserve">con un nivel </w:t>
      </w:r>
      <w:r w:rsidR="004710D7" w:rsidRPr="003072DA">
        <w:rPr>
          <w:rFonts w:ascii="Cambria" w:eastAsia="Calibri" w:hAnsi="Cambria"/>
          <w:sz w:val="20"/>
          <w:szCs w:val="20"/>
        </w:rPr>
        <w:t xml:space="preserve">de captura constante </w:t>
      </w:r>
      <w:r w:rsidRPr="003072DA">
        <w:rPr>
          <w:rFonts w:ascii="Cambria" w:eastAsia="Calibri" w:hAnsi="Cambria"/>
          <w:sz w:val="20"/>
          <w:szCs w:val="20"/>
        </w:rPr>
        <w:t>de 2</w:t>
      </w:r>
      <w:r w:rsidR="004710D7" w:rsidRPr="003072DA">
        <w:rPr>
          <w:rFonts w:ascii="Cambria" w:eastAsia="Calibri" w:hAnsi="Cambria"/>
          <w:sz w:val="20"/>
          <w:szCs w:val="20"/>
        </w:rPr>
        <w:t>8</w:t>
      </w:r>
      <w:r w:rsidRPr="003072DA">
        <w:rPr>
          <w:rFonts w:ascii="Cambria" w:eastAsia="Calibri" w:hAnsi="Cambria"/>
          <w:sz w:val="20"/>
          <w:szCs w:val="20"/>
        </w:rPr>
        <w:t>.000 t</w:t>
      </w:r>
      <w:r w:rsidR="004710D7" w:rsidRPr="003072DA">
        <w:rPr>
          <w:rFonts w:ascii="Cambria" w:eastAsia="Calibri" w:hAnsi="Cambria"/>
          <w:sz w:val="20"/>
          <w:szCs w:val="20"/>
        </w:rPr>
        <w:t xml:space="preserve"> resultaría en una </w:t>
      </w:r>
      <w:r w:rsidRPr="003072DA">
        <w:rPr>
          <w:rFonts w:ascii="Cambria" w:eastAsia="Calibri" w:hAnsi="Cambria"/>
          <w:sz w:val="20"/>
          <w:szCs w:val="20"/>
        </w:rPr>
        <w:t xml:space="preserve">probabilidad </w:t>
      </w:r>
      <w:r w:rsidR="004710D7" w:rsidRPr="003072DA">
        <w:rPr>
          <w:rFonts w:ascii="Cambria" w:eastAsia="Calibri" w:hAnsi="Cambria"/>
          <w:sz w:val="20"/>
          <w:szCs w:val="20"/>
        </w:rPr>
        <w:t xml:space="preserve">del 83 % </w:t>
      </w:r>
      <w:r w:rsidRPr="003072DA">
        <w:rPr>
          <w:rFonts w:ascii="Cambria" w:eastAsia="Calibri" w:hAnsi="Cambria"/>
          <w:sz w:val="20"/>
          <w:szCs w:val="20"/>
        </w:rPr>
        <w:t>de situar</w:t>
      </w:r>
      <w:r w:rsidR="002270EB" w:rsidRPr="003072DA">
        <w:rPr>
          <w:rFonts w:ascii="Cambria" w:eastAsia="Calibri" w:hAnsi="Cambria"/>
          <w:sz w:val="20"/>
          <w:szCs w:val="20"/>
        </w:rPr>
        <w:t xml:space="preserve"> al stock</w:t>
      </w:r>
      <w:r w:rsidRPr="003072DA">
        <w:rPr>
          <w:rFonts w:ascii="Cambria" w:eastAsia="Calibri" w:hAnsi="Cambria"/>
          <w:sz w:val="20"/>
          <w:szCs w:val="20"/>
        </w:rPr>
        <w:t xml:space="preserve"> en el cuadrante verde de</w:t>
      </w:r>
      <w:r w:rsidR="00930ADE" w:rsidRPr="003072DA">
        <w:rPr>
          <w:rFonts w:ascii="Cambria" w:eastAsia="Calibri" w:hAnsi="Cambria"/>
          <w:sz w:val="20"/>
          <w:szCs w:val="20"/>
        </w:rPr>
        <w:t>l diagrama de</w:t>
      </w:r>
      <w:r w:rsidRPr="003072DA">
        <w:rPr>
          <w:rFonts w:ascii="Cambria" w:eastAsia="Calibri" w:hAnsi="Cambria"/>
          <w:sz w:val="20"/>
          <w:szCs w:val="20"/>
        </w:rPr>
        <w:t xml:space="preserve"> Kobe desde ahora hasta 20</w:t>
      </w:r>
      <w:r w:rsidR="004710D7" w:rsidRPr="003072DA">
        <w:rPr>
          <w:rFonts w:ascii="Cambria" w:eastAsia="Calibri" w:hAnsi="Cambria"/>
          <w:sz w:val="20"/>
          <w:szCs w:val="20"/>
        </w:rPr>
        <w:t>33</w:t>
      </w:r>
      <w:r w:rsidR="00930ADE" w:rsidRPr="003072DA">
        <w:rPr>
          <w:rFonts w:ascii="Cambria" w:eastAsia="Calibri" w:hAnsi="Cambria"/>
          <w:sz w:val="20"/>
          <w:szCs w:val="20"/>
        </w:rPr>
        <w:t>;</w:t>
      </w:r>
      <w:r w:rsidRPr="003072DA">
        <w:rPr>
          <w:rFonts w:ascii="Cambria" w:eastAsia="Calibri" w:hAnsi="Cambria"/>
          <w:sz w:val="20"/>
          <w:szCs w:val="20"/>
        </w:rPr>
        <w:t xml:space="preserve"> </w:t>
      </w:r>
    </w:p>
    <w:p w14:paraId="4040B14F" w14:textId="0CDF07BB" w:rsidR="000A3422" w:rsidRPr="003072DA" w:rsidRDefault="000A3422" w:rsidP="00B6415A">
      <w:pPr>
        <w:tabs>
          <w:tab w:val="left" w:pos="426"/>
        </w:tabs>
        <w:autoSpaceDE w:val="0"/>
        <w:autoSpaceDN w:val="0"/>
        <w:adjustRightInd w:val="0"/>
        <w:spacing w:line="220" w:lineRule="exact"/>
        <w:jc w:val="both"/>
        <w:rPr>
          <w:rFonts w:ascii="Cambria" w:eastAsia="Calibri" w:hAnsi="Cambria"/>
          <w:sz w:val="20"/>
          <w:szCs w:val="20"/>
        </w:rPr>
      </w:pPr>
    </w:p>
    <w:p w14:paraId="6612D728" w14:textId="6165F44D" w:rsidR="000A3422" w:rsidRPr="003072DA" w:rsidRDefault="000A3422" w:rsidP="000A3422">
      <w:pPr>
        <w:tabs>
          <w:tab w:val="left" w:pos="426"/>
        </w:tabs>
        <w:autoSpaceDE w:val="0"/>
        <w:autoSpaceDN w:val="0"/>
        <w:adjustRightInd w:val="0"/>
        <w:spacing w:line="220" w:lineRule="exact"/>
        <w:jc w:val="both"/>
        <w:rPr>
          <w:rFonts w:eastAsia="Calibri"/>
          <w:i/>
          <w:iCs/>
          <w:sz w:val="20"/>
          <w:szCs w:val="20"/>
        </w:rPr>
      </w:pPr>
      <w:r w:rsidRPr="003072DA">
        <w:rPr>
          <w:rFonts w:eastAsia="Calibri"/>
          <w:i/>
          <w:iCs/>
          <w:sz w:val="20"/>
          <w:szCs w:val="20"/>
        </w:rPr>
        <w:tab/>
        <w:t xml:space="preserve">RECONOCIENDO </w:t>
      </w:r>
      <w:r w:rsidRPr="003072DA">
        <w:rPr>
          <w:rFonts w:eastAsia="Calibri"/>
          <w:iCs/>
          <w:sz w:val="20"/>
          <w:szCs w:val="20"/>
        </w:rPr>
        <w:t>que las capturas de atún blanco del Atlántico sur se han situado muy por debajo del TAC actual de 24.000 t, excepto para 2021;</w:t>
      </w:r>
    </w:p>
    <w:p w14:paraId="375D8916" w14:textId="77777777" w:rsidR="000A3422" w:rsidRPr="003072DA" w:rsidRDefault="000A3422" w:rsidP="00B6415A">
      <w:pPr>
        <w:tabs>
          <w:tab w:val="left" w:pos="426"/>
        </w:tabs>
        <w:autoSpaceDE w:val="0"/>
        <w:autoSpaceDN w:val="0"/>
        <w:adjustRightInd w:val="0"/>
        <w:spacing w:line="220" w:lineRule="exact"/>
        <w:jc w:val="both"/>
        <w:rPr>
          <w:rFonts w:eastAsia="Calibri"/>
          <w:i/>
          <w:iCs/>
          <w:sz w:val="20"/>
          <w:szCs w:val="20"/>
        </w:rPr>
      </w:pPr>
    </w:p>
    <w:p w14:paraId="7D84086B" w14:textId="3551AD56" w:rsidR="00BD53C9" w:rsidRPr="003072DA" w:rsidRDefault="00BD53C9" w:rsidP="00B6415A">
      <w:pPr>
        <w:tabs>
          <w:tab w:val="left" w:pos="426"/>
        </w:tabs>
        <w:autoSpaceDE w:val="0"/>
        <w:autoSpaceDN w:val="0"/>
        <w:adjustRightInd w:val="0"/>
        <w:spacing w:line="220" w:lineRule="exact"/>
        <w:jc w:val="both"/>
        <w:rPr>
          <w:rFonts w:eastAsia="Calibri"/>
          <w:i/>
          <w:iCs/>
          <w:sz w:val="20"/>
          <w:szCs w:val="20"/>
        </w:rPr>
      </w:pPr>
      <w:r w:rsidRPr="003072DA">
        <w:rPr>
          <w:rFonts w:eastAsia="Calibri"/>
          <w:i/>
          <w:iCs/>
          <w:sz w:val="20"/>
          <w:szCs w:val="20"/>
        </w:rPr>
        <w:tab/>
        <w:t xml:space="preserve">RECONOCIENDO </w:t>
      </w:r>
      <w:r w:rsidR="000A3422" w:rsidRPr="003072DA">
        <w:rPr>
          <w:rFonts w:eastAsia="Calibri"/>
          <w:i/>
          <w:iCs/>
          <w:sz w:val="20"/>
          <w:szCs w:val="20"/>
        </w:rPr>
        <w:t xml:space="preserve">ADEMÁS </w:t>
      </w:r>
      <w:r w:rsidRPr="003072DA">
        <w:rPr>
          <w:rFonts w:eastAsia="Calibri"/>
          <w:iCs/>
          <w:sz w:val="20"/>
          <w:szCs w:val="20"/>
        </w:rPr>
        <w:t xml:space="preserve">que las capturas totales anuales declaradas han sido considerablemente inferiores al </w:t>
      </w:r>
      <w:r w:rsidR="002270EB" w:rsidRPr="003072DA">
        <w:rPr>
          <w:rFonts w:eastAsia="Calibri"/>
          <w:iCs/>
          <w:sz w:val="20"/>
          <w:szCs w:val="20"/>
        </w:rPr>
        <w:t>rendimiento máximo sostenible (</w:t>
      </w:r>
      <w:r w:rsidRPr="003072DA">
        <w:rPr>
          <w:rFonts w:eastAsia="Calibri"/>
          <w:iCs/>
          <w:sz w:val="20"/>
          <w:szCs w:val="20"/>
        </w:rPr>
        <w:t>RMS</w:t>
      </w:r>
      <w:r w:rsidR="002270EB" w:rsidRPr="003072DA">
        <w:rPr>
          <w:rFonts w:eastAsia="Calibri"/>
          <w:iCs/>
          <w:sz w:val="20"/>
          <w:szCs w:val="20"/>
        </w:rPr>
        <w:t>)</w:t>
      </w:r>
      <w:r w:rsidRPr="003072DA">
        <w:rPr>
          <w:rFonts w:eastAsia="Calibri"/>
          <w:iCs/>
          <w:sz w:val="20"/>
          <w:szCs w:val="20"/>
        </w:rPr>
        <w:t>;</w:t>
      </w:r>
    </w:p>
    <w:p w14:paraId="7F51BB1B" w14:textId="77777777" w:rsidR="00BD53C9" w:rsidRPr="003072DA" w:rsidRDefault="00BD53C9" w:rsidP="00FD12B4">
      <w:pPr>
        <w:tabs>
          <w:tab w:val="left" w:pos="284"/>
        </w:tabs>
        <w:autoSpaceDE w:val="0"/>
        <w:autoSpaceDN w:val="0"/>
        <w:adjustRightInd w:val="0"/>
        <w:spacing w:line="220" w:lineRule="exact"/>
        <w:jc w:val="both"/>
        <w:rPr>
          <w:rFonts w:ascii="Cambria" w:eastAsia="Calibri" w:hAnsi="Cambria"/>
          <w:sz w:val="20"/>
          <w:szCs w:val="20"/>
        </w:rPr>
      </w:pPr>
    </w:p>
    <w:p w14:paraId="3264D42E" w14:textId="4536BCF6" w:rsidR="00FD12B4" w:rsidRPr="003072DA" w:rsidRDefault="00FD12B4" w:rsidP="00B6415A">
      <w:pPr>
        <w:tabs>
          <w:tab w:val="left" w:pos="426"/>
        </w:tabs>
        <w:autoSpaceDE w:val="0"/>
        <w:autoSpaceDN w:val="0"/>
        <w:adjustRightInd w:val="0"/>
        <w:spacing w:line="220" w:lineRule="exact"/>
        <w:jc w:val="both"/>
        <w:rPr>
          <w:rFonts w:ascii="Cambria" w:eastAsia="Calibri" w:hAnsi="Cambria"/>
          <w:sz w:val="20"/>
          <w:szCs w:val="20"/>
        </w:rPr>
      </w:pPr>
      <w:r w:rsidRPr="003072DA">
        <w:rPr>
          <w:rFonts w:ascii="Cambria" w:eastAsia="Calibri" w:hAnsi="Cambria"/>
          <w:i/>
          <w:sz w:val="20"/>
          <w:szCs w:val="20"/>
        </w:rPr>
        <w:tab/>
        <w:t>RECONOCIENDO</w:t>
      </w:r>
      <w:r w:rsidRPr="003072DA">
        <w:rPr>
          <w:rFonts w:ascii="Cambria" w:eastAsia="Calibri" w:hAnsi="Cambria"/>
          <w:sz w:val="20"/>
          <w:szCs w:val="20"/>
        </w:rPr>
        <w:t xml:space="preserve"> que el objetivo del Convenio es mantener las poblaciones en niveles que permitan </w:t>
      </w:r>
      <w:r w:rsidR="00AD07DC" w:rsidRPr="003072DA">
        <w:rPr>
          <w:rFonts w:ascii="Cambria" w:eastAsia="Calibri" w:hAnsi="Cambria"/>
          <w:sz w:val="20"/>
          <w:szCs w:val="20"/>
        </w:rPr>
        <w:t xml:space="preserve">el </w:t>
      </w:r>
      <w:r w:rsidRPr="003072DA">
        <w:rPr>
          <w:rFonts w:ascii="Cambria" w:eastAsia="Calibri" w:hAnsi="Cambria"/>
          <w:sz w:val="20"/>
          <w:szCs w:val="20"/>
        </w:rPr>
        <w:t>RMS;</w:t>
      </w:r>
    </w:p>
    <w:p w14:paraId="0E1AA325" w14:textId="2EF18DAC" w:rsidR="000A3422" w:rsidRPr="003072DA" w:rsidRDefault="000A3422" w:rsidP="00B6415A">
      <w:pPr>
        <w:tabs>
          <w:tab w:val="left" w:pos="426"/>
        </w:tabs>
        <w:autoSpaceDE w:val="0"/>
        <w:autoSpaceDN w:val="0"/>
        <w:adjustRightInd w:val="0"/>
        <w:spacing w:line="220" w:lineRule="exact"/>
        <w:jc w:val="both"/>
        <w:rPr>
          <w:rFonts w:ascii="Cambria" w:eastAsia="Calibri" w:hAnsi="Cambria"/>
          <w:sz w:val="20"/>
          <w:szCs w:val="20"/>
        </w:rPr>
      </w:pPr>
    </w:p>
    <w:p w14:paraId="03D4C10D" w14:textId="1CF1E6AD" w:rsidR="000A3422" w:rsidRPr="003072DA" w:rsidRDefault="000A3422" w:rsidP="00B6415A">
      <w:pPr>
        <w:tabs>
          <w:tab w:val="left" w:pos="426"/>
        </w:tabs>
        <w:autoSpaceDE w:val="0"/>
        <w:autoSpaceDN w:val="0"/>
        <w:adjustRightInd w:val="0"/>
        <w:spacing w:line="220" w:lineRule="exact"/>
        <w:jc w:val="both"/>
        <w:rPr>
          <w:rFonts w:ascii="Cambria" w:eastAsia="Calibri" w:hAnsi="Cambria"/>
          <w:i/>
          <w:iCs/>
          <w:sz w:val="20"/>
          <w:szCs w:val="20"/>
        </w:rPr>
      </w:pPr>
      <w:r w:rsidRPr="003072DA">
        <w:rPr>
          <w:rFonts w:ascii="Cambria" w:eastAsia="Calibri" w:hAnsi="Cambria"/>
          <w:sz w:val="20"/>
          <w:szCs w:val="20"/>
        </w:rPr>
        <w:tab/>
      </w:r>
      <w:r w:rsidRPr="003072DA">
        <w:rPr>
          <w:rFonts w:ascii="Cambria" w:eastAsia="Calibri" w:hAnsi="Cambria"/>
          <w:i/>
          <w:iCs/>
          <w:sz w:val="20"/>
          <w:szCs w:val="20"/>
        </w:rPr>
        <w:t xml:space="preserve">RECONOCIENDO ADEMÁS </w:t>
      </w:r>
      <w:r w:rsidRPr="003072DA">
        <w:rPr>
          <w:rFonts w:ascii="Cambria" w:eastAsia="Calibri" w:hAnsi="Cambria"/>
          <w:sz w:val="20"/>
          <w:szCs w:val="20"/>
        </w:rPr>
        <w:t>los intereses de los Estados costeros en desarrollo de desarrollar sus oportunidades de pesca;</w:t>
      </w:r>
    </w:p>
    <w:p w14:paraId="11F72D11" w14:textId="77777777" w:rsidR="00FD12B4" w:rsidRPr="003072DA" w:rsidRDefault="00FD12B4" w:rsidP="00FD12B4">
      <w:pPr>
        <w:tabs>
          <w:tab w:val="left" w:pos="284"/>
        </w:tabs>
        <w:autoSpaceDE w:val="0"/>
        <w:autoSpaceDN w:val="0"/>
        <w:adjustRightInd w:val="0"/>
        <w:spacing w:line="220" w:lineRule="exact"/>
        <w:jc w:val="both"/>
        <w:rPr>
          <w:rFonts w:ascii="Cambria" w:eastAsia="Calibri" w:hAnsi="Cambria"/>
          <w:sz w:val="20"/>
          <w:szCs w:val="20"/>
        </w:rPr>
      </w:pPr>
    </w:p>
    <w:p w14:paraId="30080090" w14:textId="77777777" w:rsidR="00494E2F" w:rsidRDefault="00FD12B4" w:rsidP="000D6313">
      <w:pPr>
        <w:autoSpaceDE w:val="0"/>
        <w:autoSpaceDN w:val="0"/>
        <w:adjustRightInd w:val="0"/>
        <w:spacing w:line="220" w:lineRule="exact"/>
        <w:jc w:val="center"/>
        <w:rPr>
          <w:rFonts w:ascii="Cambria" w:eastAsia="Calibri" w:hAnsi="Cambria"/>
          <w:sz w:val="20"/>
          <w:szCs w:val="20"/>
        </w:rPr>
      </w:pPr>
      <w:r w:rsidRPr="003072DA">
        <w:rPr>
          <w:rFonts w:ascii="Cambria" w:eastAsia="Calibri" w:hAnsi="Cambria"/>
          <w:sz w:val="20"/>
          <w:szCs w:val="20"/>
        </w:rPr>
        <w:t>LA COMISIÓN INTERNACIONAL PARA LA CONSERVACIÓN</w:t>
      </w:r>
    </w:p>
    <w:p w14:paraId="31D179FF" w14:textId="0F078777" w:rsidR="00FD12B4" w:rsidRPr="003072DA" w:rsidRDefault="000D6313" w:rsidP="000D6313">
      <w:pPr>
        <w:autoSpaceDE w:val="0"/>
        <w:autoSpaceDN w:val="0"/>
        <w:adjustRightInd w:val="0"/>
        <w:spacing w:line="220" w:lineRule="exact"/>
        <w:jc w:val="center"/>
        <w:rPr>
          <w:rFonts w:ascii="Cambria" w:eastAsia="Calibri" w:hAnsi="Cambria"/>
          <w:sz w:val="20"/>
          <w:szCs w:val="20"/>
        </w:rPr>
      </w:pPr>
      <w:r>
        <w:rPr>
          <w:rFonts w:ascii="Cambria" w:eastAsia="Calibri" w:hAnsi="Cambria"/>
          <w:sz w:val="20"/>
          <w:szCs w:val="20"/>
        </w:rPr>
        <w:t xml:space="preserve"> </w:t>
      </w:r>
      <w:r w:rsidR="00FD12B4" w:rsidRPr="003072DA">
        <w:rPr>
          <w:rFonts w:ascii="Cambria" w:eastAsia="Calibri" w:hAnsi="Cambria"/>
          <w:sz w:val="20"/>
          <w:szCs w:val="20"/>
        </w:rPr>
        <w:t>DEL ATÚN ATLÁNTICO (ICCAT) RECOMIENDA LO SIGUIENTE:</w:t>
      </w:r>
    </w:p>
    <w:p w14:paraId="4C41F1C5" w14:textId="506F2661" w:rsidR="00FD12B4" w:rsidRPr="003072DA" w:rsidRDefault="00FD12B4" w:rsidP="00FD12B4">
      <w:pPr>
        <w:autoSpaceDE w:val="0"/>
        <w:autoSpaceDN w:val="0"/>
        <w:adjustRightInd w:val="0"/>
        <w:spacing w:line="220" w:lineRule="exact"/>
        <w:jc w:val="both"/>
        <w:rPr>
          <w:rFonts w:ascii="Cambria" w:eastAsia="Calibri" w:hAnsi="Cambria"/>
          <w:sz w:val="20"/>
          <w:szCs w:val="20"/>
        </w:rPr>
      </w:pPr>
    </w:p>
    <w:p w14:paraId="18E4ED02" w14:textId="6F796FBA" w:rsidR="00FD12B4" w:rsidRPr="003072DA" w:rsidRDefault="00FD12B4" w:rsidP="00FD12B4">
      <w:pPr>
        <w:autoSpaceDE w:val="0"/>
        <w:autoSpaceDN w:val="0"/>
        <w:adjustRightInd w:val="0"/>
        <w:spacing w:line="220" w:lineRule="exact"/>
        <w:ind w:left="426" w:hanging="426"/>
        <w:jc w:val="both"/>
        <w:rPr>
          <w:rFonts w:ascii="Cambria" w:eastAsia="Calibri" w:hAnsi="Cambria"/>
          <w:sz w:val="20"/>
          <w:szCs w:val="20"/>
        </w:rPr>
      </w:pPr>
      <w:r w:rsidRPr="003072DA">
        <w:rPr>
          <w:rFonts w:ascii="Cambria" w:eastAsia="Calibri" w:hAnsi="Cambria"/>
          <w:sz w:val="20"/>
          <w:szCs w:val="20"/>
        </w:rPr>
        <w:t>1</w:t>
      </w:r>
      <w:r w:rsidR="009F3362" w:rsidRPr="003072DA">
        <w:rPr>
          <w:rFonts w:ascii="Cambria" w:eastAsia="Calibri" w:hAnsi="Cambria"/>
          <w:sz w:val="20"/>
          <w:szCs w:val="20"/>
        </w:rPr>
        <w:t>.</w:t>
      </w:r>
      <w:r w:rsidRPr="003072DA">
        <w:rPr>
          <w:rFonts w:ascii="Cambria" w:eastAsia="Calibri" w:hAnsi="Cambria"/>
          <w:sz w:val="20"/>
          <w:szCs w:val="20"/>
        </w:rPr>
        <w:tab/>
        <w:t xml:space="preserve">El total admisible de captura (TAC) </w:t>
      </w:r>
      <w:r w:rsidR="00FC2683" w:rsidRPr="003072DA">
        <w:rPr>
          <w:rFonts w:ascii="Cambria" w:eastAsia="Calibri" w:hAnsi="Cambria"/>
          <w:sz w:val="20"/>
          <w:szCs w:val="20"/>
        </w:rPr>
        <w:t xml:space="preserve">anual </w:t>
      </w:r>
      <w:r w:rsidRPr="003072DA">
        <w:rPr>
          <w:rFonts w:ascii="Cambria" w:eastAsia="Calibri" w:hAnsi="Cambria"/>
          <w:sz w:val="20"/>
          <w:szCs w:val="20"/>
        </w:rPr>
        <w:t xml:space="preserve">para el atún blanco capturado en el océano Atlántico al sur de 5ºN será de </w:t>
      </w:r>
      <w:r w:rsidR="000A3422" w:rsidRPr="003072DA">
        <w:rPr>
          <w:rFonts w:ascii="Cambria" w:eastAsia="Calibri" w:hAnsi="Cambria"/>
          <w:sz w:val="20"/>
          <w:szCs w:val="20"/>
        </w:rPr>
        <w:t>28</w:t>
      </w:r>
      <w:r w:rsidRPr="003072DA">
        <w:rPr>
          <w:rFonts w:ascii="Cambria" w:eastAsia="Calibri" w:hAnsi="Cambria"/>
          <w:sz w:val="20"/>
          <w:szCs w:val="20"/>
        </w:rPr>
        <w:t>.000 t para el periodo 20</w:t>
      </w:r>
      <w:r w:rsidR="000A3422" w:rsidRPr="003072DA">
        <w:rPr>
          <w:rFonts w:ascii="Cambria" w:eastAsia="Calibri" w:hAnsi="Cambria"/>
          <w:sz w:val="20"/>
          <w:szCs w:val="20"/>
        </w:rPr>
        <w:t>23</w:t>
      </w:r>
      <w:r w:rsidRPr="003072DA">
        <w:rPr>
          <w:rFonts w:ascii="Cambria" w:eastAsia="Calibri" w:hAnsi="Cambria"/>
          <w:sz w:val="20"/>
          <w:szCs w:val="20"/>
        </w:rPr>
        <w:t>-202</w:t>
      </w:r>
      <w:r w:rsidR="000A3422" w:rsidRPr="003072DA">
        <w:rPr>
          <w:rFonts w:ascii="Cambria" w:eastAsia="Calibri" w:hAnsi="Cambria"/>
          <w:sz w:val="20"/>
          <w:szCs w:val="20"/>
        </w:rPr>
        <w:t>6</w:t>
      </w:r>
      <w:r w:rsidRPr="003072DA">
        <w:rPr>
          <w:rFonts w:ascii="Cambria" w:eastAsia="Calibri" w:hAnsi="Cambria"/>
          <w:sz w:val="20"/>
          <w:szCs w:val="20"/>
        </w:rPr>
        <w:t>.</w:t>
      </w:r>
    </w:p>
    <w:p w14:paraId="2165226C" w14:textId="77777777" w:rsidR="00FD12B4" w:rsidRPr="003072DA" w:rsidRDefault="00FD12B4" w:rsidP="00FD12B4">
      <w:pPr>
        <w:autoSpaceDE w:val="0"/>
        <w:autoSpaceDN w:val="0"/>
        <w:adjustRightInd w:val="0"/>
        <w:spacing w:line="220" w:lineRule="exact"/>
        <w:ind w:left="426" w:hanging="426"/>
        <w:jc w:val="both"/>
        <w:rPr>
          <w:rFonts w:ascii="Cambria" w:eastAsia="Calibri" w:hAnsi="Cambria"/>
          <w:sz w:val="20"/>
          <w:szCs w:val="20"/>
        </w:rPr>
      </w:pPr>
    </w:p>
    <w:p w14:paraId="3FE641A8" w14:textId="03FC1AA3" w:rsidR="00FD12B4" w:rsidRPr="003072DA" w:rsidRDefault="00FD12B4" w:rsidP="00FD12B4">
      <w:pPr>
        <w:autoSpaceDE w:val="0"/>
        <w:autoSpaceDN w:val="0"/>
        <w:adjustRightInd w:val="0"/>
        <w:spacing w:line="220" w:lineRule="exact"/>
        <w:ind w:left="426" w:hanging="426"/>
        <w:jc w:val="both"/>
        <w:rPr>
          <w:rFonts w:ascii="Cambria" w:eastAsia="Calibri" w:hAnsi="Cambria"/>
          <w:sz w:val="20"/>
          <w:szCs w:val="20"/>
        </w:rPr>
      </w:pPr>
      <w:r w:rsidRPr="003072DA">
        <w:rPr>
          <w:rFonts w:ascii="Cambria" w:eastAsia="Calibri" w:hAnsi="Cambria"/>
          <w:sz w:val="20"/>
          <w:szCs w:val="20"/>
        </w:rPr>
        <w:t>2</w:t>
      </w:r>
      <w:r w:rsidR="009F3362" w:rsidRPr="003072DA">
        <w:rPr>
          <w:rFonts w:ascii="Cambria" w:eastAsia="Calibri" w:hAnsi="Cambria"/>
          <w:sz w:val="20"/>
          <w:szCs w:val="20"/>
        </w:rPr>
        <w:t>.</w:t>
      </w:r>
      <w:r w:rsidRPr="003072DA">
        <w:rPr>
          <w:rFonts w:ascii="Cambria" w:eastAsia="Calibri" w:hAnsi="Cambria"/>
          <w:sz w:val="20"/>
          <w:szCs w:val="20"/>
        </w:rPr>
        <w:tab/>
        <w:t xml:space="preserve">No obstante las disposiciones del párrafo 1, si las capturas totales comunicadas de atún blanco </w:t>
      </w:r>
      <w:r w:rsidR="000A3422" w:rsidRPr="003072DA">
        <w:rPr>
          <w:rFonts w:ascii="Cambria" w:eastAsia="Calibri" w:hAnsi="Cambria"/>
          <w:sz w:val="20"/>
          <w:szCs w:val="20"/>
        </w:rPr>
        <w:t xml:space="preserve">del Atlántico sur </w:t>
      </w:r>
      <w:r w:rsidRPr="003072DA">
        <w:rPr>
          <w:rFonts w:ascii="Cambria" w:eastAsia="Calibri" w:hAnsi="Cambria"/>
          <w:sz w:val="20"/>
          <w:szCs w:val="20"/>
        </w:rPr>
        <w:t xml:space="preserve">en </w:t>
      </w:r>
      <w:r w:rsidR="000A3422" w:rsidRPr="003072DA">
        <w:rPr>
          <w:rFonts w:ascii="Cambria" w:eastAsia="Calibri" w:hAnsi="Cambria"/>
          <w:sz w:val="20"/>
          <w:szCs w:val="20"/>
        </w:rPr>
        <w:t>2022</w:t>
      </w:r>
      <w:r w:rsidRPr="003072DA">
        <w:rPr>
          <w:rFonts w:ascii="Cambria" w:eastAsia="Calibri" w:hAnsi="Cambria"/>
          <w:sz w:val="20"/>
          <w:szCs w:val="20"/>
        </w:rPr>
        <w:t xml:space="preserve">, tal y como se declaren en la reunión de ICCAT de </w:t>
      </w:r>
      <w:r w:rsidR="000A3422" w:rsidRPr="003072DA">
        <w:rPr>
          <w:rFonts w:ascii="Cambria" w:eastAsia="Calibri" w:hAnsi="Cambria"/>
          <w:sz w:val="20"/>
          <w:szCs w:val="20"/>
        </w:rPr>
        <w:t>2023</w:t>
      </w:r>
      <w:r w:rsidRPr="003072DA">
        <w:rPr>
          <w:rFonts w:ascii="Cambria" w:eastAsia="Calibri" w:hAnsi="Cambria"/>
          <w:sz w:val="20"/>
          <w:szCs w:val="20"/>
        </w:rPr>
        <w:t xml:space="preserve">, superan las </w:t>
      </w:r>
      <w:r w:rsidR="000A3422" w:rsidRPr="003072DA">
        <w:rPr>
          <w:rFonts w:ascii="Cambria" w:eastAsia="Calibri" w:hAnsi="Cambria"/>
          <w:sz w:val="20"/>
          <w:szCs w:val="20"/>
        </w:rPr>
        <w:t>28</w:t>
      </w:r>
      <w:r w:rsidRPr="003072DA">
        <w:rPr>
          <w:rFonts w:ascii="Cambria" w:eastAsia="Calibri" w:hAnsi="Cambria"/>
          <w:sz w:val="20"/>
          <w:szCs w:val="20"/>
        </w:rPr>
        <w:t xml:space="preserve">.000 t, se restará al TAC de </w:t>
      </w:r>
      <w:r w:rsidR="000A3422" w:rsidRPr="003072DA">
        <w:rPr>
          <w:rFonts w:ascii="Cambria" w:eastAsia="Calibri" w:hAnsi="Cambria"/>
          <w:sz w:val="20"/>
          <w:szCs w:val="20"/>
        </w:rPr>
        <w:t>202</w:t>
      </w:r>
      <w:r w:rsidR="002253FE" w:rsidRPr="003072DA">
        <w:rPr>
          <w:rFonts w:ascii="Cambria" w:eastAsia="Calibri" w:hAnsi="Cambria"/>
          <w:sz w:val="20"/>
          <w:szCs w:val="20"/>
        </w:rPr>
        <w:t>4</w:t>
      </w:r>
      <w:r w:rsidR="000A3422" w:rsidRPr="003072DA">
        <w:rPr>
          <w:rFonts w:ascii="Cambria" w:eastAsia="Calibri" w:hAnsi="Cambria"/>
          <w:sz w:val="20"/>
          <w:szCs w:val="20"/>
        </w:rPr>
        <w:t xml:space="preserve"> </w:t>
      </w:r>
      <w:r w:rsidRPr="003072DA">
        <w:rPr>
          <w:rFonts w:ascii="Cambria" w:eastAsia="Calibri" w:hAnsi="Cambria"/>
          <w:sz w:val="20"/>
          <w:szCs w:val="20"/>
        </w:rPr>
        <w:t xml:space="preserve">la cantidad total de las capturas de </w:t>
      </w:r>
      <w:r w:rsidR="000A3422" w:rsidRPr="003072DA">
        <w:rPr>
          <w:rFonts w:ascii="Cambria" w:eastAsia="Calibri" w:hAnsi="Cambria"/>
          <w:sz w:val="20"/>
          <w:szCs w:val="20"/>
        </w:rPr>
        <w:t xml:space="preserve">2022 </w:t>
      </w:r>
      <w:r w:rsidRPr="003072DA">
        <w:rPr>
          <w:rFonts w:ascii="Cambria" w:eastAsia="Calibri" w:hAnsi="Cambria"/>
          <w:sz w:val="20"/>
          <w:szCs w:val="20"/>
        </w:rPr>
        <w:t xml:space="preserve">que supere las </w:t>
      </w:r>
      <w:r w:rsidR="000A3422" w:rsidRPr="003072DA">
        <w:rPr>
          <w:rFonts w:ascii="Cambria" w:eastAsia="Calibri" w:hAnsi="Cambria"/>
          <w:sz w:val="20"/>
          <w:szCs w:val="20"/>
        </w:rPr>
        <w:t>28</w:t>
      </w:r>
      <w:r w:rsidRPr="003072DA">
        <w:rPr>
          <w:rFonts w:ascii="Cambria" w:eastAsia="Calibri" w:hAnsi="Cambria"/>
          <w:sz w:val="20"/>
          <w:szCs w:val="20"/>
        </w:rPr>
        <w:t>.000 t.</w:t>
      </w:r>
    </w:p>
    <w:p w14:paraId="7F719B40" w14:textId="77777777" w:rsidR="00FD12B4" w:rsidRPr="003072DA" w:rsidRDefault="00FD12B4" w:rsidP="00FD12B4">
      <w:pPr>
        <w:autoSpaceDE w:val="0"/>
        <w:autoSpaceDN w:val="0"/>
        <w:adjustRightInd w:val="0"/>
        <w:spacing w:line="220" w:lineRule="exact"/>
        <w:ind w:firstLine="720"/>
        <w:jc w:val="both"/>
        <w:rPr>
          <w:rFonts w:ascii="Cambria" w:eastAsia="Calibri" w:hAnsi="Cambria"/>
          <w:sz w:val="20"/>
          <w:szCs w:val="20"/>
        </w:rPr>
      </w:pPr>
    </w:p>
    <w:p w14:paraId="445DE28E" w14:textId="0F0347E1" w:rsidR="00FD12B4" w:rsidRPr="003072DA" w:rsidRDefault="00FD12B4" w:rsidP="00FD12B4">
      <w:pPr>
        <w:autoSpaceDE w:val="0"/>
        <w:autoSpaceDN w:val="0"/>
        <w:adjustRightInd w:val="0"/>
        <w:spacing w:line="220" w:lineRule="exact"/>
        <w:ind w:left="426" w:hanging="426"/>
        <w:jc w:val="both"/>
        <w:rPr>
          <w:rFonts w:ascii="Cambria" w:eastAsia="Calibri" w:hAnsi="Cambria"/>
          <w:sz w:val="20"/>
          <w:szCs w:val="20"/>
        </w:rPr>
      </w:pPr>
      <w:r w:rsidRPr="003072DA">
        <w:rPr>
          <w:rFonts w:ascii="Cambria" w:eastAsia="Calibri" w:hAnsi="Cambria"/>
          <w:sz w:val="20"/>
          <w:szCs w:val="20"/>
        </w:rPr>
        <w:t>3</w:t>
      </w:r>
      <w:r w:rsidR="009F3362" w:rsidRPr="003072DA">
        <w:rPr>
          <w:rFonts w:ascii="Cambria" w:eastAsia="Calibri" w:hAnsi="Cambria"/>
          <w:sz w:val="20"/>
          <w:szCs w:val="20"/>
        </w:rPr>
        <w:t>.</w:t>
      </w:r>
      <w:r w:rsidRPr="003072DA">
        <w:rPr>
          <w:rFonts w:ascii="Cambria" w:eastAsia="Calibri" w:hAnsi="Cambria"/>
          <w:sz w:val="20"/>
          <w:szCs w:val="20"/>
        </w:rPr>
        <w:tab/>
        <w:t>Los límites de captura anuales para el atún blanco del Atlántico sur serán los siguientes:</w:t>
      </w:r>
    </w:p>
    <w:p w14:paraId="15A350DF" w14:textId="3562433E" w:rsidR="002253FE" w:rsidRPr="003072DA" w:rsidRDefault="002253FE" w:rsidP="00FD12B4">
      <w:pPr>
        <w:autoSpaceDE w:val="0"/>
        <w:autoSpaceDN w:val="0"/>
        <w:adjustRightInd w:val="0"/>
        <w:spacing w:line="220" w:lineRule="exact"/>
        <w:ind w:left="426" w:hanging="426"/>
        <w:jc w:val="both"/>
        <w:rPr>
          <w:rFonts w:ascii="Cambria" w:eastAsia="Calibri" w:hAnsi="Cambria"/>
          <w:sz w:val="20"/>
          <w:szCs w:val="20"/>
        </w:rPr>
      </w:pPr>
    </w:p>
    <w:p w14:paraId="15BA7F43" w14:textId="10012FD1" w:rsidR="002253FE" w:rsidRPr="003072DA" w:rsidRDefault="002253FE" w:rsidP="002253FE">
      <w:pPr>
        <w:pStyle w:val="ListParagraph"/>
        <w:numPr>
          <w:ilvl w:val="0"/>
          <w:numId w:val="16"/>
        </w:numPr>
        <w:autoSpaceDE w:val="0"/>
        <w:autoSpaceDN w:val="0"/>
        <w:adjustRightInd w:val="0"/>
        <w:spacing w:line="220" w:lineRule="exact"/>
        <w:jc w:val="both"/>
        <w:rPr>
          <w:rFonts w:ascii="Cambria" w:eastAsia="Calibri" w:hAnsi="Cambria"/>
          <w:sz w:val="20"/>
          <w:szCs w:val="20"/>
        </w:rPr>
      </w:pPr>
    </w:p>
    <w:p w14:paraId="60C9489C" w14:textId="77777777" w:rsidR="00FD12B4" w:rsidRPr="003072DA" w:rsidRDefault="00FD12B4" w:rsidP="00FD12B4">
      <w:pPr>
        <w:autoSpaceDE w:val="0"/>
        <w:autoSpaceDN w:val="0"/>
        <w:adjustRightInd w:val="0"/>
        <w:ind w:left="720" w:hanging="720"/>
        <w:jc w:val="both"/>
        <w:rPr>
          <w:rFonts w:ascii="Cambria" w:eastAsia="Calibri" w:hAnsi="Cambria"/>
          <w:sz w:val="20"/>
          <w:szCs w:val="20"/>
        </w:rPr>
      </w:pPr>
    </w:p>
    <w:tbl>
      <w:tblPr>
        <w:tblW w:w="5534" w:type="dxa"/>
        <w:jc w:val="center"/>
        <w:tblBorders>
          <w:top w:val="single" w:sz="8" w:space="0" w:color="000000"/>
          <w:bottom w:val="single" w:sz="8" w:space="0" w:color="000000"/>
        </w:tblBorders>
        <w:tblLook w:val="04A0" w:firstRow="1" w:lastRow="0" w:firstColumn="1" w:lastColumn="0" w:noHBand="0" w:noVBand="1"/>
      </w:tblPr>
      <w:tblGrid>
        <w:gridCol w:w="3975"/>
        <w:gridCol w:w="1559"/>
      </w:tblGrid>
      <w:tr w:rsidR="00FD12B4" w:rsidRPr="003072DA" w14:paraId="2C6F7B37" w14:textId="77777777" w:rsidTr="00127FF1">
        <w:trPr>
          <w:jc w:val="center"/>
        </w:trPr>
        <w:tc>
          <w:tcPr>
            <w:tcW w:w="5534" w:type="dxa"/>
            <w:gridSpan w:val="2"/>
            <w:tcBorders>
              <w:top w:val="single" w:sz="8" w:space="0" w:color="000000"/>
              <w:left w:val="nil"/>
              <w:bottom w:val="single" w:sz="8" w:space="0" w:color="000000"/>
              <w:right w:val="nil"/>
            </w:tcBorders>
            <w:shd w:val="clear" w:color="auto" w:fill="auto"/>
          </w:tcPr>
          <w:p w14:paraId="24F37F83" w14:textId="76DD2E5D" w:rsidR="00FD12B4" w:rsidRPr="003072DA" w:rsidRDefault="00FD12B4" w:rsidP="00FC2683">
            <w:pPr>
              <w:autoSpaceDE w:val="0"/>
              <w:autoSpaceDN w:val="0"/>
              <w:adjustRightInd w:val="0"/>
              <w:jc w:val="right"/>
              <w:rPr>
                <w:rFonts w:ascii="Cambria" w:eastAsia="Calibri" w:hAnsi="Cambria"/>
                <w:b/>
                <w:bCs/>
                <w:i/>
                <w:sz w:val="20"/>
                <w:szCs w:val="20"/>
              </w:rPr>
            </w:pPr>
            <w:r w:rsidRPr="003072DA">
              <w:rPr>
                <w:rFonts w:ascii="Cambria" w:eastAsia="Calibri" w:hAnsi="Cambria"/>
                <w:b/>
                <w:bCs/>
                <w:i/>
                <w:color w:val="000000"/>
                <w:sz w:val="20"/>
                <w:szCs w:val="20"/>
              </w:rPr>
              <w:t>Límite de captura (t)</w:t>
            </w:r>
            <w:r w:rsidR="004C2464" w:rsidRPr="003072DA">
              <w:rPr>
                <w:rFonts w:ascii="Cambria" w:eastAsia="Calibri" w:hAnsi="Cambria"/>
                <w:b/>
                <w:bCs/>
                <w:i/>
                <w:color w:val="000000"/>
                <w:sz w:val="20"/>
                <w:szCs w:val="20"/>
              </w:rPr>
              <w:t>*</w:t>
            </w:r>
          </w:p>
        </w:tc>
      </w:tr>
      <w:tr w:rsidR="00AE303E" w:rsidRPr="003072DA" w14:paraId="16B00474" w14:textId="77777777" w:rsidTr="00127FF1">
        <w:trPr>
          <w:jc w:val="center"/>
        </w:trPr>
        <w:tc>
          <w:tcPr>
            <w:tcW w:w="3975" w:type="dxa"/>
            <w:tcBorders>
              <w:left w:val="nil"/>
              <w:right w:val="nil"/>
            </w:tcBorders>
            <w:shd w:val="clear" w:color="auto" w:fill="C0C0C0"/>
          </w:tcPr>
          <w:p w14:paraId="4BD6B06A" w14:textId="77777777" w:rsidR="00AE303E" w:rsidRPr="003072DA"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Angola</w:t>
            </w:r>
          </w:p>
        </w:tc>
        <w:tc>
          <w:tcPr>
            <w:tcW w:w="1559" w:type="dxa"/>
            <w:tcBorders>
              <w:left w:val="nil"/>
              <w:right w:val="nil"/>
            </w:tcBorders>
            <w:shd w:val="clear" w:color="auto" w:fill="C0C0C0"/>
          </w:tcPr>
          <w:p w14:paraId="063ABEA2" w14:textId="4D4D55A5" w:rsidR="00AE303E" w:rsidRPr="003072DA" w:rsidRDefault="00AE303E" w:rsidP="00AE303E">
            <w:pPr>
              <w:autoSpaceDE w:val="0"/>
              <w:autoSpaceDN w:val="0"/>
              <w:adjustRightInd w:val="0"/>
              <w:jc w:val="right"/>
              <w:rPr>
                <w:rFonts w:ascii="Cambria" w:eastAsia="Times New Roman" w:hAnsi="Cambria"/>
                <w:sz w:val="20"/>
                <w:szCs w:val="20"/>
                <w:lang w:eastAsia="en-ZA"/>
              </w:rPr>
            </w:pPr>
            <w:r w:rsidRPr="003072DA">
              <w:rPr>
                <w:rFonts w:ascii="Cambria" w:eastAsia="Times New Roman" w:hAnsi="Cambria"/>
                <w:sz w:val="20"/>
                <w:szCs w:val="20"/>
                <w:lang w:eastAsia="en-ZA"/>
              </w:rPr>
              <w:t>60</w:t>
            </w:r>
          </w:p>
        </w:tc>
      </w:tr>
      <w:tr w:rsidR="00AE303E" w:rsidRPr="003072DA" w14:paraId="32801865" w14:textId="77777777" w:rsidTr="00127FF1">
        <w:trPr>
          <w:jc w:val="center"/>
        </w:trPr>
        <w:tc>
          <w:tcPr>
            <w:tcW w:w="3975" w:type="dxa"/>
            <w:shd w:val="clear" w:color="auto" w:fill="auto"/>
          </w:tcPr>
          <w:p w14:paraId="79A78112" w14:textId="77777777" w:rsidR="00AE303E" w:rsidRPr="003072DA"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Beli</w:t>
            </w:r>
            <w:r w:rsidRPr="003072DA">
              <w:rPr>
                <w:rFonts w:ascii="Cambria" w:hAnsi="Cambria"/>
                <w:bCs/>
                <w:color w:val="000000"/>
                <w:sz w:val="20"/>
                <w:szCs w:val="20"/>
                <w:lang w:eastAsia="en-ZA"/>
              </w:rPr>
              <w:t>c</w:t>
            </w:r>
            <w:r w:rsidRPr="003072DA">
              <w:rPr>
                <w:rFonts w:ascii="Cambria" w:hAnsi="Cambria"/>
                <w:color w:val="000000"/>
                <w:sz w:val="20"/>
                <w:szCs w:val="20"/>
                <w:lang w:eastAsia="en-ZA"/>
              </w:rPr>
              <w:t>e</w:t>
            </w:r>
          </w:p>
        </w:tc>
        <w:tc>
          <w:tcPr>
            <w:tcW w:w="1559" w:type="dxa"/>
            <w:shd w:val="clear" w:color="auto" w:fill="auto"/>
          </w:tcPr>
          <w:p w14:paraId="2A0F92D1" w14:textId="68341286" w:rsidR="00AE303E" w:rsidRPr="003072DA"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300</w:t>
            </w:r>
          </w:p>
        </w:tc>
      </w:tr>
      <w:tr w:rsidR="00AE303E" w:rsidRPr="003072DA" w14:paraId="70609904" w14:textId="77777777" w:rsidTr="00127FF1">
        <w:trPr>
          <w:jc w:val="center"/>
        </w:trPr>
        <w:tc>
          <w:tcPr>
            <w:tcW w:w="3975" w:type="dxa"/>
            <w:tcBorders>
              <w:left w:val="nil"/>
              <w:right w:val="nil"/>
            </w:tcBorders>
            <w:shd w:val="clear" w:color="auto" w:fill="C0C0C0"/>
          </w:tcPr>
          <w:p w14:paraId="7734A491" w14:textId="77777777" w:rsidR="00AE303E" w:rsidRPr="003072DA"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Bras</w:t>
            </w:r>
            <w:r w:rsidRPr="003072DA">
              <w:rPr>
                <w:rFonts w:ascii="Cambria" w:hAnsi="Cambria"/>
                <w:color w:val="000000"/>
                <w:sz w:val="20"/>
                <w:szCs w:val="20"/>
                <w:lang w:eastAsia="en-ZA"/>
              </w:rPr>
              <w:t>il</w:t>
            </w:r>
          </w:p>
        </w:tc>
        <w:tc>
          <w:tcPr>
            <w:tcW w:w="1559" w:type="dxa"/>
            <w:tcBorders>
              <w:left w:val="nil"/>
              <w:right w:val="nil"/>
            </w:tcBorders>
            <w:shd w:val="clear" w:color="auto" w:fill="C0C0C0"/>
          </w:tcPr>
          <w:p w14:paraId="399A52A0" w14:textId="7C3C36E6" w:rsidR="00AE303E" w:rsidRPr="003072DA" w:rsidRDefault="00AE303E" w:rsidP="00AE303E">
            <w:pPr>
              <w:autoSpaceDE w:val="0"/>
              <w:autoSpaceDN w:val="0"/>
              <w:adjustRightInd w:val="0"/>
              <w:jc w:val="right"/>
              <w:rPr>
                <w:rFonts w:ascii="Cambria" w:eastAsia="Calibri" w:hAnsi="Cambria"/>
                <w:sz w:val="20"/>
                <w:szCs w:val="20"/>
              </w:rPr>
            </w:pPr>
            <w:r w:rsidRPr="003072DA">
              <w:rPr>
                <w:rFonts w:ascii="Cambria" w:hAnsi="Cambria"/>
                <w:sz w:val="20"/>
                <w:szCs w:val="20"/>
              </w:rPr>
              <w:t>2.600</w:t>
            </w:r>
          </w:p>
        </w:tc>
      </w:tr>
      <w:tr w:rsidR="00AE303E" w:rsidRPr="003072DA" w14:paraId="70619C0A" w14:textId="77777777" w:rsidTr="00127FF1">
        <w:trPr>
          <w:jc w:val="center"/>
        </w:trPr>
        <w:tc>
          <w:tcPr>
            <w:tcW w:w="3975" w:type="dxa"/>
            <w:shd w:val="clear" w:color="auto" w:fill="auto"/>
          </w:tcPr>
          <w:p w14:paraId="44DB26F0" w14:textId="77777777" w:rsidR="00AE303E" w:rsidRPr="003072DA"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China</w:t>
            </w:r>
          </w:p>
        </w:tc>
        <w:tc>
          <w:tcPr>
            <w:tcW w:w="1559" w:type="dxa"/>
            <w:shd w:val="clear" w:color="auto" w:fill="auto"/>
          </w:tcPr>
          <w:p w14:paraId="2671A207" w14:textId="0F6A3944" w:rsidR="00AE303E" w:rsidRPr="003072DA"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240</w:t>
            </w:r>
          </w:p>
        </w:tc>
      </w:tr>
      <w:tr w:rsidR="00AE303E" w:rsidRPr="003072DA" w14:paraId="4F977B1E" w14:textId="77777777" w:rsidTr="00127FF1">
        <w:trPr>
          <w:jc w:val="center"/>
        </w:trPr>
        <w:tc>
          <w:tcPr>
            <w:tcW w:w="3975" w:type="dxa"/>
            <w:tcBorders>
              <w:left w:val="nil"/>
              <w:right w:val="nil"/>
            </w:tcBorders>
            <w:shd w:val="clear" w:color="auto" w:fill="C0C0C0"/>
          </w:tcPr>
          <w:p w14:paraId="6BAC1FFE"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Taipei</w:t>
            </w:r>
            <w:r w:rsidRPr="003072DA">
              <w:rPr>
                <w:rFonts w:ascii="Cambria" w:hAnsi="Cambria"/>
                <w:bCs/>
                <w:color w:val="000000"/>
                <w:sz w:val="20"/>
                <w:szCs w:val="20"/>
                <w:lang w:eastAsia="en-ZA"/>
              </w:rPr>
              <w:t xml:space="preserve"> Chino</w:t>
            </w:r>
          </w:p>
        </w:tc>
        <w:tc>
          <w:tcPr>
            <w:tcW w:w="1559" w:type="dxa"/>
            <w:tcBorders>
              <w:left w:val="nil"/>
              <w:right w:val="nil"/>
            </w:tcBorders>
            <w:shd w:val="clear" w:color="auto" w:fill="C0C0C0"/>
          </w:tcPr>
          <w:p w14:paraId="455456EC" w14:textId="4D84A443"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10.340</w:t>
            </w:r>
          </w:p>
        </w:tc>
      </w:tr>
      <w:tr w:rsidR="00AE303E" w:rsidRPr="003072DA" w14:paraId="78358E79" w14:textId="77777777" w:rsidTr="00127FF1">
        <w:trPr>
          <w:jc w:val="center"/>
        </w:trPr>
        <w:tc>
          <w:tcPr>
            <w:tcW w:w="3975" w:type="dxa"/>
            <w:shd w:val="clear" w:color="auto" w:fill="auto"/>
          </w:tcPr>
          <w:p w14:paraId="015B1082" w14:textId="25C69668"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Cô</w:t>
            </w:r>
            <w:r w:rsidRPr="003072DA">
              <w:rPr>
                <w:rFonts w:ascii="Cambria" w:hAnsi="Cambria"/>
                <w:color w:val="000000"/>
                <w:sz w:val="20"/>
                <w:szCs w:val="20"/>
                <w:lang w:eastAsia="en-ZA"/>
              </w:rPr>
              <w:t xml:space="preserve">te </w:t>
            </w:r>
            <w:r w:rsidRPr="003072DA">
              <w:rPr>
                <w:rFonts w:ascii="Cambria" w:hAnsi="Cambria"/>
                <w:bCs/>
                <w:color w:val="000000"/>
                <w:sz w:val="20"/>
                <w:szCs w:val="20"/>
                <w:lang w:eastAsia="en-ZA"/>
              </w:rPr>
              <w:t>d’</w:t>
            </w:r>
            <w:r w:rsidRPr="003072DA">
              <w:rPr>
                <w:rFonts w:ascii="Cambria" w:hAnsi="Cambria"/>
                <w:color w:val="000000"/>
                <w:sz w:val="20"/>
                <w:szCs w:val="20"/>
                <w:lang w:eastAsia="en-ZA"/>
              </w:rPr>
              <w:t>Ivoire</w:t>
            </w:r>
          </w:p>
        </w:tc>
        <w:tc>
          <w:tcPr>
            <w:tcW w:w="1559" w:type="dxa"/>
            <w:shd w:val="clear" w:color="auto" w:fill="auto"/>
          </w:tcPr>
          <w:p w14:paraId="1D950034" w14:textId="4E84DEA2"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120</w:t>
            </w:r>
          </w:p>
        </w:tc>
      </w:tr>
      <w:tr w:rsidR="00AE303E" w:rsidRPr="003072DA" w14:paraId="6DC04D0D" w14:textId="77777777" w:rsidTr="00127FF1">
        <w:trPr>
          <w:jc w:val="center"/>
        </w:trPr>
        <w:tc>
          <w:tcPr>
            <w:tcW w:w="3975" w:type="dxa"/>
            <w:tcBorders>
              <w:left w:val="nil"/>
              <w:right w:val="nil"/>
            </w:tcBorders>
            <w:shd w:val="clear" w:color="auto" w:fill="C0C0C0"/>
          </w:tcPr>
          <w:p w14:paraId="39A7BD84" w14:textId="7EB5596E"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Cura</w:t>
            </w:r>
            <w:r w:rsidR="002253FE" w:rsidRPr="003072DA">
              <w:rPr>
                <w:rFonts w:ascii="Cambria" w:hAnsi="Cambria"/>
                <w:bCs/>
                <w:color w:val="000000"/>
                <w:sz w:val="20"/>
                <w:szCs w:val="20"/>
                <w:lang w:eastAsia="en-ZA"/>
              </w:rPr>
              <w:t>z</w:t>
            </w:r>
            <w:r w:rsidRPr="003072DA">
              <w:rPr>
                <w:rFonts w:ascii="Cambria" w:hAnsi="Cambria"/>
                <w:color w:val="000000"/>
                <w:sz w:val="20"/>
                <w:szCs w:val="20"/>
                <w:lang w:eastAsia="en-ZA"/>
              </w:rPr>
              <w:t>ao</w:t>
            </w:r>
          </w:p>
        </w:tc>
        <w:tc>
          <w:tcPr>
            <w:tcW w:w="1559" w:type="dxa"/>
            <w:tcBorders>
              <w:left w:val="nil"/>
              <w:right w:val="nil"/>
            </w:tcBorders>
            <w:shd w:val="clear" w:color="auto" w:fill="C0C0C0"/>
          </w:tcPr>
          <w:p w14:paraId="731E556E" w14:textId="0E34C9F9"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60</w:t>
            </w:r>
          </w:p>
        </w:tc>
      </w:tr>
      <w:tr w:rsidR="00AE303E" w:rsidRPr="003072DA" w14:paraId="404161B2" w14:textId="77777777" w:rsidTr="00127FF1">
        <w:trPr>
          <w:jc w:val="center"/>
        </w:trPr>
        <w:tc>
          <w:tcPr>
            <w:tcW w:w="3975" w:type="dxa"/>
            <w:shd w:val="clear" w:color="auto" w:fill="auto"/>
          </w:tcPr>
          <w:p w14:paraId="0558E1BD"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Unión Europea</w:t>
            </w:r>
          </w:p>
        </w:tc>
        <w:tc>
          <w:tcPr>
            <w:tcW w:w="1559" w:type="dxa"/>
            <w:shd w:val="clear" w:color="auto" w:fill="auto"/>
          </w:tcPr>
          <w:p w14:paraId="3DD8C66F" w14:textId="7E2D719D"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1.765</w:t>
            </w:r>
          </w:p>
        </w:tc>
      </w:tr>
      <w:tr w:rsidR="00AE303E" w:rsidRPr="003072DA" w14:paraId="3653B782" w14:textId="77777777" w:rsidTr="00127FF1">
        <w:trPr>
          <w:jc w:val="center"/>
        </w:trPr>
        <w:tc>
          <w:tcPr>
            <w:tcW w:w="3975" w:type="dxa"/>
            <w:tcBorders>
              <w:left w:val="nil"/>
              <w:right w:val="nil"/>
            </w:tcBorders>
            <w:shd w:val="clear" w:color="auto" w:fill="C0C0C0"/>
          </w:tcPr>
          <w:p w14:paraId="274DCD8C"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Japó</w:t>
            </w:r>
            <w:r w:rsidRPr="003072DA">
              <w:rPr>
                <w:rFonts w:ascii="Cambria" w:hAnsi="Cambria"/>
                <w:color w:val="000000"/>
                <w:sz w:val="20"/>
                <w:szCs w:val="20"/>
                <w:lang w:eastAsia="en-ZA"/>
              </w:rPr>
              <w:t>n</w:t>
            </w:r>
          </w:p>
        </w:tc>
        <w:tc>
          <w:tcPr>
            <w:tcW w:w="1559" w:type="dxa"/>
            <w:tcBorders>
              <w:left w:val="nil"/>
              <w:right w:val="nil"/>
            </w:tcBorders>
            <w:shd w:val="clear" w:color="auto" w:fill="C0C0C0"/>
          </w:tcPr>
          <w:p w14:paraId="6ED32C34" w14:textId="4EA28F60"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1.630</w:t>
            </w:r>
          </w:p>
        </w:tc>
      </w:tr>
      <w:tr w:rsidR="00AE303E" w:rsidRPr="003072DA" w14:paraId="52681EC9" w14:textId="77777777" w:rsidTr="00127FF1">
        <w:trPr>
          <w:jc w:val="center"/>
        </w:trPr>
        <w:tc>
          <w:tcPr>
            <w:tcW w:w="3975" w:type="dxa"/>
            <w:shd w:val="clear" w:color="auto" w:fill="auto"/>
          </w:tcPr>
          <w:p w14:paraId="44B3D05E"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bCs/>
                <w:color w:val="000000"/>
                <w:sz w:val="20"/>
                <w:szCs w:val="20"/>
                <w:lang w:eastAsia="en-ZA"/>
              </w:rPr>
              <w:t>C</w:t>
            </w:r>
            <w:r w:rsidRPr="003072DA">
              <w:rPr>
                <w:rFonts w:ascii="Cambria" w:hAnsi="Cambria"/>
                <w:color w:val="000000"/>
                <w:sz w:val="20"/>
                <w:szCs w:val="20"/>
                <w:lang w:eastAsia="en-ZA"/>
              </w:rPr>
              <w:t>orea</w:t>
            </w:r>
          </w:p>
        </w:tc>
        <w:tc>
          <w:tcPr>
            <w:tcW w:w="1559" w:type="dxa"/>
            <w:shd w:val="clear" w:color="auto" w:fill="auto"/>
          </w:tcPr>
          <w:p w14:paraId="414D6D55" w14:textId="0C10DA98"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eastAsia="Times New Roman" w:hAnsi="Cambria"/>
                <w:sz w:val="20"/>
                <w:szCs w:val="20"/>
                <w:lang w:eastAsia="en-ZA"/>
              </w:rPr>
              <w:t>170</w:t>
            </w:r>
          </w:p>
        </w:tc>
      </w:tr>
      <w:tr w:rsidR="00AE303E" w:rsidRPr="003072DA" w14:paraId="62C71C71" w14:textId="77777777" w:rsidTr="00D85E45">
        <w:trPr>
          <w:jc w:val="center"/>
        </w:trPr>
        <w:tc>
          <w:tcPr>
            <w:tcW w:w="3975" w:type="dxa"/>
            <w:tcBorders>
              <w:left w:val="nil"/>
              <w:right w:val="nil"/>
            </w:tcBorders>
            <w:shd w:val="clear" w:color="auto" w:fill="BFBFBF" w:themeFill="background1" w:themeFillShade="BF"/>
          </w:tcPr>
          <w:p w14:paraId="7F71D4BD"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Namibia</w:t>
            </w:r>
          </w:p>
        </w:tc>
        <w:tc>
          <w:tcPr>
            <w:tcW w:w="1559" w:type="dxa"/>
            <w:tcBorders>
              <w:left w:val="nil"/>
              <w:right w:val="nil"/>
            </w:tcBorders>
            <w:shd w:val="clear" w:color="auto" w:fill="BFBFBF" w:themeFill="background1" w:themeFillShade="BF"/>
          </w:tcPr>
          <w:p w14:paraId="4CFB610D" w14:textId="712D3105" w:rsidR="00AE303E" w:rsidRPr="003072DA" w:rsidDel="007A5972" w:rsidRDefault="00AE303E" w:rsidP="00AE303E">
            <w:pPr>
              <w:autoSpaceDE w:val="0"/>
              <w:autoSpaceDN w:val="0"/>
              <w:adjustRightInd w:val="0"/>
              <w:jc w:val="right"/>
              <w:rPr>
                <w:rFonts w:ascii="Cambria" w:eastAsia="Calibri" w:hAnsi="Cambria"/>
                <w:sz w:val="20"/>
                <w:szCs w:val="20"/>
              </w:rPr>
            </w:pPr>
            <w:r w:rsidRPr="003072DA">
              <w:rPr>
                <w:rFonts w:ascii="Cambria" w:hAnsi="Cambria"/>
                <w:sz w:val="20"/>
                <w:szCs w:val="20"/>
              </w:rPr>
              <w:t>4.320</w:t>
            </w:r>
          </w:p>
        </w:tc>
      </w:tr>
      <w:tr w:rsidR="00AE303E" w:rsidRPr="003072DA" w14:paraId="69451E3B" w14:textId="77777777" w:rsidTr="00D85E45">
        <w:trPr>
          <w:jc w:val="center"/>
        </w:trPr>
        <w:tc>
          <w:tcPr>
            <w:tcW w:w="3975" w:type="dxa"/>
            <w:tcBorders>
              <w:left w:val="nil"/>
              <w:right w:val="nil"/>
            </w:tcBorders>
            <w:shd w:val="clear" w:color="auto" w:fill="FFFFFF" w:themeFill="background1"/>
          </w:tcPr>
          <w:p w14:paraId="5A000E3F"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S</w:t>
            </w:r>
            <w:r w:rsidRPr="003072DA">
              <w:rPr>
                <w:rFonts w:ascii="Cambria" w:hAnsi="Cambria"/>
                <w:bCs/>
                <w:color w:val="000000"/>
                <w:sz w:val="20"/>
                <w:szCs w:val="20"/>
                <w:lang w:eastAsia="en-ZA"/>
              </w:rPr>
              <w:t>udáfrica</w:t>
            </w:r>
          </w:p>
        </w:tc>
        <w:tc>
          <w:tcPr>
            <w:tcW w:w="1559" w:type="dxa"/>
            <w:tcBorders>
              <w:left w:val="nil"/>
              <w:right w:val="nil"/>
            </w:tcBorders>
            <w:shd w:val="clear" w:color="auto" w:fill="FFFFFF" w:themeFill="background1"/>
          </w:tcPr>
          <w:p w14:paraId="4F2F6BBD" w14:textId="41857287" w:rsidR="00AE303E" w:rsidRPr="003072DA" w:rsidDel="007A5972" w:rsidRDefault="00AE303E" w:rsidP="00AE303E">
            <w:pPr>
              <w:jc w:val="right"/>
              <w:rPr>
                <w:rFonts w:ascii="Cambria" w:eastAsia="Calibri" w:hAnsi="Cambria"/>
                <w:sz w:val="20"/>
                <w:szCs w:val="20"/>
              </w:rPr>
            </w:pPr>
            <w:r w:rsidRPr="003072DA">
              <w:rPr>
                <w:rFonts w:ascii="Cambria" w:hAnsi="Cambria" w:cs="Calibri"/>
                <w:sz w:val="20"/>
                <w:szCs w:val="20"/>
              </w:rPr>
              <w:t>5.280</w:t>
            </w:r>
          </w:p>
        </w:tc>
      </w:tr>
      <w:tr w:rsidR="00AE303E" w:rsidRPr="003072DA" w14:paraId="0888C7CC" w14:textId="77777777" w:rsidTr="00D85E45">
        <w:trPr>
          <w:jc w:val="center"/>
        </w:trPr>
        <w:tc>
          <w:tcPr>
            <w:tcW w:w="3975" w:type="dxa"/>
            <w:shd w:val="clear" w:color="auto" w:fill="BFBFBF" w:themeFill="background1" w:themeFillShade="BF"/>
          </w:tcPr>
          <w:p w14:paraId="1BA59ED8" w14:textId="5A5DD84C"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San Vicente y las Granadinas</w:t>
            </w:r>
            <w:r w:rsidRPr="003072DA">
              <w:rPr>
                <w:rFonts w:ascii="Cambria" w:hAnsi="Cambria"/>
                <w:color w:val="000000"/>
                <w:sz w:val="20"/>
                <w:szCs w:val="20"/>
                <w:lang w:eastAsia="en-ZA"/>
              </w:rPr>
              <w:tab/>
            </w:r>
          </w:p>
        </w:tc>
        <w:tc>
          <w:tcPr>
            <w:tcW w:w="1559" w:type="dxa"/>
            <w:shd w:val="clear" w:color="auto" w:fill="BFBFBF" w:themeFill="background1" w:themeFillShade="BF"/>
          </w:tcPr>
          <w:p w14:paraId="3BCB7D0A" w14:textId="5D3FC794" w:rsidR="00AE303E" w:rsidRPr="003072DA" w:rsidDel="007A5972" w:rsidRDefault="00AE303E" w:rsidP="00AE303E">
            <w:pPr>
              <w:autoSpaceDE w:val="0"/>
              <w:autoSpaceDN w:val="0"/>
              <w:adjustRightInd w:val="0"/>
              <w:jc w:val="right"/>
              <w:rPr>
                <w:rFonts w:ascii="Cambria" w:hAnsi="Cambria"/>
                <w:color w:val="000000"/>
                <w:sz w:val="20"/>
                <w:szCs w:val="20"/>
                <w:lang w:eastAsia="en-ZA"/>
              </w:rPr>
            </w:pPr>
            <w:r w:rsidRPr="003072DA">
              <w:rPr>
                <w:rFonts w:ascii="Cambria" w:eastAsia="Times New Roman" w:hAnsi="Cambria"/>
                <w:sz w:val="20"/>
                <w:szCs w:val="20"/>
                <w:lang w:eastAsia="en-ZA"/>
              </w:rPr>
              <w:t>170</w:t>
            </w:r>
          </w:p>
        </w:tc>
      </w:tr>
      <w:tr w:rsidR="00AE303E" w:rsidRPr="003072DA" w14:paraId="38ACCE5D" w14:textId="77777777" w:rsidTr="00D85E45">
        <w:trPr>
          <w:jc w:val="center"/>
        </w:trPr>
        <w:tc>
          <w:tcPr>
            <w:tcW w:w="3975" w:type="dxa"/>
            <w:tcBorders>
              <w:left w:val="nil"/>
              <w:right w:val="nil"/>
            </w:tcBorders>
            <w:shd w:val="clear" w:color="auto" w:fill="FFFFFF" w:themeFill="background1"/>
          </w:tcPr>
          <w:p w14:paraId="02658473" w14:textId="49B1744D"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Reino Unido</w:t>
            </w:r>
            <w:r w:rsidRPr="003072DA">
              <w:rPr>
                <w:rStyle w:val="FootnoteReference"/>
                <w:rFonts w:ascii="Cambria" w:hAnsi="Cambria"/>
                <w:color w:val="000000"/>
                <w:sz w:val="20"/>
                <w:szCs w:val="20"/>
                <w:lang w:eastAsia="en-ZA"/>
              </w:rPr>
              <w:footnoteReference w:id="1"/>
            </w:r>
          </w:p>
        </w:tc>
        <w:tc>
          <w:tcPr>
            <w:tcW w:w="1559" w:type="dxa"/>
            <w:tcBorders>
              <w:left w:val="nil"/>
              <w:right w:val="nil"/>
            </w:tcBorders>
            <w:shd w:val="clear" w:color="auto" w:fill="FFFFFF" w:themeFill="background1"/>
          </w:tcPr>
          <w:p w14:paraId="0B96F11E" w14:textId="0C26DD9F" w:rsidR="00AE303E" w:rsidRPr="003072DA" w:rsidDel="007A5972" w:rsidRDefault="00AE303E" w:rsidP="00AE303E">
            <w:pPr>
              <w:autoSpaceDE w:val="0"/>
              <w:autoSpaceDN w:val="0"/>
              <w:adjustRightInd w:val="0"/>
              <w:jc w:val="right"/>
              <w:rPr>
                <w:rFonts w:ascii="Cambria" w:hAnsi="Cambria"/>
                <w:color w:val="000000"/>
                <w:sz w:val="20"/>
                <w:szCs w:val="20"/>
                <w:lang w:eastAsia="en-ZA"/>
              </w:rPr>
            </w:pPr>
            <w:r w:rsidRPr="003072DA">
              <w:rPr>
                <w:rFonts w:ascii="Cambria" w:eastAsia="Times New Roman" w:hAnsi="Cambria"/>
                <w:sz w:val="20"/>
                <w:szCs w:val="20"/>
                <w:lang w:eastAsia="en-ZA"/>
              </w:rPr>
              <w:t>120</w:t>
            </w:r>
          </w:p>
        </w:tc>
      </w:tr>
      <w:tr w:rsidR="00AE303E" w:rsidRPr="003072DA" w14:paraId="6775BC46" w14:textId="77777777" w:rsidTr="00D85E45">
        <w:trPr>
          <w:jc w:val="center"/>
        </w:trPr>
        <w:tc>
          <w:tcPr>
            <w:tcW w:w="3975" w:type="dxa"/>
            <w:shd w:val="clear" w:color="auto" w:fill="BFBFBF" w:themeFill="background1" w:themeFillShade="BF"/>
          </w:tcPr>
          <w:p w14:paraId="587594AD" w14:textId="77777777" w:rsidR="00AE303E" w:rsidRPr="003072DA" w:rsidDel="007A5972"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Uruguay</w:t>
            </w:r>
          </w:p>
        </w:tc>
        <w:tc>
          <w:tcPr>
            <w:tcW w:w="1559" w:type="dxa"/>
            <w:shd w:val="clear" w:color="auto" w:fill="BFBFBF" w:themeFill="background1" w:themeFillShade="BF"/>
          </w:tcPr>
          <w:p w14:paraId="31D585AB" w14:textId="4DE80451" w:rsidR="00AE303E" w:rsidRPr="003072DA" w:rsidDel="007A5972" w:rsidRDefault="00AE303E" w:rsidP="00AE303E">
            <w:pPr>
              <w:autoSpaceDE w:val="0"/>
              <w:autoSpaceDN w:val="0"/>
              <w:adjustRightInd w:val="0"/>
              <w:jc w:val="right"/>
              <w:rPr>
                <w:rFonts w:ascii="Cambria" w:hAnsi="Cambria"/>
                <w:color w:val="000000"/>
                <w:sz w:val="20"/>
                <w:szCs w:val="20"/>
                <w:lang w:eastAsia="en-ZA"/>
              </w:rPr>
            </w:pPr>
            <w:r w:rsidRPr="003072DA">
              <w:rPr>
                <w:rFonts w:ascii="Cambria" w:hAnsi="Cambria"/>
                <w:sz w:val="20"/>
                <w:szCs w:val="20"/>
              </w:rPr>
              <w:t>530</w:t>
            </w:r>
          </w:p>
        </w:tc>
      </w:tr>
      <w:tr w:rsidR="00AE303E" w:rsidRPr="003072DA" w14:paraId="3917717F" w14:textId="77777777" w:rsidTr="00D85E45">
        <w:trPr>
          <w:jc w:val="center"/>
        </w:trPr>
        <w:tc>
          <w:tcPr>
            <w:tcW w:w="3975" w:type="dxa"/>
            <w:shd w:val="clear" w:color="auto" w:fill="FFFFFF" w:themeFill="background1"/>
          </w:tcPr>
          <w:p w14:paraId="5F4E2B91" w14:textId="4AB6CF96" w:rsidR="00AE303E" w:rsidRPr="003072DA" w:rsidRDefault="00AE303E" w:rsidP="00AE303E">
            <w:pPr>
              <w:autoSpaceDE w:val="0"/>
              <w:autoSpaceDN w:val="0"/>
              <w:adjustRightInd w:val="0"/>
              <w:jc w:val="both"/>
              <w:rPr>
                <w:rFonts w:ascii="Cambria" w:hAnsi="Cambria"/>
                <w:color w:val="000000"/>
                <w:sz w:val="20"/>
                <w:szCs w:val="20"/>
                <w:lang w:eastAsia="en-ZA"/>
              </w:rPr>
            </w:pPr>
            <w:r w:rsidRPr="003072DA">
              <w:rPr>
                <w:rFonts w:ascii="Cambria" w:hAnsi="Cambria"/>
                <w:color w:val="000000"/>
                <w:sz w:val="20"/>
                <w:szCs w:val="20"/>
                <w:lang w:eastAsia="en-ZA"/>
              </w:rPr>
              <w:t>Filipinas</w:t>
            </w:r>
          </w:p>
        </w:tc>
        <w:tc>
          <w:tcPr>
            <w:tcW w:w="1559" w:type="dxa"/>
            <w:shd w:val="clear" w:color="auto" w:fill="FFFFFF" w:themeFill="background1"/>
          </w:tcPr>
          <w:p w14:paraId="54EA3C48" w14:textId="476C31EC" w:rsidR="00AE303E" w:rsidRPr="003072DA" w:rsidRDefault="00AE303E" w:rsidP="00AE303E">
            <w:pPr>
              <w:autoSpaceDE w:val="0"/>
              <w:autoSpaceDN w:val="0"/>
              <w:adjustRightInd w:val="0"/>
              <w:jc w:val="right"/>
              <w:rPr>
                <w:rFonts w:ascii="Cambria" w:eastAsia="Times New Roman" w:hAnsi="Cambria"/>
                <w:sz w:val="20"/>
                <w:szCs w:val="20"/>
                <w:lang w:eastAsia="en-ZA"/>
              </w:rPr>
            </w:pPr>
            <w:r w:rsidRPr="003072DA">
              <w:rPr>
                <w:rFonts w:ascii="Cambria" w:eastAsia="Times New Roman" w:hAnsi="Cambria"/>
                <w:sz w:val="20"/>
                <w:szCs w:val="20"/>
                <w:lang w:eastAsia="en-ZA"/>
              </w:rPr>
              <w:t>30</w:t>
            </w:r>
          </w:p>
        </w:tc>
      </w:tr>
    </w:tbl>
    <w:p w14:paraId="340DE78D" w14:textId="408B3635" w:rsidR="00BD53C9" w:rsidRPr="003072DA" w:rsidRDefault="00BD53C9" w:rsidP="00AE303E">
      <w:pPr>
        <w:autoSpaceDE w:val="0"/>
        <w:autoSpaceDN w:val="0"/>
        <w:adjustRightInd w:val="0"/>
        <w:spacing w:line="276" w:lineRule="auto"/>
        <w:ind w:left="1138" w:firstLineChars="450" w:firstLine="720"/>
        <w:jc w:val="both"/>
        <w:rPr>
          <w:rFonts w:ascii="Cambria" w:eastAsia="MS Mincho" w:hAnsi="Cambria"/>
          <w:sz w:val="16"/>
          <w:szCs w:val="16"/>
        </w:rPr>
      </w:pPr>
      <w:r w:rsidRPr="003072DA">
        <w:rPr>
          <w:rFonts w:ascii="Cambria" w:hAnsi="Cambria"/>
          <w:sz w:val="16"/>
          <w:szCs w:val="16"/>
        </w:rPr>
        <w:t>* Se autorizarán las siguientes transferencias</w:t>
      </w:r>
      <w:r w:rsidR="00C02230" w:rsidRPr="003072DA">
        <w:rPr>
          <w:rFonts w:ascii="Cambria" w:hAnsi="Cambria"/>
          <w:sz w:val="16"/>
          <w:szCs w:val="16"/>
        </w:rPr>
        <w:t xml:space="preserve"> anuales</w:t>
      </w:r>
      <w:r w:rsidRPr="003072DA">
        <w:rPr>
          <w:rFonts w:ascii="Cambria" w:hAnsi="Cambria"/>
          <w:sz w:val="16"/>
          <w:szCs w:val="16"/>
        </w:rPr>
        <w:t xml:space="preserve"> de límites de captura:</w:t>
      </w:r>
    </w:p>
    <w:p w14:paraId="1478CCD0" w14:textId="49600598" w:rsidR="00BD53C9" w:rsidRPr="003072DA" w:rsidRDefault="00BD53C9" w:rsidP="00FC2683">
      <w:pPr>
        <w:autoSpaceDE w:val="0"/>
        <w:autoSpaceDN w:val="0"/>
        <w:adjustRightInd w:val="0"/>
        <w:spacing w:line="276" w:lineRule="auto"/>
        <w:ind w:left="974" w:firstLineChars="632" w:firstLine="1011"/>
        <w:jc w:val="both"/>
        <w:rPr>
          <w:rFonts w:ascii="Cambria" w:eastAsia="MS Mincho" w:hAnsi="Cambria"/>
          <w:sz w:val="16"/>
          <w:szCs w:val="16"/>
        </w:rPr>
      </w:pPr>
      <w:r w:rsidRPr="003072DA">
        <w:rPr>
          <w:rFonts w:ascii="Cambria" w:hAnsi="Cambria"/>
          <w:sz w:val="16"/>
          <w:szCs w:val="16"/>
        </w:rPr>
        <w:t>De Brasil a Japón: 100 t en 20</w:t>
      </w:r>
      <w:r w:rsidR="00AE303E" w:rsidRPr="003072DA">
        <w:rPr>
          <w:rFonts w:ascii="Cambria" w:hAnsi="Cambria"/>
          <w:sz w:val="16"/>
          <w:szCs w:val="16"/>
        </w:rPr>
        <w:t>23</w:t>
      </w:r>
      <w:r w:rsidRPr="003072DA">
        <w:rPr>
          <w:rFonts w:ascii="Cambria" w:hAnsi="Cambria"/>
          <w:i/>
          <w:iCs/>
          <w:sz w:val="16"/>
          <w:szCs w:val="16"/>
        </w:rPr>
        <w:t>-</w:t>
      </w:r>
      <w:r w:rsidRPr="003072DA">
        <w:rPr>
          <w:rFonts w:ascii="Cambria" w:hAnsi="Cambria"/>
          <w:sz w:val="16"/>
          <w:szCs w:val="16"/>
        </w:rPr>
        <w:t>202</w:t>
      </w:r>
      <w:r w:rsidR="00AE303E" w:rsidRPr="003072DA">
        <w:rPr>
          <w:rFonts w:ascii="Cambria" w:hAnsi="Cambria"/>
          <w:sz w:val="16"/>
          <w:szCs w:val="16"/>
        </w:rPr>
        <w:t>6</w:t>
      </w:r>
    </w:p>
    <w:p w14:paraId="79561110" w14:textId="37F51051" w:rsidR="00BD53C9" w:rsidRPr="003072DA" w:rsidRDefault="00BD53C9" w:rsidP="00BD53C9">
      <w:pPr>
        <w:autoSpaceDE w:val="0"/>
        <w:autoSpaceDN w:val="0"/>
        <w:adjustRightInd w:val="0"/>
        <w:spacing w:line="276" w:lineRule="auto"/>
        <w:ind w:left="720" w:firstLine="1265"/>
        <w:jc w:val="both"/>
        <w:rPr>
          <w:rFonts w:ascii="Cambria" w:eastAsia="MS Mincho" w:hAnsi="Cambria"/>
          <w:sz w:val="16"/>
          <w:szCs w:val="16"/>
        </w:rPr>
      </w:pPr>
      <w:r w:rsidRPr="003072DA">
        <w:rPr>
          <w:rFonts w:ascii="Cambria" w:hAnsi="Cambria"/>
          <w:sz w:val="16"/>
          <w:szCs w:val="16"/>
        </w:rPr>
        <w:t xml:space="preserve">De Uruguay a Japón: 100 t en </w:t>
      </w:r>
      <w:r w:rsidR="00C56FD7" w:rsidRPr="003072DA">
        <w:rPr>
          <w:rFonts w:ascii="Cambria" w:hAnsi="Cambria"/>
          <w:sz w:val="16"/>
          <w:szCs w:val="16"/>
        </w:rPr>
        <w:t>2023</w:t>
      </w:r>
      <w:r w:rsidR="00C56FD7" w:rsidRPr="003072DA">
        <w:rPr>
          <w:rFonts w:ascii="Cambria" w:hAnsi="Cambria"/>
          <w:i/>
          <w:iCs/>
          <w:sz w:val="16"/>
          <w:szCs w:val="16"/>
        </w:rPr>
        <w:t>-</w:t>
      </w:r>
      <w:r w:rsidR="00C56FD7" w:rsidRPr="003072DA">
        <w:rPr>
          <w:rFonts w:ascii="Cambria" w:hAnsi="Cambria"/>
          <w:sz w:val="16"/>
          <w:szCs w:val="16"/>
        </w:rPr>
        <w:t>2026</w:t>
      </w:r>
    </w:p>
    <w:p w14:paraId="75D99A48" w14:textId="7226BB93" w:rsidR="00BD53C9" w:rsidRPr="003072DA" w:rsidRDefault="00BD53C9" w:rsidP="00BD53C9">
      <w:pPr>
        <w:autoSpaceDE w:val="0"/>
        <w:autoSpaceDN w:val="0"/>
        <w:adjustRightInd w:val="0"/>
        <w:spacing w:line="276" w:lineRule="auto"/>
        <w:ind w:left="720" w:firstLine="1265"/>
        <w:jc w:val="both"/>
        <w:rPr>
          <w:rFonts w:ascii="Cambria" w:eastAsia="Calibri" w:hAnsi="Cambria"/>
          <w:sz w:val="16"/>
          <w:szCs w:val="16"/>
        </w:rPr>
      </w:pPr>
      <w:r w:rsidRPr="003072DA">
        <w:rPr>
          <w:rFonts w:ascii="Cambria" w:hAnsi="Cambria"/>
          <w:sz w:val="16"/>
          <w:szCs w:val="16"/>
        </w:rPr>
        <w:t xml:space="preserve">De Sudáfrica a Japón: 100 t en </w:t>
      </w:r>
      <w:r w:rsidR="00C56FD7" w:rsidRPr="003072DA">
        <w:rPr>
          <w:rFonts w:ascii="Cambria" w:hAnsi="Cambria"/>
          <w:sz w:val="16"/>
          <w:szCs w:val="16"/>
        </w:rPr>
        <w:t>2023</w:t>
      </w:r>
      <w:r w:rsidR="00C56FD7" w:rsidRPr="003072DA">
        <w:rPr>
          <w:rFonts w:ascii="Cambria" w:hAnsi="Cambria"/>
          <w:i/>
          <w:iCs/>
          <w:sz w:val="16"/>
          <w:szCs w:val="16"/>
        </w:rPr>
        <w:t>-</w:t>
      </w:r>
      <w:r w:rsidR="00C56FD7" w:rsidRPr="003072DA">
        <w:rPr>
          <w:rFonts w:ascii="Cambria" w:hAnsi="Cambria"/>
          <w:sz w:val="16"/>
          <w:szCs w:val="16"/>
        </w:rPr>
        <w:t>2026</w:t>
      </w:r>
    </w:p>
    <w:p w14:paraId="52C31736" w14:textId="77777777" w:rsidR="00FD12B4" w:rsidRPr="003072DA" w:rsidRDefault="00FD12B4" w:rsidP="00FD12B4">
      <w:pPr>
        <w:autoSpaceDE w:val="0"/>
        <w:autoSpaceDN w:val="0"/>
        <w:adjustRightInd w:val="0"/>
        <w:jc w:val="both"/>
        <w:rPr>
          <w:rFonts w:ascii="Cambria" w:eastAsia="Calibri" w:hAnsi="Cambria"/>
          <w:sz w:val="20"/>
          <w:szCs w:val="20"/>
        </w:rPr>
      </w:pPr>
    </w:p>
    <w:p w14:paraId="215E4916" w14:textId="59C267F9" w:rsidR="00FD12B4" w:rsidRPr="003072DA" w:rsidRDefault="00FD12B4" w:rsidP="002253FE">
      <w:pPr>
        <w:pStyle w:val="ListParagraph"/>
        <w:numPr>
          <w:ilvl w:val="0"/>
          <w:numId w:val="16"/>
        </w:numPr>
        <w:autoSpaceDE w:val="0"/>
        <w:autoSpaceDN w:val="0"/>
        <w:adjustRightInd w:val="0"/>
        <w:jc w:val="both"/>
        <w:rPr>
          <w:rFonts w:ascii="Cambria" w:eastAsia="Calibri" w:hAnsi="Cambria"/>
          <w:sz w:val="20"/>
          <w:szCs w:val="20"/>
        </w:rPr>
      </w:pPr>
      <w:r w:rsidRPr="003072DA">
        <w:rPr>
          <w:rFonts w:ascii="Cambria" w:eastAsia="Calibri" w:hAnsi="Cambria"/>
          <w:color w:val="000000"/>
          <w:sz w:val="20"/>
          <w:szCs w:val="20"/>
        </w:rPr>
        <w:t xml:space="preserve">Todas las demás CPC no enumeradas en esta lista deberán limitar sus capturas a </w:t>
      </w:r>
      <w:r w:rsidR="00AE303E" w:rsidRPr="003072DA">
        <w:rPr>
          <w:rFonts w:ascii="Cambria" w:eastAsia="Calibri" w:hAnsi="Cambria"/>
          <w:color w:val="000000"/>
          <w:sz w:val="20"/>
          <w:szCs w:val="20"/>
        </w:rPr>
        <w:t xml:space="preserve">30 </w:t>
      </w:r>
      <w:r w:rsidRPr="003072DA">
        <w:rPr>
          <w:rFonts w:ascii="Cambria" w:eastAsia="Calibri" w:hAnsi="Cambria"/>
          <w:color w:val="000000"/>
          <w:sz w:val="20"/>
          <w:szCs w:val="20"/>
        </w:rPr>
        <w:t>t.</w:t>
      </w:r>
    </w:p>
    <w:p w14:paraId="121BADCD" w14:textId="77777777" w:rsidR="00C9347F" w:rsidRPr="003072DA" w:rsidRDefault="00C9347F" w:rsidP="00C9347F">
      <w:pPr>
        <w:pStyle w:val="ListParagraph"/>
        <w:autoSpaceDE w:val="0"/>
        <w:autoSpaceDN w:val="0"/>
        <w:adjustRightInd w:val="0"/>
        <w:jc w:val="both"/>
        <w:rPr>
          <w:rFonts w:ascii="Cambria" w:eastAsia="Calibri" w:hAnsi="Cambria"/>
          <w:sz w:val="20"/>
          <w:szCs w:val="20"/>
        </w:rPr>
      </w:pPr>
    </w:p>
    <w:p w14:paraId="309D6623" w14:textId="5A12FED2" w:rsidR="002253FE" w:rsidRPr="003072DA" w:rsidRDefault="002253FE" w:rsidP="002253FE">
      <w:pPr>
        <w:pStyle w:val="ListParagraph"/>
        <w:numPr>
          <w:ilvl w:val="0"/>
          <w:numId w:val="16"/>
        </w:numPr>
        <w:autoSpaceDE w:val="0"/>
        <w:autoSpaceDN w:val="0"/>
        <w:adjustRightInd w:val="0"/>
        <w:jc w:val="both"/>
        <w:rPr>
          <w:rFonts w:ascii="Cambria" w:eastAsia="Calibri" w:hAnsi="Cambria"/>
          <w:sz w:val="20"/>
          <w:szCs w:val="20"/>
        </w:rPr>
      </w:pPr>
      <w:r w:rsidRPr="003072DA">
        <w:rPr>
          <w:rFonts w:ascii="Cambria" w:eastAsia="Calibri" w:hAnsi="Cambria"/>
          <w:sz w:val="20"/>
          <w:szCs w:val="20"/>
        </w:rPr>
        <w:t>Los límites de capturas descritos en esta Recomendación no constituyen derechos a largo plazo y se entienden sin perjuicio de cualquier proceso futuro de asignación</w:t>
      </w:r>
      <w:r w:rsidR="00E2282D" w:rsidRPr="003072DA">
        <w:rPr>
          <w:rFonts w:ascii="Cambria" w:eastAsia="Calibri" w:hAnsi="Cambria"/>
          <w:sz w:val="20"/>
          <w:szCs w:val="20"/>
        </w:rPr>
        <w:t>.</w:t>
      </w:r>
    </w:p>
    <w:p w14:paraId="39269BFF" w14:textId="77777777" w:rsidR="00FD12B4" w:rsidRPr="003072DA" w:rsidRDefault="00FD12B4" w:rsidP="00FD12B4">
      <w:pPr>
        <w:autoSpaceDE w:val="0"/>
        <w:autoSpaceDN w:val="0"/>
        <w:adjustRightInd w:val="0"/>
        <w:ind w:left="720" w:hanging="720"/>
        <w:jc w:val="both"/>
        <w:rPr>
          <w:rFonts w:ascii="Cambria" w:eastAsia="Calibri" w:hAnsi="Cambria"/>
          <w:sz w:val="20"/>
          <w:szCs w:val="20"/>
        </w:rPr>
      </w:pPr>
      <w:r w:rsidRPr="003072DA">
        <w:rPr>
          <w:rFonts w:ascii="Cambria" w:eastAsia="Calibri" w:hAnsi="Cambria"/>
          <w:sz w:val="20"/>
          <w:szCs w:val="20"/>
        </w:rPr>
        <w:tab/>
      </w:r>
    </w:p>
    <w:p w14:paraId="193B58A9" w14:textId="1818D002" w:rsidR="00FD12B4" w:rsidRPr="003072DA" w:rsidRDefault="00FD12B4" w:rsidP="00FD12B4">
      <w:pPr>
        <w:autoSpaceDE w:val="0"/>
        <w:autoSpaceDN w:val="0"/>
        <w:adjustRightInd w:val="0"/>
        <w:ind w:left="426" w:hanging="426"/>
        <w:jc w:val="both"/>
        <w:rPr>
          <w:rFonts w:ascii="Cambria" w:eastAsia="Calibri" w:hAnsi="Cambria"/>
          <w:sz w:val="20"/>
          <w:szCs w:val="20"/>
        </w:rPr>
      </w:pPr>
      <w:r w:rsidRPr="003072DA">
        <w:rPr>
          <w:rFonts w:ascii="Cambria" w:eastAsia="Calibri" w:hAnsi="Cambria"/>
          <w:sz w:val="20"/>
          <w:szCs w:val="20"/>
        </w:rPr>
        <w:t>4</w:t>
      </w:r>
      <w:r w:rsidR="009F3362" w:rsidRPr="003072DA">
        <w:rPr>
          <w:rFonts w:ascii="Cambria" w:eastAsia="Calibri" w:hAnsi="Cambria"/>
          <w:sz w:val="20"/>
          <w:szCs w:val="20"/>
        </w:rPr>
        <w:t>.</w:t>
      </w:r>
      <w:r w:rsidRPr="003072DA">
        <w:rPr>
          <w:rFonts w:ascii="Cambria" w:eastAsia="Calibri" w:hAnsi="Cambria"/>
          <w:sz w:val="20"/>
          <w:szCs w:val="20"/>
        </w:rPr>
        <w:t xml:space="preserve"> </w:t>
      </w:r>
      <w:r w:rsidRPr="003072DA">
        <w:rPr>
          <w:rFonts w:ascii="Cambria" w:eastAsia="Calibri" w:hAnsi="Cambria"/>
          <w:sz w:val="20"/>
          <w:szCs w:val="20"/>
        </w:rPr>
        <w:tab/>
        <w:t>Cualquier proporción no utilizada o que exceda de los límites de captura anual</w:t>
      </w:r>
      <w:r w:rsidR="00612EBD" w:rsidRPr="003072DA">
        <w:rPr>
          <w:rFonts w:ascii="Cambria" w:eastAsia="Calibri" w:hAnsi="Cambria"/>
          <w:sz w:val="20"/>
          <w:szCs w:val="20"/>
        </w:rPr>
        <w:t>es</w:t>
      </w:r>
      <w:r w:rsidRPr="003072DA">
        <w:rPr>
          <w:rFonts w:ascii="Cambria" w:eastAsia="Calibri" w:hAnsi="Cambria"/>
          <w:sz w:val="20"/>
          <w:szCs w:val="20"/>
        </w:rPr>
        <w:t xml:space="preserve"> individual</w:t>
      </w:r>
      <w:r w:rsidR="00612EBD" w:rsidRPr="003072DA">
        <w:rPr>
          <w:rFonts w:ascii="Cambria" w:eastAsia="Calibri" w:hAnsi="Cambria"/>
          <w:sz w:val="20"/>
          <w:szCs w:val="20"/>
        </w:rPr>
        <w:t>es</w:t>
      </w:r>
      <w:r w:rsidRPr="003072DA">
        <w:rPr>
          <w:rFonts w:ascii="Cambria" w:eastAsia="Calibri" w:hAnsi="Cambria"/>
          <w:sz w:val="20"/>
          <w:szCs w:val="20"/>
        </w:rPr>
        <w:t xml:space="preserve"> se puede añadir o se deducirá de, según el caso, el límite de captura respectivo, durante el año de ajuste o antes, de la siguiente forma, para el atún blanco del Atlántico sur:</w:t>
      </w:r>
    </w:p>
    <w:p w14:paraId="14C508C4" w14:textId="77777777" w:rsidR="00FD12B4" w:rsidRPr="003072DA" w:rsidRDefault="00FD12B4" w:rsidP="00FD12B4">
      <w:pPr>
        <w:autoSpaceDE w:val="0"/>
        <w:autoSpaceDN w:val="0"/>
        <w:adjustRightInd w:val="0"/>
        <w:jc w:val="both"/>
        <w:rPr>
          <w:rFonts w:ascii="Cambria" w:eastAsia="Calibri" w:hAnsi="Cambria"/>
          <w:sz w:val="20"/>
          <w:szCs w:val="20"/>
        </w:rPr>
      </w:pPr>
    </w:p>
    <w:p w14:paraId="65EDF19C" w14:textId="06A9155E" w:rsidR="00FD12B4" w:rsidRPr="003072DA" w:rsidRDefault="00FD12B4" w:rsidP="00FC2683">
      <w:pPr>
        <w:numPr>
          <w:ilvl w:val="0"/>
          <w:numId w:val="13"/>
        </w:numPr>
        <w:ind w:left="709" w:hanging="284"/>
        <w:contextualSpacing/>
        <w:jc w:val="both"/>
        <w:rPr>
          <w:rFonts w:ascii="Cambria" w:eastAsia="Calibri" w:hAnsi="Cambria"/>
          <w:sz w:val="20"/>
          <w:szCs w:val="20"/>
        </w:rPr>
      </w:pPr>
      <w:r w:rsidRPr="003072DA">
        <w:rPr>
          <w:rFonts w:ascii="Cambria" w:eastAsia="Calibri" w:hAnsi="Cambria"/>
          <w:sz w:val="20"/>
          <w:szCs w:val="20"/>
        </w:rPr>
        <w:t>Los remanentes de la cuota anual podrán añadirse a la cuota respectiva de cada CPC, hasta el límite máximo del 25</w:t>
      </w:r>
      <w:r w:rsidR="00FC2683" w:rsidRPr="003072DA">
        <w:rPr>
          <w:rFonts w:ascii="Cambria" w:eastAsia="Calibri" w:hAnsi="Cambria"/>
          <w:sz w:val="20"/>
          <w:szCs w:val="20"/>
        </w:rPr>
        <w:t> </w:t>
      </w:r>
      <w:r w:rsidRPr="003072DA">
        <w:rPr>
          <w:rFonts w:ascii="Cambria" w:eastAsia="Calibri" w:hAnsi="Cambria"/>
          <w:sz w:val="20"/>
          <w:szCs w:val="20"/>
        </w:rPr>
        <w:t xml:space="preserve">% de su cuota original, de la siguiente forma: </w:t>
      </w:r>
    </w:p>
    <w:p w14:paraId="1DB81B39" w14:textId="77777777" w:rsidR="00A726E7" w:rsidRPr="003072DA" w:rsidRDefault="00A726E7" w:rsidP="00A726E7">
      <w:pPr>
        <w:spacing w:after="200" w:line="276" w:lineRule="auto"/>
        <w:contextualSpacing/>
        <w:rPr>
          <w:rFonts w:ascii="Cambria" w:eastAsia="Calibri" w:hAnsi="Cambria"/>
          <w:sz w:val="20"/>
          <w:szCs w:val="20"/>
        </w:rPr>
      </w:pPr>
    </w:p>
    <w:tbl>
      <w:tblPr>
        <w:tblW w:w="0" w:type="auto"/>
        <w:tblInd w:w="2802" w:type="dxa"/>
        <w:tblBorders>
          <w:top w:val="single" w:sz="8" w:space="0" w:color="000000"/>
          <w:bottom w:val="single" w:sz="8" w:space="0" w:color="000000"/>
        </w:tblBorders>
        <w:tblLook w:val="04A0" w:firstRow="1" w:lastRow="0" w:firstColumn="1" w:lastColumn="0" w:noHBand="0" w:noVBand="1"/>
      </w:tblPr>
      <w:tblGrid>
        <w:gridCol w:w="1701"/>
        <w:gridCol w:w="2268"/>
      </w:tblGrid>
      <w:tr w:rsidR="00FD12B4" w:rsidRPr="003072DA" w14:paraId="72342D1A" w14:textId="77777777" w:rsidTr="00127FF1">
        <w:tc>
          <w:tcPr>
            <w:tcW w:w="1701" w:type="dxa"/>
            <w:tcBorders>
              <w:top w:val="single" w:sz="8" w:space="0" w:color="000000"/>
              <w:bottom w:val="single" w:sz="8" w:space="0" w:color="000000"/>
            </w:tcBorders>
            <w:shd w:val="clear" w:color="auto" w:fill="auto"/>
          </w:tcPr>
          <w:p w14:paraId="5E4AC8B8" w14:textId="77777777" w:rsidR="00FD12B4" w:rsidRPr="003072DA" w:rsidRDefault="00FD12B4" w:rsidP="00C90351">
            <w:pPr>
              <w:spacing w:line="220" w:lineRule="exact"/>
              <w:ind w:left="459" w:hanging="459"/>
              <w:jc w:val="center"/>
              <w:rPr>
                <w:rFonts w:ascii="Cambria" w:eastAsia="Calibri" w:hAnsi="Cambria"/>
                <w:bCs/>
                <w:i/>
                <w:color w:val="000000"/>
                <w:sz w:val="20"/>
                <w:szCs w:val="20"/>
              </w:rPr>
            </w:pPr>
            <w:r w:rsidRPr="003072DA">
              <w:rPr>
                <w:rFonts w:ascii="Cambria" w:eastAsia="Calibri" w:hAnsi="Cambria"/>
                <w:bCs/>
                <w:i/>
                <w:color w:val="000000"/>
                <w:sz w:val="20"/>
                <w:szCs w:val="20"/>
              </w:rPr>
              <w:t>Año de captura</w:t>
            </w:r>
          </w:p>
        </w:tc>
        <w:tc>
          <w:tcPr>
            <w:tcW w:w="2268" w:type="dxa"/>
            <w:tcBorders>
              <w:top w:val="single" w:sz="8" w:space="0" w:color="000000"/>
              <w:bottom w:val="single" w:sz="8" w:space="0" w:color="000000"/>
            </w:tcBorders>
            <w:shd w:val="clear" w:color="auto" w:fill="auto"/>
          </w:tcPr>
          <w:p w14:paraId="76032876" w14:textId="77777777" w:rsidR="00FD12B4" w:rsidRPr="003072DA" w:rsidRDefault="00FD12B4" w:rsidP="00C90351">
            <w:pPr>
              <w:spacing w:line="220" w:lineRule="exact"/>
              <w:ind w:right="151"/>
              <w:jc w:val="center"/>
              <w:rPr>
                <w:rFonts w:ascii="Cambria" w:eastAsia="Calibri" w:hAnsi="Cambria"/>
                <w:bCs/>
                <w:i/>
                <w:color w:val="000000"/>
                <w:sz w:val="20"/>
                <w:szCs w:val="20"/>
              </w:rPr>
            </w:pPr>
            <w:r w:rsidRPr="003072DA">
              <w:rPr>
                <w:rFonts w:ascii="Cambria" w:eastAsia="Calibri" w:hAnsi="Cambria"/>
                <w:bCs/>
                <w:i/>
                <w:color w:val="000000"/>
                <w:sz w:val="20"/>
                <w:szCs w:val="20"/>
              </w:rPr>
              <w:t>Año de ajuste</w:t>
            </w:r>
          </w:p>
        </w:tc>
      </w:tr>
      <w:tr w:rsidR="00AE303E" w:rsidRPr="003072DA" w14:paraId="3DF867A3" w14:textId="77777777" w:rsidTr="00127FF1">
        <w:tc>
          <w:tcPr>
            <w:tcW w:w="1701" w:type="dxa"/>
            <w:shd w:val="clear" w:color="auto" w:fill="C0C0C0"/>
          </w:tcPr>
          <w:p w14:paraId="56B3308F" w14:textId="618ECA1F" w:rsidR="00AE303E" w:rsidRPr="003072DA" w:rsidRDefault="00AE303E" w:rsidP="00AE303E">
            <w:pPr>
              <w:spacing w:line="220" w:lineRule="exact"/>
              <w:jc w:val="center"/>
              <w:rPr>
                <w:rFonts w:ascii="Cambria" w:eastAsia="Calibri" w:hAnsi="Cambria"/>
                <w:bCs/>
                <w:color w:val="000000"/>
                <w:sz w:val="20"/>
                <w:szCs w:val="20"/>
              </w:rPr>
            </w:pPr>
            <w:r w:rsidRPr="003072DA">
              <w:rPr>
                <w:sz w:val="20"/>
                <w:szCs w:val="20"/>
              </w:rPr>
              <w:t>2022</w:t>
            </w:r>
          </w:p>
        </w:tc>
        <w:tc>
          <w:tcPr>
            <w:tcW w:w="2268" w:type="dxa"/>
            <w:tcBorders>
              <w:left w:val="nil"/>
              <w:right w:val="nil"/>
            </w:tcBorders>
            <w:shd w:val="clear" w:color="auto" w:fill="C0C0C0"/>
          </w:tcPr>
          <w:p w14:paraId="335AD05E" w14:textId="453F2033" w:rsidR="00AE303E" w:rsidRPr="003072DA" w:rsidRDefault="00AE303E" w:rsidP="00AE303E">
            <w:pPr>
              <w:spacing w:line="220" w:lineRule="exact"/>
              <w:jc w:val="center"/>
              <w:rPr>
                <w:rFonts w:ascii="Cambria" w:eastAsia="Calibri" w:hAnsi="Cambria"/>
                <w:color w:val="000000"/>
                <w:sz w:val="20"/>
                <w:szCs w:val="20"/>
              </w:rPr>
            </w:pPr>
            <w:r w:rsidRPr="003072DA">
              <w:rPr>
                <w:sz w:val="20"/>
                <w:szCs w:val="20"/>
              </w:rPr>
              <w:t>2024</w:t>
            </w:r>
          </w:p>
        </w:tc>
      </w:tr>
      <w:tr w:rsidR="00AE303E" w:rsidRPr="003072DA" w14:paraId="59AA91A4" w14:textId="77777777" w:rsidTr="00127FF1">
        <w:tc>
          <w:tcPr>
            <w:tcW w:w="1701" w:type="dxa"/>
            <w:shd w:val="clear" w:color="auto" w:fill="auto"/>
          </w:tcPr>
          <w:p w14:paraId="7DACA89C" w14:textId="58003055" w:rsidR="00AE303E" w:rsidRPr="003072DA" w:rsidRDefault="00AE303E" w:rsidP="00AE303E">
            <w:pPr>
              <w:spacing w:line="220" w:lineRule="exact"/>
              <w:jc w:val="center"/>
              <w:rPr>
                <w:rFonts w:ascii="Cambria" w:eastAsia="Calibri" w:hAnsi="Cambria"/>
                <w:bCs/>
                <w:color w:val="000000"/>
                <w:sz w:val="20"/>
                <w:szCs w:val="20"/>
              </w:rPr>
            </w:pPr>
            <w:r w:rsidRPr="003072DA">
              <w:rPr>
                <w:sz w:val="20"/>
                <w:szCs w:val="20"/>
              </w:rPr>
              <w:t>2023</w:t>
            </w:r>
          </w:p>
        </w:tc>
        <w:tc>
          <w:tcPr>
            <w:tcW w:w="2268" w:type="dxa"/>
            <w:shd w:val="clear" w:color="auto" w:fill="auto"/>
          </w:tcPr>
          <w:p w14:paraId="63CD650D" w14:textId="4E27B1AB" w:rsidR="00AE303E" w:rsidRPr="003072DA" w:rsidRDefault="00AE303E" w:rsidP="00AE303E">
            <w:pPr>
              <w:spacing w:line="220" w:lineRule="exact"/>
              <w:jc w:val="center"/>
              <w:rPr>
                <w:rFonts w:ascii="Cambria" w:eastAsia="Calibri" w:hAnsi="Cambria"/>
                <w:color w:val="000000"/>
                <w:sz w:val="20"/>
                <w:szCs w:val="20"/>
              </w:rPr>
            </w:pPr>
            <w:r w:rsidRPr="003072DA">
              <w:rPr>
                <w:sz w:val="20"/>
                <w:szCs w:val="20"/>
              </w:rPr>
              <w:t>2025</w:t>
            </w:r>
          </w:p>
        </w:tc>
      </w:tr>
      <w:tr w:rsidR="00AE303E" w:rsidRPr="003072DA" w14:paraId="7A2E25D3" w14:textId="77777777" w:rsidTr="00127FF1">
        <w:tc>
          <w:tcPr>
            <w:tcW w:w="1701" w:type="dxa"/>
            <w:shd w:val="clear" w:color="auto" w:fill="C0C0C0"/>
          </w:tcPr>
          <w:p w14:paraId="7FA22C52" w14:textId="6643B0B2" w:rsidR="00AE303E" w:rsidRPr="003072DA" w:rsidRDefault="00AE303E" w:rsidP="00AE303E">
            <w:pPr>
              <w:spacing w:line="220" w:lineRule="exact"/>
              <w:jc w:val="center"/>
              <w:rPr>
                <w:rFonts w:ascii="Cambria" w:eastAsia="Calibri" w:hAnsi="Cambria"/>
                <w:bCs/>
                <w:color w:val="000000"/>
                <w:sz w:val="20"/>
                <w:szCs w:val="20"/>
              </w:rPr>
            </w:pPr>
            <w:r w:rsidRPr="003072DA">
              <w:rPr>
                <w:sz w:val="20"/>
                <w:szCs w:val="20"/>
              </w:rPr>
              <w:t>2024</w:t>
            </w:r>
          </w:p>
        </w:tc>
        <w:tc>
          <w:tcPr>
            <w:tcW w:w="2268" w:type="dxa"/>
            <w:tcBorders>
              <w:left w:val="nil"/>
              <w:right w:val="nil"/>
            </w:tcBorders>
            <w:shd w:val="clear" w:color="auto" w:fill="C0C0C0"/>
          </w:tcPr>
          <w:p w14:paraId="0B8B4DA3" w14:textId="6C46AF95" w:rsidR="00AE303E" w:rsidRPr="003072DA" w:rsidRDefault="00AE303E" w:rsidP="00AE303E">
            <w:pPr>
              <w:spacing w:line="220" w:lineRule="exact"/>
              <w:jc w:val="center"/>
              <w:rPr>
                <w:rFonts w:ascii="Cambria" w:eastAsia="Calibri" w:hAnsi="Cambria"/>
                <w:color w:val="000000"/>
                <w:sz w:val="20"/>
                <w:szCs w:val="20"/>
              </w:rPr>
            </w:pPr>
            <w:r w:rsidRPr="003072DA">
              <w:rPr>
                <w:sz w:val="20"/>
                <w:szCs w:val="20"/>
              </w:rPr>
              <w:t>2026</w:t>
            </w:r>
          </w:p>
        </w:tc>
      </w:tr>
      <w:tr w:rsidR="00AE303E" w:rsidRPr="003072DA" w14:paraId="4C53C4E8" w14:textId="77777777" w:rsidTr="00127FF1">
        <w:tc>
          <w:tcPr>
            <w:tcW w:w="1701" w:type="dxa"/>
            <w:shd w:val="clear" w:color="auto" w:fill="auto"/>
          </w:tcPr>
          <w:p w14:paraId="576E1805" w14:textId="76B8150A" w:rsidR="00AE303E" w:rsidRPr="003072DA" w:rsidRDefault="00AE303E" w:rsidP="00AE303E">
            <w:pPr>
              <w:spacing w:line="220" w:lineRule="exact"/>
              <w:jc w:val="center"/>
              <w:rPr>
                <w:rFonts w:ascii="Cambria" w:eastAsia="Calibri" w:hAnsi="Cambria"/>
                <w:bCs/>
                <w:color w:val="000000"/>
                <w:sz w:val="20"/>
                <w:szCs w:val="20"/>
              </w:rPr>
            </w:pPr>
            <w:r w:rsidRPr="003072DA">
              <w:rPr>
                <w:sz w:val="20"/>
                <w:szCs w:val="20"/>
              </w:rPr>
              <w:t>2025</w:t>
            </w:r>
          </w:p>
        </w:tc>
        <w:tc>
          <w:tcPr>
            <w:tcW w:w="2268" w:type="dxa"/>
            <w:shd w:val="clear" w:color="auto" w:fill="auto"/>
          </w:tcPr>
          <w:p w14:paraId="359C6823" w14:textId="5F04071C" w:rsidR="00AE303E" w:rsidRPr="003072DA" w:rsidRDefault="00AE303E" w:rsidP="00AE303E">
            <w:pPr>
              <w:spacing w:line="220" w:lineRule="exact"/>
              <w:jc w:val="center"/>
              <w:rPr>
                <w:rFonts w:ascii="Cambria" w:eastAsia="Calibri" w:hAnsi="Cambria"/>
                <w:color w:val="000000"/>
                <w:sz w:val="20"/>
                <w:szCs w:val="20"/>
              </w:rPr>
            </w:pPr>
            <w:r w:rsidRPr="003072DA">
              <w:rPr>
                <w:sz w:val="20"/>
                <w:szCs w:val="20"/>
              </w:rPr>
              <w:t>2027</w:t>
            </w:r>
          </w:p>
        </w:tc>
      </w:tr>
      <w:tr w:rsidR="00AE303E" w:rsidRPr="003072DA" w14:paraId="63AB37A7" w14:textId="77777777" w:rsidTr="004C2464">
        <w:tc>
          <w:tcPr>
            <w:tcW w:w="1701" w:type="dxa"/>
            <w:shd w:val="clear" w:color="auto" w:fill="BFBFBF" w:themeFill="background1" w:themeFillShade="BF"/>
          </w:tcPr>
          <w:p w14:paraId="1EF1087F" w14:textId="4560B3FE" w:rsidR="00AE303E" w:rsidRPr="003072DA" w:rsidRDefault="00AE303E" w:rsidP="00AE303E">
            <w:pPr>
              <w:spacing w:line="220" w:lineRule="exact"/>
              <w:jc w:val="center"/>
              <w:rPr>
                <w:rFonts w:ascii="Cambria" w:eastAsia="Calibri" w:hAnsi="Cambria"/>
                <w:color w:val="000000"/>
                <w:sz w:val="20"/>
                <w:szCs w:val="20"/>
              </w:rPr>
            </w:pPr>
            <w:r w:rsidRPr="003072DA">
              <w:rPr>
                <w:rFonts w:eastAsia="MS Mincho"/>
                <w:sz w:val="20"/>
                <w:szCs w:val="20"/>
                <w:lang w:eastAsia="ja-JP"/>
              </w:rPr>
              <w:t>2026</w:t>
            </w:r>
          </w:p>
        </w:tc>
        <w:tc>
          <w:tcPr>
            <w:tcW w:w="2268" w:type="dxa"/>
            <w:shd w:val="clear" w:color="auto" w:fill="BFBFBF" w:themeFill="background1" w:themeFillShade="BF"/>
          </w:tcPr>
          <w:p w14:paraId="1FDFB18D" w14:textId="7699091C" w:rsidR="00AE303E" w:rsidRPr="003072DA" w:rsidRDefault="00AE303E" w:rsidP="00AE303E">
            <w:pPr>
              <w:spacing w:line="220" w:lineRule="exact"/>
              <w:jc w:val="center"/>
              <w:rPr>
                <w:rFonts w:ascii="Cambria" w:eastAsia="Calibri" w:hAnsi="Cambria"/>
                <w:color w:val="000000"/>
                <w:sz w:val="20"/>
                <w:szCs w:val="20"/>
              </w:rPr>
            </w:pPr>
            <w:r w:rsidRPr="003072DA">
              <w:rPr>
                <w:rFonts w:eastAsia="MS Mincho"/>
                <w:sz w:val="20"/>
                <w:szCs w:val="20"/>
                <w:lang w:eastAsia="ja-JP"/>
              </w:rPr>
              <w:t>2028</w:t>
            </w:r>
          </w:p>
        </w:tc>
      </w:tr>
    </w:tbl>
    <w:p w14:paraId="44B5C8FB" w14:textId="77777777" w:rsidR="00FD12B4" w:rsidRPr="003072DA" w:rsidRDefault="00FD12B4" w:rsidP="00C90351">
      <w:pPr>
        <w:spacing w:line="220" w:lineRule="exact"/>
        <w:rPr>
          <w:rFonts w:ascii="Cambria" w:eastAsia="Calibri" w:hAnsi="Cambria"/>
          <w:sz w:val="20"/>
          <w:szCs w:val="20"/>
        </w:rPr>
      </w:pPr>
    </w:p>
    <w:p w14:paraId="0CEC10B7" w14:textId="572B58DB" w:rsidR="00FD12B4" w:rsidRPr="003072DA" w:rsidRDefault="00FD12B4" w:rsidP="00C90351">
      <w:pPr>
        <w:numPr>
          <w:ilvl w:val="0"/>
          <w:numId w:val="13"/>
        </w:numPr>
        <w:spacing w:afterLines="80" w:after="192" w:line="220" w:lineRule="exact"/>
        <w:ind w:left="709" w:hanging="283"/>
        <w:jc w:val="both"/>
        <w:rPr>
          <w:rFonts w:ascii="Cambria" w:eastAsia="Calibri" w:hAnsi="Cambria"/>
          <w:sz w:val="20"/>
          <w:szCs w:val="20"/>
        </w:rPr>
      </w:pPr>
      <w:r w:rsidRPr="003072DA">
        <w:rPr>
          <w:rFonts w:ascii="Cambria" w:eastAsia="Calibri" w:hAnsi="Cambria"/>
          <w:sz w:val="20"/>
          <w:szCs w:val="20"/>
        </w:rPr>
        <w:t>En el momento de la reunión de la Comisión, aquellas CPC con remanentes del año anterior informarán de la cantidad de su remanente que tienen previsto utilizar en el año siguiente. El remanente total del TAC procedente de un año determinado, menos los remanentes que van a utilizar aquellas CPC que deseen hacerlo, podrá repartirse entre aquellas CPC que deseen complementar su cuota, independientemente de sus remanentes, hasta el límite del 25</w:t>
      </w:r>
      <w:r w:rsidR="00D70D3D" w:rsidRPr="003072DA">
        <w:rPr>
          <w:rFonts w:ascii="Cambria" w:eastAsia="Calibri" w:hAnsi="Cambria"/>
          <w:sz w:val="20"/>
          <w:szCs w:val="20"/>
        </w:rPr>
        <w:t> </w:t>
      </w:r>
      <w:r w:rsidRPr="003072DA">
        <w:rPr>
          <w:rFonts w:ascii="Cambria" w:eastAsia="Calibri" w:hAnsi="Cambria"/>
          <w:sz w:val="20"/>
          <w:szCs w:val="20"/>
        </w:rPr>
        <w:t xml:space="preserve">% de su cuota original. </w:t>
      </w:r>
    </w:p>
    <w:p w14:paraId="5749F38D" w14:textId="5C554604" w:rsidR="00FD12B4" w:rsidRPr="003072DA" w:rsidRDefault="00FD12B4" w:rsidP="00C02230">
      <w:pPr>
        <w:numPr>
          <w:ilvl w:val="0"/>
          <w:numId w:val="13"/>
        </w:numPr>
        <w:spacing w:afterLines="80" w:after="192"/>
        <w:ind w:left="709" w:hanging="283"/>
        <w:jc w:val="both"/>
        <w:rPr>
          <w:rFonts w:ascii="Cambria" w:eastAsia="Calibri" w:hAnsi="Cambria"/>
          <w:sz w:val="20"/>
          <w:szCs w:val="20"/>
        </w:rPr>
      </w:pPr>
      <w:r w:rsidRPr="003072DA">
        <w:rPr>
          <w:rFonts w:ascii="Cambria" w:eastAsia="Calibri" w:hAnsi="Cambria"/>
          <w:sz w:val="20"/>
          <w:szCs w:val="20"/>
        </w:rPr>
        <w:t>En el caso de que la cantidad total de los remanentes solicitados por todas las CPC supere la cantidad total de la que se dispone de acuerdo con este mecanismo, la cantidad de los remanentes deberá repartirse</w:t>
      </w:r>
      <w:r w:rsidR="00612EBD" w:rsidRPr="003072DA">
        <w:rPr>
          <w:rFonts w:ascii="Cambria" w:eastAsia="Calibri" w:hAnsi="Cambria"/>
          <w:sz w:val="20"/>
          <w:szCs w:val="20"/>
        </w:rPr>
        <w:t xml:space="preserve"> de forma</w:t>
      </w:r>
      <w:r w:rsidRPr="003072DA">
        <w:rPr>
          <w:rFonts w:ascii="Cambria" w:eastAsia="Calibri" w:hAnsi="Cambria"/>
          <w:sz w:val="20"/>
          <w:szCs w:val="20"/>
        </w:rPr>
        <w:t xml:space="preserve"> prorrateada entre aquellas CPC que soliciten complementar sus cuotas, en la proporción de sus cuotas originales.   </w:t>
      </w:r>
    </w:p>
    <w:p w14:paraId="4B115578" w14:textId="6A615E90" w:rsidR="00FD12B4" w:rsidRPr="003072DA" w:rsidRDefault="00FD12B4" w:rsidP="00C02230">
      <w:pPr>
        <w:numPr>
          <w:ilvl w:val="0"/>
          <w:numId w:val="13"/>
        </w:numPr>
        <w:spacing w:afterLines="80" w:after="192"/>
        <w:ind w:left="709" w:hanging="283"/>
        <w:jc w:val="both"/>
        <w:rPr>
          <w:rFonts w:ascii="Cambria" w:eastAsia="Calibri" w:hAnsi="Cambria"/>
          <w:sz w:val="20"/>
          <w:szCs w:val="20"/>
        </w:rPr>
      </w:pPr>
      <w:r w:rsidRPr="003072DA">
        <w:rPr>
          <w:rFonts w:ascii="Cambria" w:eastAsia="Calibri" w:hAnsi="Cambria"/>
          <w:sz w:val="20"/>
          <w:szCs w:val="20"/>
        </w:rPr>
        <w:t>Respecto a las capturas y el TAC de 20</w:t>
      </w:r>
      <w:r w:rsidR="00AE303E" w:rsidRPr="003072DA">
        <w:rPr>
          <w:rFonts w:ascii="Cambria" w:eastAsia="Calibri" w:hAnsi="Cambria"/>
          <w:sz w:val="20"/>
          <w:szCs w:val="20"/>
        </w:rPr>
        <w:t>22</w:t>
      </w:r>
      <w:r w:rsidRPr="003072DA">
        <w:rPr>
          <w:rFonts w:ascii="Cambria" w:eastAsia="Calibri" w:hAnsi="Cambria"/>
          <w:sz w:val="20"/>
          <w:szCs w:val="20"/>
        </w:rPr>
        <w:t xml:space="preserve">, los remanentes solo podrán usarse </w:t>
      </w:r>
      <w:r w:rsidR="0076361F" w:rsidRPr="003072DA">
        <w:rPr>
          <w:rFonts w:ascii="Cambria" w:eastAsia="Calibri" w:hAnsi="Cambria"/>
          <w:sz w:val="20"/>
          <w:szCs w:val="20"/>
        </w:rPr>
        <w:t>en la medida de lo disponible en el remanente del TAC total.</w:t>
      </w:r>
      <w:r w:rsidRPr="003072DA">
        <w:rPr>
          <w:rFonts w:ascii="Cambria" w:eastAsia="Calibri" w:hAnsi="Cambria"/>
          <w:sz w:val="20"/>
          <w:szCs w:val="20"/>
        </w:rPr>
        <w:t xml:space="preserve"> </w:t>
      </w:r>
    </w:p>
    <w:p w14:paraId="7308AFFC" w14:textId="229B35F9" w:rsidR="00FD12B4" w:rsidRPr="003072DA" w:rsidRDefault="00FD12B4" w:rsidP="00C02230">
      <w:pPr>
        <w:numPr>
          <w:ilvl w:val="0"/>
          <w:numId w:val="13"/>
        </w:numPr>
        <w:spacing w:afterLines="80" w:after="192"/>
        <w:ind w:left="709" w:hanging="283"/>
        <w:jc w:val="both"/>
        <w:rPr>
          <w:rFonts w:ascii="Cambria" w:eastAsia="Calibri" w:hAnsi="Cambria"/>
          <w:spacing w:val="-2"/>
          <w:kern w:val="16"/>
          <w:sz w:val="20"/>
          <w:szCs w:val="20"/>
        </w:rPr>
      </w:pPr>
      <w:r w:rsidRPr="003072DA">
        <w:rPr>
          <w:rFonts w:ascii="Cambria" w:eastAsia="Calibri" w:hAnsi="Cambria"/>
          <w:spacing w:val="-2"/>
          <w:kern w:val="16"/>
          <w:sz w:val="20"/>
          <w:szCs w:val="20"/>
        </w:rPr>
        <w:t>El traspaso de remanentes solo es aplicable a aquellas CPC específicamente mencionadas en el párrafo 3</w:t>
      </w:r>
      <w:r w:rsidR="0076361F" w:rsidRPr="003072DA">
        <w:rPr>
          <w:rFonts w:ascii="Cambria" w:eastAsia="Calibri" w:hAnsi="Cambria"/>
          <w:spacing w:val="-2"/>
          <w:kern w:val="16"/>
          <w:sz w:val="20"/>
          <w:szCs w:val="20"/>
        </w:rPr>
        <w:t xml:space="preserve"> </w:t>
      </w:r>
      <w:r w:rsidR="002253FE" w:rsidRPr="003072DA">
        <w:rPr>
          <w:rFonts w:ascii="Cambria" w:eastAsia="Calibri" w:hAnsi="Cambria"/>
          <w:spacing w:val="-2"/>
          <w:kern w:val="16"/>
          <w:sz w:val="20"/>
          <w:szCs w:val="20"/>
        </w:rPr>
        <w:t>a)</w:t>
      </w:r>
      <w:r w:rsidRPr="003072DA">
        <w:rPr>
          <w:rFonts w:ascii="Cambria" w:eastAsia="Calibri" w:hAnsi="Cambria"/>
          <w:spacing w:val="-2"/>
          <w:kern w:val="16"/>
          <w:sz w:val="20"/>
          <w:szCs w:val="20"/>
        </w:rPr>
        <w:t xml:space="preserve">. </w:t>
      </w:r>
    </w:p>
    <w:p w14:paraId="2F545D1F" w14:textId="3923EFF5" w:rsidR="00FD12B4" w:rsidRPr="003072DA" w:rsidRDefault="00BD53C9" w:rsidP="00C02230">
      <w:pPr>
        <w:numPr>
          <w:ilvl w:val="0"/>
          <w:numId w:val="13"/>
        </w:numPr>
        <w:ind w:left="709" w:hanging="284"/>
        <w:jc w:val="both"/>
        <w:rPr>
          <w:rFonts w:ascii="Cambria" w:eastAsia="Calibri" w:hAnsi="Cambria"/>
          <w:sz w:val="20"/>
          <w:szCs w:val="20"/>
        </w:rPr>
      </w:pPr>
      <w:r w:rsidRPr="003072DA">
        <w:rPr>
          <w:rFonts w:ascii="Cambria" w:eastAsia="Calibri" w:hAnsi="Cambria"/>
          <w:sz w:val="20"/>
          <w:szCs w:val="20"/>
        </w:rPr>
        <w:t xml:space="preserve">Respecto a Sudáfrica, Brasil y Uruguay, si cualquiera de </w:t>
      </w:r>
      <w:r w:rsidR="002253FE" w:rsidRPr="003072DA">
        <w:rPr>
          <w:rFonts w:ascii="Cambria" w:eastAsia="Calibri" w:hAnsi="Cambria"/>
          <w:sz w:val="20"/>
          <w:szCs w:val="20"/>
        </w:rPr>
        <w:t xml:space="preserve">estas </w:t>
      </w:r>
      <w:r w:rsidRPr="003072DA">
        <w:rPr>
          <w:rFonts w:ascii="Cambria" w:eastAsia="Calibri" w:hAnsi="Cambria"/>
          <w:sz w:val="20"/>
          <w:szCs w:val="20"/>
        </w:rPr>
        <w:t xml:space="preserve">CPC alcanza su límite de captura individual antes del 31 de diciembre y cualquier otra </w:t>
      </w:r>
      <w:r w:rsidR="00B05029" w:rsidRPr="003072DA">
        <w:rPr>
          <w:rFonts w:ascii="Cambria" w:eastAsia="Calibri" w:hAnsi="Cambria"/>
          <w:sz w:val="20"/>
          <w:szCs w:val="20"/>
        </w:rPr>
        <w:t xml:space="preserve">CPC </w:t>
      </w:r>
      <w:r w:rsidRPr="003072DA">
        <w:rPr>
          <w:rFonts w:ascii="Cambria" w:eastAsia="Calibri" w:hAnsi="Cambria"/>
          <w:sz w:val="20"/>
          <w:szCs w:val="20"/>
        </w:rPr>
        <w:t xml:space="preserve">mencionada cuenta con un remanente disponible dentro del mismo año, </w:t>
      </w:r>
      <w:r w:rsidR="00C02230" w:rsidRPr="003072DA">
        <w:rPr>
          <w:rFonts w:ascii="Cambria" w:eastAsia="Calibri" w:hAnsi="Cambria"/>
          <w:sz w:val="20"/>
          <w:szCs w:val="20"/>
        </w:rPr>
        <w:t xml:space="preserve">entonces </w:t>
      </w:r>
      <w:r w:rsidR="00C9347F" w:rsidRPr="003072DA">
        <w:rPr>
          <w:rFonts w:ascii="Cambria" w:eastAsia="Calibri" w:hAnsi="Cambria"/>
          <w:sz w:val="20"/>
          <w:szCs w:val="20"/>
        </w:rPr>
        <w:t xml:space="preserve">una parte </w:t>
      </w:r>
      <w:r w:rsidR="00B05029" w:rsidRPr="003072DA">
        <w:rPr>
          <w:rFonts w:ascii="Cambria" w:eastAsia="Calibri" w:hAnsi="Cambria"/>
          <w:sz w:val="20"/>
          <w:szCs w:val="20"/>
        </w:rPr>
        <w:t>o tod</w:t>
      </w:r>
      <w:r w:rsidR="002253FE" w:rsidRPr="003072DA">
        <w:rPr>
          <w:rFonts w:ascii="Cambria" w:eastAsia="Calibri" w:hAnsi="Cambria"/>
          <w:sz w:val="20"/>
          <w:szCs w:val="20"/>
        </w:rPr>
        <w:t xml:space="preserve">o su remanente disponible </w:t>
      </w:r>
      <w:r w:rsidRPr="003072DA">
        <w:rPr>
          <w:rFonts w:ascii="Cambria" w:eastAsia="Calibri" w:hAnsi="Cambria"/>
          <w:sz w:val="20"/>
          <w:szCs w:val="20"/>
        </w:rPr>
        <w:t xml:space="preserve"> </w:t>
      </w:r>
      <w:r w:rsidR="002253FE" w:rsidRPr="003072DA">
        <w:rPr>
          <w:rFonts w:ascii="Cambria" w:eastAsia="Calibri" w:hAnsi="Cambria"/>
          <w:sz w:val="20"/>
          <w:szCs w:val="20"/>
        </w:rPr>
        <w:t>se transferirá automáticamente</w:t>
      </w:r>
      <w:r w:rsidRPr="003072DA">
        <w:rPr>
          <w:rFonts w:ascii="Cambria" w:eastAsia="Calibri" w:hAnsi="Cambria"/>
          <w:sz w:val="20"/>
          <w:szCs w:val="20"/>
        </w:rPr>
        <w:t>, en proporción a sus cuotas originales respectivas</w:t>
      </w:r>
      <w:r w:rsidR="0017270B" w:rsidRPr="003072DA">
        <w:rPr>
          <w:rFonts w:ascii="Cambria" w:eastAsia="Calibri" w:hAnsi="Cambria"/>
          <w:sz w:val="20"/>
          <w:szCs w:val="20"/>
        </w:rPr>
        <w:t xml:space="preserve"> y</w:t>
      </w:r>
      <w:r w:rsidRPr="003072DA">
        <w:rPr>
          <w:rFonts w:ascii="Cambria" w:eastAsia="Calibri" w:hAnsi="Cambria"/>
          <w:sz w:val="20"/>
          <w:szCs w:val="20"/>
        </w:rPr>
        <w:t xml:space="preserve"> hasta un máximo de 1</w:t>
      </w:r>
      <w:r w:rsidR="00B21FE8" w:rsidRPr="003072DA">
        <w:rPr>
          <w:rFonts w:ascii="Cambria" w:eastAsia="Calibri" w:hAnsi="Cambria"/>
          <w:sz w:val="20"/>
          <w:szCs w:val="20"/>
        </w:rPr>
        <w:t>.</w:t>
      </w:r>
      <w:r w:rsidRPr="003072DA">
        <w:rPr>
          <w:rFonts w:ascii="Cambria" w:eastAsia="Calibri" w:hAnsi="Cambria"/>
          <w:sz w:val="20"/>
          <w:szCs w:val="20"/>
        </w:rPr>
        <w:t xml:space="preserve">000 t colectivamente, a cualquiera de las </w:t>
      </w:r>
      <w:r w:rsidR="002253FE" w:rsidRPr="003072DA">
        <w:rPr>
          <w:rFonts w:ascii="Cambria" w:eastAsia="Calibri" w:hAnsi="Cambria"/>
          <w:sz w:val="20"/>
          <w:szCs w:val="20"/>
        </w:rPr>
        <w:t xml:space="preserve">tres </w:t>
      </w:r>
      <w:r w:rsidRPr="003072DA">
        <w:rPr>
          <w:rFonts w:ascii="Cambria" w:eastAsia="Calibri" w:hAnsi="Cambria"/>
          <w:sz w:val="20"/>
          <w:szCs w:val="20"/>
        </w:rPr>
        <w:t>CPC que haya alcanzado su límite de captura para dicho año, con la condición de que dicha transferencia de remanente no perjudique la tolerancia de remanente máximo respectivo de las CPC que realizan la transferencia, tal y como está establecida en el párrafo 4</w:t>
      </w:r>
      <w:r w:rsidR="0076361F" w:rsidRPr="003072DA">
        <w:rPr>
          <w:rFonts w:ascii="Cambria" w:eastAsia="Calibri" w:hAnsi="Cambria"/>
          <w:sz w:val="20"/>
          <w:szCs w:val="20"/>
        </w:rPr>
        <w:t xml:space="preserve"> </w:t>
      </w:r>
      <w:r w:rsidRPr="003072DA">
        <w:rPr>
          <w:rFonts w:ascii="Cambria" w:eastAsia="Calibri" w:hAnsi="Cambria"/>
          <w:sz w:val="20"/>
          <w:szCs w:val="20"/>
        </w:rPr>
        <w:t>b).</w:t>
      </w:r>
      <w:r w:rsidR="007A46F1" w:rsidRPr="003072DA">
        <w:rPr>
          <w:rFonts w:ascii="Cambria" w:eastAsia="Calibri" w:hAnsi="Cambria"/>
          <w:sz w:val="20"/>
          <w:szCs w:val="20"/>
        </w:rPr>
        <w:t xml:space="preserve"> Dichas tra</w:t>
      </w:r>
      <w:r w:rsidR="00815682" w:rsidRPr="003072DA">
        <w:rPr>
          <w:rFonts w:ascii="Cambria" w:eastAsia="Calibri" w:hAnsi="Cambria"/>
          <w:sz w:val="20"/>
          <w:szCs w:val="20"/>
        </w:rPr>
        <w:t>nsferencias s</w:t>
      </w:r>
      <w:r w:rsidR="00BD5AF6" w:rsidRPr="003072DA">
        <w:rPr>
          <w:rFonts w:ascii="Cambria" w:eastAsia="Calibri" w:hAnsi="Cambria"/>
          <w:sz w:val="20"/>
          <w:szCs w:val="20"/>
        </w:rPr>
        <w:t>e comunicarán en las Tablas de información sobre c</w:t>
      </w:r>
      <w:r w:rsidR="00815682" w:rsidRPr="003072DA">
        <w:rPr>
          <w:rFonts w:ascii="Cambria" w:eastAsia="Calibri" w:hAnsi="Cambria"/>
          <w:sz w:val="20"/>
          <w:szCs w:val="20"/>
        </w:rPr>
        <w:t>umplimiento de las CPC</w:t>
      </w:r>
      <w:r w:rsidR="00866FE8" w:rsidRPr="003072DA">
        <w:rPr>
          <w:rFonts w:ascii="Cambria" w:eastAsia="Calibri" w:hAnsi="Cambria"/>
          <w:sz w:val="20"/>
          <w:szCs w:val="20"/>
        </w:rPr>
        <w:t xml:space="preserve"> y se </w:t>
      </w:r>
      <w:r w:rsidR="00D70D3D" w:rsidRPr="003072DA">
        <w:rPr>
          <w:rFonts w:ascii="Cambria" w:eastAsia="Calibri" w:hAnsi="Cambria"/>
          <w:sz w:val="20"/>
          <w:szCs w:val="20"/>
        </w:rPr>
        <w:t xml:space="preserve">transmitirá </w:t>
      </w:r>
      <w:r w:rsidR="00866FE8" w:rsidRPr="003072DA">
        <w:rPr>
          <w:rFonts w:ascii="Cambria" w:eastAsia="Calibri" w:hAnsi="Cambria"/>
          <w:sz w:val="20"/>
          <w:szCs w:val="20"/>
        </w:rPr>
        <w:t>a todas las CPC a través de una circular de ICCAT</w:t>
      </w:r>
      <w:r w:rsidR="00815682" w:rsidRPr="003072DA">
        <w:rPr>
          <w:rFonts w:ascii="Cambria" w:eastAsia="Calibri" w:hAnsi="Cambria"/>
          <w:sz w:val="20"/>
          <w:szCs w:val="20"/>
        </w:rPr>
        <w:t>.</w:t>
      </w:r>
      <w:r w:rsidR="00FD12B4" w:rsidRPr="003072DA">
        <w:rPr>
          <w:rFonts w:ascii="Cambria" w:eastAsia="Calibri" w:hAnsi="Cambria"/>
          <w:sz w:val="20"/>
          <w:szCs w:val="20"/>
        </w:rPr>
        <w:t xml:space="preserve">  </w:t>
      </w:r>
    </w:p>
    <w:p w14:paraId="52852A6E" w14:textId="77777777" w:rsidR="00FD12B4" w:rsidRPr="003072DA" w:rsidRDefault="00FD12B4" w:rsidP="00C02230">
      <w:pPr>
        <w:ind w:left="1440"/>
        <w:contextualSpacing/>
        <w:jc w:val="both"/>
        <w:rPr>
          <w:rFonts w:ascii="Cambria" w:eastAsia="Calibri" w:hAnsi="Cambria"/>
          <w:sz w:val="20"/>
          <w:szCs w:val="20"/>
        </w:rPr>
      </w:pPr>
    </w:p>
    <w:p w14:paraId="59B99254" w14:textId="39E46961" w:rsidR="00FD12B4" w:rsidRPr="003072DA" w:rsidRDefault="00FD12B4" w:rsidP="00C02230">
      <w:pPr>
        <w:autoSpaceDE w:val="0"/>
        <w:autoSpaceDN w:val="0"/>
        <w:adjustRightInd w:val="0"/>
        <w:ind w:left="425" w:hanging="425"/>
        <w:jc w:val="both"/>
        <w:rPr>
          <w:rFonts w:ascii="Cambria" w:eastAsia="Calibri" w:hAnsi="Cambria"/>
          <w:sz w:val="20"/>
          <w:szCs w:val="20"/>
        </w:rPr>
      </w:pPr>
      <w:r w:rsidRPr="003072DA">
        <w:rPr>
          <w:rFonts w:ascii="Cambria" w:eastAsia="Calibri" w:hAnsi="Cambria"/>
          <w:sz w:val="20"/>
          <w:szCs w:val="20"/>
        </w:rPr>
        <w:t>5</w:t>
      </w:r>
      <w:r w:rsidR="009F3362" w:rsidRPr="003072DA">
        <w:rPr>
          <w:rFonts w:ascii="Cambria" w:eastAsia="Calibri" w:hAnsi="Cambria"/>
          <w:sz w:val="20"/>
          <w:szCs w:val="20"/>
        </w:rPr>
        <w:t>.</w:t>
      </w:r>
      <w:r w:rsidRPr="003072DA">
        <w:rPr>
          <w:rFonts w:ascii="Cambria" w:eastAsia="Calibri" w:hAnsi="Cambria"/>
          <w:sz w:val="20"/>
          <w:szCs w:val="20"/>
        </w:rPr>
        <w:t xml:space="preserve"> </w:t>
      </w:r>
      <w:r w:rsidRPr="003072DA">
        <w:rPr>
          <w:rFonts w:ascii="Cambria" w:eastAsia="Calibri" w:hAnsi="Cambria"/>
          <w:sz w:val="20"/>
          <w:szCs w:val="20"/>
        </w:rPr>
        <w:tab/>
        <w:t xml:space="preserve">Si una CPC determinada supera su cuota, el excedente de captura debe deducirse de su cuota </w:t>
      </w:r>
      <w:r w:rsidRPr="003072DA">
        <w:rPr>
          <w:rFonts w:ascii="Cambria" w:eastAsia="Calibri" w:hAnsi="Cambria"/>
          <w:color w:val="000000"/>
          <w:sz w:val="20"/>
          <w:szCs w:val="20"/>
        </w:rPr>
        <w:t>original</w:t>
      </w:r>
      <w:r w:rsidRPr="003072DA">
        <w:rPr>
          <w:rFonts w:ascii="Cambria" w:eastAsia="Calibri" w:hAnsi="Cambria"/>
          <w:sz w:val="20"/>
          <w:szCs w:val="20"/>
        </w:rPr>
        <w:t xml:space="preserve"> en una cantidad equivalente al 100</w:t>
      </w:r>
      <w:r w:rsidR="00D70D3D" w:rsidRPr="003072DA">
        <w:rPr>
          <w:rFonts w:ascii="Cambria" w:eastAsia="Calibri" w:hAnsi="Cambria"/>
          <w:sz w:val="20"/>
          <w:szCs w:val="20"/>
        </w:rPr>
        <w:t> </w:t>
      </w:r>
      <w:r w:rsidRPr="003072DA">
        <w:rPr>
          <w:rFonts w:ascii="Cambria" w:eastAsia="Calibri" w:hAnsi="Cambria"/>
          <w:sz w:val="20"/>
          <w:szCs w:val="20"/>
        </w:rPr>
        <w:t>% de la cantidad total en exceso de conformidad con el calendario previsto en el párrafo 4 y se prohibirá a dicha CPC solicitar, en el año siguiente, cualquier remanente disponible en virtud del presente mecanismo.</w:t>
      </w:r>
    </w:p>
    <w:p w14:paraId="3F2F8E96" w14:textId="77777777" w:rsidR="00FD12B4" w:rsidRPr="003072DA" w:rsidRDefault="00FD12B4" w:rsidP="00C02230">
      <w:pPr>
        <w:autoSpaceDE w:val="0"/>
        <w:autoSpaceDN w:val="0"/>
        <w:adjustRightInd w:val="0"/>
        <w:ind w:left="720" w:hanging="720"/>
        <w:jc w:val="both"/>
        <w:rPr>
          <w:rFonts w:ascii="Cambria" w:eastAsia="Calibri" w:hAnsi="Cambria"/>
          <w:sz w:val="20"/>
          <w:szCs w:val="20"/>
        </w:rPr>
      </w:pPr>
    </w:p>
    <w:p w14:paraId="1E7DE3D1" w14:textId="4C66F554" w:rsidR="00FD12B4" w:rsidRPr="003072DA" w:rsidRDefault="00FD12B4" w:rsidP="00C02230">
      <w:pPr>
        <w:autoSpaceDE w:val="0"/>
        <w:autoSpaceDN w:val="0"/>
        <w:adjustRightInd w:val="0"/>
        <w:ind w:left="426" w:hanging="426"/>
        <w:jc w:val="both"/>
        <w:rPr>
          <w:rFonts w:ascii="Cambria" w:eastAsia="Calibri" w:hAnsi="Cambria"/>
          <w:sz w:val="20"/>
          <w:szCs w:val="20"/>
        </w:rPr>
      </w:pPr>
      <w:r w:rsidRPr="003072DA">
        <w:rPr>
          <w:rFonts w:ascii="Cambria" w:eastAsia="Calibri" w:hAnsi="Cambria"/>
          <w:sz w:val="20"/>
          <w:szCs w:val="20"/>
        </w:rPr>
        <w:t>6</w:t>
      </w:r>
      <w:r w:rsidR="009F3362" w:rsidRPr="003072DA">
        <w:rPr>
          <w:rFonts w:ascii="Cambria" w:eastAsia="Calibri" w:hAnsi="Cambria"/>
          <w:sz w:val="20"/>
          <w:szCs w:val="20"/>
        </w:rPr>
        <w:t>.</w:t>
      </w:r>
      <w:r w:rsidRPr="003072DA">
        <w:rPr>
          <w:rFonts w:ascii="Cambria" w:eastAsia="Calibri" w:hAnsi="Cambria"/>
          <w:sz w:val="20"/>
          <w:szCs w:val="20"/>
        </w:rPr>
        <w:tab/>
      </w:r>
      <w:r w:rsidR="00866FE8" w:rsidRPr="003072DA">
        <w:rPr>
          <w:rFonts w:ascii="Cambria" w:eastAsia="Calibri" w:hAnsi="Cambria"/>
          <w:sz w:val="20"/>
          <w:szCs w:val="20"/>
        </w:rPr>
        <w:t xml:space="preserve">No obstante la </w:t>
      </w:r>
      <w:r w:rsidR="00866FE8" w:rsidRPr="003072DA">
        <w:rPr>
          <w:rFonts w:ascii="Cambria" w:eastAsia="Calibri" w:hAnsi="Cambria"/>
          <w:i/>
          <w:iCs/>
          <w:sz w:val="20"/>
          <w:szCs w:val="20"/>
        </w:rPr>
        <w:t xml:space="preserve">Recomendación de ICCAT relativa al ajuste temporal de cuotas </w:t>
      </w:r>
      <w:r w:rsidR="00866FE8" w:rsidRPr="003072DA">
        <w:rPr>
          <w:rFonts w:ascii="Cambria" w:eastAsia="Calibri" w:hAnsi="Cambria"/>
          <w:sz w:val="20"/>
          <w:szCs w:val="20"/>
        </w:rPr>
        <w:t>(Rec. 01-12), t</w:t>
      </w:r>
      <w:r w:rsidRPr="003072DA">
        <w:rPr>
          <w:rFonts w:ascii="Cambria" w:eastAsia="Calibri" w:hAnsi="Cambria"/>
          <w:sz w:val="20"/>
          <w:szCs w:val="20"/>
        </w:rPr>
        <w:t>odas las CPC mencionadas específicamente en el párrafo 3</w:t>
      </w:r>
      <w:r w:rsidR="0076361F" w:rsidRPr="003072DA">
        <w:rPr>
          <w:rFonts w:ascii="Cambria" w:eastAsia="Calibri" w:hAnsi="Cambria"/>
          <w:sz w:val="20"/>
          <w:szCs w:val="20"/>
        </w:rPr>
        <w:t xml:space="preserve"> </w:t>
      </w:r>
      <w:r w:rsidR="004E55B7" w:rsidRPr="003072DA">
        <w:rPr>
          <w:rFonts w:ascii="Cambria" w:eastAsia="Calibri" w:hAnsi="Cambria"/>
          <w:sz w:val="20"/>
          <w:szCs w:val="20"/>
        </w:rPr>
        <w:t>a)</w:t>
      </w:r>
      <w:r w:rsidRPr="003072DA">
        <w:rPr>
          <w:rFonts w:ascii="Cambria" w:eastAsia="Calibri" w:hAnsi="Cambria"/>
          <w:sz w:val="20"/>
          <w:szCs w:val="20"/>
        </w:rPr>
        <w:t xml:space="preserve"> pueden transferir una parte de su cuota a otra CPC siempre que ambas CPC lleguen a un acuerdo y envíen una notificación previa a la Secretaría de ICCAT respecto a la cantidad que se va a transferir. La Secretaría</w:t>
      </w:r>
      <w:r w:rsidR="0076361F" w:rsidRPr="003072DA">
        <w:rPr>
          <w:rFonts w:ascii="Cambria" w:eastAsia="Calibri" w:hAnsi="Cambria"/>
          <w:sz w:val="20"/>
          <w:szCs w:val="20"/>
        </w:rPr>
        <w:t xml:space="preserve"> de ICCAT</w:t>
      </w:r>
      <w:r w:rsidRPr="003072DA">
        <w:rPr>
          <w:rFonts w:ascii="Cambria" w:eastAsia="Calibri" w:hAnsi="Cambria"/>
          <w:sz w:val="20"/>
          <w:szCs w:val="20"/>
        </w:rPr>
        <w:t xml:space="preserve"> transmitirá dicha información a todas las CPC. </w:t>
      </w:r>
    </w:p>
    <w:p w14:paraId="5E997BCD" w14:textId="77777777" w:rsidR="00FD12B4" w:rsidRPr="003072DA" w:rsidRDefault="00FD12B4" w:rsidP="00C02230">
      <w:pPr>
        <w:autoSpaceDE w:val="0"/>
        <w:autoSpaceDN w:val="0"/>
        <w:adjustRightInd w:val="0"/>
        <w:ind w:left="426" w:hanging="426"/>
        <w:jc w:val="both"/>
        <w:rPr>
          <w:rFonts w:ascii="Cambria" w:eastAsia="Calibri" w:hAnsi="Cambria"/>
          <w:sz w:val="20"/>
          <w:szCs w:val="20"/>
        </w:rPr>
      </w:pPr>
    </w:p>
    <w:p w14:paraId="412F4E20" w14:textId="638BB56F" w:rsidR="00FD12B4" w:rsidRPr="003072DA" w:rsidRDefault="00FD12B4" w:rsidP="0076361F">
      <w:pPr>
        <w:autoSpaceDE w:val="0"/>
        <w:autoSpaceDN w:val="0"/>
        <w:adjustRightInd w:val="0"/>
        <w:ind w:left="425" w:hanging="425"/>
        <w:jc w:val="both"/>
        <w:rPr>
          <w:rFonts w:ascii="Cambria" w:eastAsia="Calibri" w:hAnsi="Cambria"/>
          <w:sz w:val="20"/>
          <w:szCs w:val="20"/>
        </w:rPr>
      </w:pPr>
      <w:r w:rsidRPr="003072DA">
        <w:rPr>
          <w:rFonts w:ascii="Cambria" w:eastAsia="Calibri" w:hAnsi="Cambria"/>
          <w:sz w:val="20"/>
          <w:szCs w:val="20"/>
        </w:rPr>
        <w:lastRenderedPageBreak/>
        <w:t>7</w:t>
      </w:r>
      <w:r w:rsidR="009F3362" w:rsidRPr="003072DA">
        <w:rPr>
          <w:rFonts w:ascii="Cambria" w:eastAsia="Calibri" w:hAnsi="Cambria"/>
          <w:sz w:val="20"/>
          <w:szCs w:val="20"/>
        </w:rPr>
        <w:t>.</w:t>
      </w:r>
      <w:r w:rsidRPr="003072DA">
        <w:rPr>
          <w:rFonts w:ascii="Cambria" w:eastAsia="Calibri" w:hAnsi="Cambria"/>
          <w:sz w:val="20"/>
          <w:szCs w:val="20"/>
        </w:rPr>
        <w:tab/>
        <w:t xml:space="preserve">Las CPC que pescan activamente atún blanco del Atlántico sur mejorarán inmediatamente sus sistemas de comunicación de captura para garantizar la comunicación a ICCAT de datos de captura y esfuerzo de atún blanco del Atlántico sur validados y precisos, que cumplan totalmente los requisitos de ICCAT para la presentación de datos de captura, esfuerzo y talla de las Tareas </w:t>
      </w:r>
      <w:r w:rsidR="00AB08FA" w:rsidRPr="003072DA">
        <w:rPr>
          <w:rFonts w:ascii="Cambria" w:eastAsia="Calibri" w:hAnsi="Cambria"/>
          <w:sz w:val="20"/>
          <w:szCs w:val="20"/>
        </w:rPr>
        <w:t>1</w:t>
      </w:r>
      <w:r w:rsidRPr="003072DA">
        <w:rPr>
          <w:rFonts w:ascii="Cambria" w:eastAsia="Calibri" w:hAnsi="Cambria"/>
          <w:sz w:val="20"/>
          <w:szCs w:val="20"/>
        </w:rPr>
        <w:t xml:space="preserve"> y </w:t>
      </w:r>
      <w:r w:rsidR="00AB08FA" w:rsidRPr="003072DA">
        <w:rPr>
          <w:rFonts w:ascii="Cambria" w:eastAsia="Calibri" w:hAnsi="Cambria"/>
          <w:sz w:val="20"/>
          <w:szCs w:val="20"/>
        </w:rPr>
        <w:t>2</w:t>
      </w:r>
      <w:r w:rsidRPr="003072DA">
        <w:rPr>
          <w:rFonts w:ascii="Cambria" w:eastAsia="Calibri" w:hAnsi="Cambria"/>
          <w:sz w:val="20"/>
          <w:szCs w:val="20"/>
        </w:rPr>
        <w:t>. Además, las CPC de los Estados rectores del puerto en el Atlántico sur comunicarán a la Secretaría</w:t>
      </w:r>
      <w:r w:rsidR="0076361F" w:rsidRPr="003072DA">
        <w:rPr>
          <w:rFonts w:ascii="Cambria" w:eastAsia="Calibri" w:hAnsi="Cambria"/>
          <w:sz w:val="20"/>
          <w:szCs w:val="20"/>
        </w:rPr>
        <w:t xml:space="preserve"> de ICCAT</w:t>
      </w:r>
      <w:r w:rsidRPr="003072DA">
        <w:rPr>
          <w:rFonts w:ascii="Cambria" w:eastAsia="Calibri" w:hAnsi="Cambria"/>
          <w:sz w:val="20"/>
          <w:szCs w:val="20"/>
        </w:rPr>
        <w:t xml:space="preserve"> los resultados de sus inspecciones en puerto de conformidad con la</w:t>
      </w:r>
      <w:r w:rsidR="0076361F" w:rsidRPr="003072DA">
        <w:rPr>
          <w:rFonts w:ascii="Cambria" w:eastAsia="Calibri" w:hAnsi="Cambria"/>
          <w:sz w:val="20"/>
          <w:szCs w:val="20"/>
        </w:rPr>
        <w:t xml:space="preserve"> </w:t>
      </w:r>
      <w:r w:rsidR="005715C4" w:rsidRPr="009C67B2">
        <w:rPr>
          <w:rFonts w:ascii="Cambria" w:eastAsia="Cambria" w:hAnsi="Cambria" w:cs="Cambria"/>
          <w:i/>
          <w:iCs/>
          <w:sz w:val="20"/>
        </w:rPr>
        <w:t>Recomendación de ICCAT</w:t>
      </w:r>
      <w:r w:rsidR="005715C4">
        <w:rPr>
          <w:rFonts w:ascii="Cambria" w:eastAsia="Cambria" w:hAnsi="Cambria" w:cs="Cambria"/>
          <w:i/>
          <w:iCs/>
          <w:sz w:val="20"/>
        </w:rPr>
        <w:t xml:space="preserve"> que modifica la Recomendación 18-09</w:t>
      </w:r>
      <w:r w:rsidR="005715C4" w:rsidRPr="009C67B2">
        <w:rPr>
          <w:rFonts w:ascii="Cambria" w:eastAsia="Cambria" w:hAnsi="Cambria" w:cs="Cambria"/>
          <w:i/>
          <w:iCs/>
          <w:sz w:val="20"/>
        </w:rPr>
        <w:t xml:space="preserve"> sobre medidas del Estado rector del puerto para prevenir, desalentar y eliminar la pesca ilegal, no declarada y no reglamentada</w:t>
      </w:r>
      <w:r w:rsidR="005715C4" w:rsidRPr="009C67B2">
        <w:rPr>
          <w:rFonts w:ascii="Cambria" w:eastAsia="Cambria" w:hAnsi="Cambria" w:cs="Cambria"/>
          <w:sz w:val="20"/>
        </w:rPr>
        <w:t xml:space="preserve"> </w:t>
      </w:r>
      <w:r w:rsidR="005715C4">
        <w:rPr>
          <w:rFonts w:ascii="Cambria" w:eastAsia="Cambria" w:hAnsi="Cambria" w:cs="Cambria"/>
          <w:sz w:val="20"/>
        </w:rPr>
        <w:t>(</w:t>
      </w:r>
      <w:r w:rsidR="005715C4" w:rsidRPr="009C67B2">
        <w:rPr>
          <w:rFonts w:ascii="Cambria" w:eastAsia="Cambria" w:hAnsi="Cambria" w:cs="Cambria"/>
          <w:sz w:val="20"/>
        </w:rPr>
        <w:t xml:space="preserve">Rec. </w:t>
      </w:r>
      <w:r w:rsidR="005715C4">
        <w:rPr>
          <w:rFonts w:ascii="Cambria" w:eastAsia="Cambria" w:hAnsi="Cambria" w:cs="Cambria"/>
          <w:sz w:val="20"/>
        </w:rPr>
        <w:t>23-17)</w:t>
      </w:r>
      <w:r w:rsidR="005715C4" w:rsidRPr="009C67B2">
        <w:rPr>
          <w:rFonts w:ascii="Cambria" w:eastAsia="Calibri" w:hAnsi="Cambria"/>
          <w:sz w:val="20"/>
          <w:szCs w:val="20"/>
        </w:rPr>
        <w:t>.</w:t>
      </w:r>
      <w:r w:rsidRPr="003072DA">
        <w:rPr>
          <w:rFonts w:ascii="Cambria" w:eastAsia="Calibri" w:hAnsi="Cambria"/>
          <w:sz w:val="20"/>
          <w:szCs w:val="20"/>
        </w:rPr>
        <w:t xml:space="preserve"> La Secretaría </w:t>
      </w:r>
      <w:r w:rsidR="0076361F" w:rsidRPr="003072DA">
        <w:rPr>
          <w:rFonts w:ascii="Cambria" w:eastAsia="Calibri" w:hAnsi="Cambria"/>
          <w:sz w:val="20"/>
          <w:szCs w:val="20"/>
        </w:rPr>
        <w:t xml:space="preserve">de ICCAT </w:t>
      </w:r>
      <w:r w:rsidRPr="003072DA">
        <w:rPr>
          <w:rFonts w:ascii="Cambria" w:eastAsia="Calibri" w:hAnsi="Cambria"/>
          <w:sz w:val="20"/>
          <w:szCs w:val="20"/>
        </w:rPr>
        <w:t>reenviará los informes a la CPC del pabellón.</w:t>
      </w:r>
    </w:p>
    <w:p w14:paraId="4ED4F59E" w14:textId="77777777" w:rsidR="00FD12B4" w:rsidRPr="003072DA" w:rsidRDefault="00FD12B4" w:rsidP="00C90351">
      <w:pPr>
        <w:autoSpaceDE w:val="0"/>
        <w:autoSpaceDN w:val="0"/>
        <w:adjustRightInd w:val="0"/>
        <w:spacing w:line="220" w:lineRule="exact"/>
        <w:ind w:left="426" w:hanging="426"/>
        <w:jc w:val="both"/>
        <w:rPr>
          <w:rFonts w:ascii="Cambria" w:eastAsia="Calibri" w:hAnsi="Cambria"/>
          <w:sz w:val="20"/>
          <w:szCs w:val="20"/>
        </w:rPr>
      </w:pPr>
    </w:p>
    <w:p w14:paraId="5ADF9FFD" w14:textId="06150C82" w:rsidR="00FD12B4" w:rsidRPr="003072DA" w:rsidRDefault="00FD12B4" w:rsidP="00F95FE1">
      <w:pPr>
        <w:autoSpaceDE w:val="0"/>
        <w:autoSpaceDN w:val="0"/>
        <w:adjustRightInd w:val="0"/>
        <w:ind w:left="425" w:hanging="425"/>
        <w:jc w:val="both"/>
        <w:rPr>
          <w:rFonts w:ascii="Cambria" w:eastAsia="Calibri" w:hAnsi="Cambria"/>
          <w:sz w:val="20"/>
          <w:szCs w:val="20"/>
        </w:rPr>
      </w:pPr>
      <w:r w:rsidRPr="003072DA">
        <w:rPr>
          <w:rFonts w:ascii="Cambria" w:eastAsia="Calibri" w:hAnsi="Cambria"/>
          <w:sz w:val="20"/>
          <w:szCs w:val="20"/>
        </w:rPr>
        <w:t>8</w:t>
      </w:r>
      <w:r w:rsidR="009F3362" w:rsidRPr="003072DA">
        <w:rPr>
          <w:rFonts w:ascii="Cambria" w:eastAsia="Calibri" w:hAnsi="Cambria"/>
          <w:sz w:val="20"/>
          <w:szCs w:val="20"/>
        </w:rPr>
        <w:t>.</w:t>
      </w:r>
      <w:r w:rsidRPr="003072DA">
        <w:rPr>
          <w:rFonts w:ascii="Cambria" w:eastAsia="Calibri" w:hAnsi="Cambria"/>
          <w:sz w:val="20"/>
          <w:szCs w:val="20"/>
        </w:rPr>
        <w:tab/>
        <w:t xml:space="preserve">La próxima evaluación del stock de atún blanco del Atlántico sur se llevará a cabo en </w:t>
      </w:r>
      <w:r w:rsidR="002253FE" w:rsidRPr="003072DA">
        <w:rPr>
          <w:rFonts w:ascii="Cambria" w:eastAsia="Calibri" w:hAnsi="Cambria"/>
          <w:sz w:val="20"/>
          <w:szCs w:val="20"/>
        </w:rPr>
        <w:t>2026</w:t>
      </w:r>
      <w:r w:rsidRPr="003072DA">
        <w:rPr>
          <w:rFonts w:ascii="Cambria" w:eastAsia="Calibri" w:hAnsi="Cambria"/>
          <w:sz w:val="20"/>
          <w:szCs w:val="20"/>
        </w:rPr>
        <w:t xml:space="preserve">. Se insta encarecidamente a los científicos de las entidades que pescan activamente atún blanco del Atlántico sur a que analicen sus datos pesqueros y a que participen en la evaluación de </w:t>
      </w:r>
      <w:r w:rsidR="002253FE" w:rsidRPr="003072DA">
        <w:rPr>
          <w:rFonts w:ascii="Cambria" w:eastAsia="Calibri" w:hAnsi="Cambria"/>
          <w:sz w:val="20"/>
          <w:szCs w:val="20"/>
        </w:rPr>
        <w:t>2026</w:t>
      </w:r>
      <w:r w:rsidRPr="003072DA">
        <w:rPr>
          <w:rFonts w:ascii="Cambria" w:eastAsia="Calibri" w:hAnsi="Cambria"/>
          <w:sz w:val="20"/>
          <w:szCs w:val="20"/>
        </w:rPr>
        <w:t>.</w:t>
      </w:r>
    </w:p>
    <w:p w14:paraId="500994D6" w14:textId="77777777" w:rsidR="00FD12B4" w:rsidRPr="003072DA" w:rsidRDefault="00FD12B4" w:rsidP="00C90351">
      <w:pPr>
        <w:autoSpaceDE w:val="0"/>
        <w:autoSpaceDN w:val="0"/>
        <w:adjustRightInd w:val="0"/>
        <w:spacing w:line="220" w:lineRule="exact"/>
        <w:ind w:left="426" w:hanging="426"/>
        <w:jc w:val="both"/>
        <w:rPr>
          <w:rFonts w:ascii="Cambria" w:eastAsia="Calibri" w:hAnsi="Cambria"/>
          <w:sz w:val="20"/>
          <w:szCs w:val="20"/>
        </w:rPr>
      </w:pPr>
    </w:p>
    <w:p w14:paraId="1A9FAD1C" w14:textId="0BDDBDDD" w:rsidR="00FD12B4" w:rsidRPr="003072DA" w:rsidRDefault="00FD12B4" w:rsidP="00F95FE1">
      <w:pPr>
        <w:autoSpaceDE w:val="0"/>
        <w:autoSpaceDN w:val="0"/>
        <w:adjustRightInd w:val="0"/>
        <w:ind w:left="425" w:hanging="425"/>
        <w:jc w:val="both"/>
        <w:rPr>
          <w:rFonts w:ascii="Cambria" w:eastAsia="Calibri" w:hAnsi="Cambria"/>
          <w:sz w:val="20"/>
          <w:szCs w:val="20"/>
        </w:rPr>
      </w:pPr>
      <w:r w:rsidRPr="003072DA">
        <w:rPr>
          <w:rFonts w:ascii="Cambria" w:eastAsia="Calibri" w:hAnsi="Cambria"/>
          <w:sz w:val="20"/>
          <w:szCs w:val="20"/>
        </w:rPr>
        <w:t>9</w:t>
      </w:r>
      <w:r w:rsidR="009F3362" w:rsidRPr="003072DA">
        <w:rPr>
          <w:rFonts w:ascii="Cambria" w:eastAsia="Calibri" w:hAnsi="Cambria"/>
          <w:sz w:val="20"/>
          <w:szCs w:val="20"/>
        </w:rPr>
        <w:t>.</w:t>
      </w:r>
      <w:r w:rsidRPr="003072DA">
        <w:rPr>
          <w:rFonts w:ascii="Cambria" w:eastAsia="Calibri" w:hAnsi="Cambria"/>
          <w:sz w:val="20"/>
          <w:szCs w:val="20"/>
        </w:rPr>
        <w:tab/>
        <w:t xml:space="preserve">En la reunión de la Comisión de ICCAT de </w:t>
      </w:r>
      <w:r w:rsidR="00CD16BE" w:rsidRPr="003072DA">
        <w:rPr>
          <w:rFonts w:ascii="Cambria" w:eastAsia="Calibri" w:hAnsi="Cambria"/>
          <w:sz w:val="20"/>
          <w:szCs w:val="20"/>
        </w:rPr>
        <w:t>202</w:t>
      </w:r>
      <w:r w:rsidR="00866FE8" w:rsidRPr="003072DA">
        <w:rPr>
          <w:rFonts w:ascii="Cambria" w:eastAsia="Calibri" w:hAnsi="Cambria"/>
          <w:sz w:val="20"/>
          <w:szCs w:val="20"/>
        </w:rPr>
        <w:t>6</w:t>
      </w:r>
      <w:r w:rsidRPr="003072DA">
        <w:rPr>
          <w:rFonts w:ascii="Cambria" w:eastAsia="Calibri" w:hAnsi="Cambria"/>
          <w:sz w:val="20"/>
          <w:szCs w:val="20"/>
        </w:rPr>
        <w:t xml:space="preserve">, se examinarán y revisarán todos los aspectos relacionados con el límite de captura de atún blanco del Atlántico sur y el acuerdo de distribución, teniendo en cuenta los resultados de la evaluación actualizada del stock de atún blanco del Atlántico sur que se llevará a cabo en </w:t>
      </w:r>
      <w:r w:rsidR="002253FE" w:rsidRPr="003072DA">
        <w:rPr>
          <w:rFonts w:ascii="Cambria" w:eastAsia="Calibri" w:hAnsi="Cambria"/>
          <w:sz w:val="20"/>
          <w:szCs w:val="20"/>
        </w:rPr>
        <w:t>2026</w:t>
      </w:r>
      <w:r w:rsidRPr="003072DA">
        <w:rPr>
          <w:rFonts w:ascii="Cambria" w:eastAsia="Calibri" w:hAnsi="Cambria"/>
          <w:sz w:val="20"/>
          <w:szCs w:val="20"/>
        </w:rPr>
        <w:t xml:space="preserve">. Este análisis y revisión abordará también cualquier exceso de captura producido que supere el TAC de </w:t>
      </w:r>
      <w:r w:rsidR="00866FE8" w:rsidRPr="003072DA">
        <w:rPr>
          <w:rFonts w:ascii="Cambria" w:eastAsia="Calibri" w:hAnsi="Cambria"/>
          <w:sz w:val="20"/>
          <w:szCs w:val="20"/>
        </w:rPr>
        <w:t>2023</w:t>
      </w:r>
      <w:r w:rsidR="00BE2527" w:rsidRPr="003072DA">
        <w:rPr>
          <w:rFonts w:ascii="Cambria" w:eastAsia="Calibri" w:hAnsi="Cambria"/>
          <w:sz w:val="20"/>
          <w:szCs w:val="20"/>
        </w:rPr>
        <w:t xml:space="preserve"> a </w:t>
      </w:r>
      <w:r w:rsidR="00CD16BE" w:rsidRPr="003072DA">
        <w:rPr>
          <w:rFonts w:ascii="Cambria" w:eastAsia="Calibri" w:hAnsi="Cambria"/>
          <w:sz w:val="20"/>
          <w:szCs w:val="20"/>
        </w:rPr>
        <w:t>202</w:t>
      </w:r>
      <w:r w:rsidR="00866FE8" w:rsidRPr="003072DA">
        <w:rPr>
          <w:rFonts w:ascii="Cambria" w:eastAsia="Calibri" w:hAnsi="Cambria"/>
          <w:sz w:val="20"/>
          <w:szCs w:val="20"/>
        </w:rPr>
        <w:t>6</w:t>
      </w:r>
      <w:r w:rsidRPr="003072DA">
        <w:rPr>
          <w:rFonts w:ascii="Cambria" w:eastAsia="Calibri" w:hAnsi="Cambria"/>
          <w:sz w:val="20"/>
          <w:szCs w:val="20"/>
        </w:rPr>
        <w:t>.</w:t>
      </w:r>
    </w:p>
    <w:p w14:paraId="7AC0DD11" w14:textId="77777777" w:rsidR="00FD12B4" w:rsidRPr="003072DA" w:rsidRDefault="00FD12B4" w:rsidP="00FD12B4">
      <w:pPr>
        <w:autoSpaceDE w:val="0"/>
        <w:autoSpaceDN w:val="0"/>
        <w:adjustRightInd w:val="0"/>
        <w:ind w:left="426" w:hanging="426"/>
        <w:jc w:val="both"/>
        <w:rPr>
          <w:rFonts w:ascii="Cambria" w:eastAsia="Calibri" w:hAnsi="Cambria"/>
          <w:sz w:val="20"/>
          <w:szCs w:val="20"/>
        </w:rPr>
      </w:pPr>
    </w:p>
    <w:p w14:paraId="483EDBAD" w14:textId="3B4BD422" w:rsidR="00BD53C9" w:rsidRPr="003072DA" w:rsidRDefault="00FD12B4" w:rsidP="00F95FE1">
      <w:pPr>
        <w:autoSpaceDE w:val="0"/>
        <w:autoSpaceDN w:val="0"/>
        <w:adjustRightInd w:val="0"/>
        <w:ind w:left="425" w:hanging="425"/>
        <w:jc w:val="both"/>
        <w:rPr>
          <w:rFonts w:ascii="Cambria" w:eastAsia="Calibri" w:hAnsi="Cambria"/>
          <w:sz w:val="20"/>
          <w:szCs w:val="20"/>
        </w:rPr>
      </w:pPr>
      <w:r w:rsidRPr="003072DA">
        <w:rPr>
          <w:rFonts w:ascii="Cambria" w:eastAsia="Calibri" w:hAnsi="Cambria"/>
          <w:sz w:val="20"/>
          <w:szCs w:val="20"/>
        </w:rPr>
        <w:t>10</w:t>
      </w:r>
      <w:r w:rsidR="009F3362" w:rsidRPr="003072DA">
        <w:rPr>
          <w:rFonts w:ascii="Cambria" w:eastAsia="Calibri" w:hAnsi="Cambria"/>
          <w:sz w:val="20"/>
          <w:szCs w:val="20"/>
        </w:rPr>
        <w:t>.</w:t>
      </w:r>
      <w:r w:rsidRPr="003072DA">
        <w:rPr>
          <w:rFonts w:ascii="Cambria" w:eastAsia="Calibri" w:hAnsi="Cambria"/>
          <w:sz w:val="20"/>
          <w:szCs w:val="20"/>
        </w:rPr>
        <w:tab/>
      </w:r>
      <w:r w:rsidR="00BD53C9" w:rsidRPr="003072DA">
        <w:rPr>
          <w:rFonts w:ascii="Cambria" w:eastAsia="Calibri" w:hAnsi="Cambria"/>
          <w:sz w:val="20"/>
          <w:szCs w:val="20"/>
        </w:rPr>
        <w:t xml:space="preserve">Las CPC expedirán autorizaciones específicas a los buques con una eslora total de 20 m o superior que enarbolen su pabellón autorizados a pescar atún blanco del Atlántico sur en la zona del Convenio. Cada CPC indicará cuál de dichos buques ha autorizado en su lista de buques presentada de conformidad con la </w:t>
      </w:r>
      <w:r w:rsidR="00BD53C9" w:rsidRPr="003072DA">
        <w:rPr>
          <w:rFonts w:ascii="Cambria" w:eastAsia="Calibri" w:hAnsi="Cambria"/>
          <w:i/>
          <w:sz w:val="20"/>
          <w:szCs w:val="20"/>
        </w:rPr>
        <w:t>Recomendación de ICCAT sobre el establecimiento de un registro ICCAT de buques con una eslora total de 20 metros o superior con autorización para operar en la zona del Convenio</w:t>
      </w:r>
      <w:r w:rsidR="00BD53C9" w:rsidRPr="003072DA">
        <w:rPr>
          <w:rFonts w:ascii="Cambria" w:eastAsia="Calibri" w:hAnsi="Cambria"/>
          <w:sz w:val="20"/>
          <w:szCs w:val="20"/>
        </w:rPr>
        <w:t xml:space="preserve"> </w:t>
      </w:r>
      <w:r w:rsidR="00866FE8" w:rsidRPr="003072DA">
        <w:rPr>
          <w:rFonts w:ascii="Cambria" w:eastAsia="Calibri" w:hAnsi="Cambria"/>
          <w:sz w:val="20"/>
          <w:szCs w:val="20"/>
        </w:rPr>
        <w:t>(</w:t>
      </w:r>
      <w:r w:rsidR="00BD53C9" w:rsidRPr="003072DA">
        <w:rPr>
          <w:rFonts w:ascii="Cambria" w:eastAsia="Calibri" w:hAnsi="Cambria"/>
          <w:sz w:val="20"/>
          <w:szCs w:val="20"/>
        </w:rPr>
        <w:t xml:space="preserve">Rec. </w:t>
      </w:r>
      <w:r w:rsidR="00866FE8" w:rsidRPr="003072DA">
        <w:rPr>
          <w:rFonts w:ascii="Cambria" w:eastAsia="Calibri" w:hAnsi="Cambria"/>
          <w:sz w:val="20"/>
          <w:szCs w:val="20"/>
        </w:rPr>
        <w:t>21-14)</w:t>
      </w:r>
      <w:r w:rsidR="00BD53C9" w:rsidRPr="003072DA">
        <w:rPr>
          <w:rFonts w:ascii="Cambria" w:eastAsia="Calibri" w:hAnsi="Cambria"/>
          <w:sz w:val="20"/>
          <w:szCs w:val="20"/>
        </w:rPr>
        <w:t>. Se considerará que los buques no inscritos en el registro o que se inscriban sin la indicación requerida de que están autorizados a pescar atún blanco del sur no están autorizados a pescar, retener a bordo, transbordar, transportar, transferir, procesar o desembarcar atún blanco del Atlántico sur.</w:t>
      </w:r>
    </w:p>
    <w:p w14:paraId="6715FD28" w14:textId="519DDB72" w:rsidR="002253FE" w:rsidRPr="003072DA" w:rsidRDefault="002253FE" w:rsidP="00F95FE1">
      <w:pPr>
        <w:autoSpaceDE w:val="0"/>
        <w:autoSpaceDN w:val="0"/>
        <w:adjustRightInd w:val="0"/>
        <w:ind w:left="425" w:hanging="425"/>
        <w:jc w:val="both"/>
        <w:rPr>
          <w:rFonts w:ascii="Cambria" w:eastAsia="Calibri" w:hAnsi="Cambria"/>
          <w:sz w:val="20"/>
          <w:szCs w:val="20"/>
        </w:rPr>
      </w:pPr>
    </w:p>
    <w:p w14:paraId="0AF23A55" w14:textId="21BAC863" w:rsidR="007A46F1" w:rsidRPr="003072DA" w:rsidRDefault="002253FE" w:rsidP="00BD53C9">
      <w:pPr>
        <w:autoSpaceDE w:val="0"/>
        <w:autoSpaceDN w:val="0"/>
        <w:adjustRightInd w:val="0"/>
        <w:spacing w:line="220" w:lineRule="exact"/>
        <w:ind w:left="426" w:hanging="426"/>
        <w:jc w:val="both"/>
        <w:rPr>
          <w:rFonts w:ascii="Cambria" w:eastAsia="Calibri" w:hAnsi="Cambria"/>
          <w:sz w:val="20"/>
          <w:szCs w:val="20"/>
        </w:rPr>
      </w:pPr>
      <w:r w:rsidRPr="003072DA">
        <w:rPr>
          <w:rFonts w:ascii="Cambria" w:eastAsia="Calibri" w:hAnsi="Cambria"/>
          <w:sz w:val="20"/>
          <w:szCs w:val="20"/>
        </w:rPr>
        <w:t>11.</w:t>
      </w:r>
      <w:r w:rsidRPr="003072DA">
        <w:rPr>
          <w:rFonts w:ascii="Cambria" w:eastAsia="Calibri" w:hAnsi="Cambria"/>
          <w:sz w:val="20"/>
          <w:szCs w:val="20"/>
        </w:rPr>
        <w:tab/>
        <w:t>Las CPC podrán permitir la captura fortuita de atún blanco del sur por parte de buques no autorizados a pescar atún blanco del sur de conformidad con el párrafo 10</w:t>
      </w:r>
      <w:r w:rsidR="0068616B" w:rsidRPr="003072DA">
        <w:rPr>
          <w:rFonts w:ascii="Cambria" w:eastAsia="Calibri" w:hAnsi="Cambria"/>
          <w:sz w:val="20"/>
          <w:szCs w:val="20"/>
        </w:rPr>
        <w:t xml:space="preserve"> únicamente</w:t>
      </w:r>
      <w:r w:rsidRPr="003072DA">
        <w:rPr>
          <w:rFonts w:ascii="Cambria" w:eastAsia="Calibri" w:hAnsi="Cambria"/>
          <w:sz w:val="20"/>
          <w:szCs w:val="20"/>
        </w:rPr>
        <w:t xml:space="preserve"> si la CPC establece un límite máximo </w:t>
      </w:r>
      <w:r w:rsidR="0068616B" w:rsidRPr="003072DA">
        <w:rPr>
          <w:rFonts w:ascii="Cambria" w:eastAsia="Calibri" w:hAnsi="Cambria"/>
          <w:sz w:val="20"/>
          <w:szCs w:val="20"/>
        </w:rPr>
        <w:t xml:space="preserve">del 5 % </w:t>
      </w:r>
      <w:r w:rsidRPr="003072DA">
        <w:rPr>
          <w:rFonts w:ascii="Cambria" w:eastAsia="Calibri" w:hAnsi="Cambria"/>
          <w:sz w:val="20"/>
          <w:szCs w:val="20"/>
        </w:rPr>
        <w:t xml:space="preserve">de captura fortuita a bordo </w:t>
      </w:r>
      <w:r w:rsidR="0068616B" w:rsidRPr="003072DA">
        <w:rPr>
          <w:rFonts w:ascii="Cambria" w:eastAsia="Calibri" w:hAnsi="Cambria"/>
          <w:sz w:val="20"/>
          <w:szCs w:val="20"/>
        </w:rPr>
        <w:t xml:space="preserve">por marea </w:t>
      </w:r>
      <w:r w:rsidRPr="003072DA">
        <w:rPr>
          <w:rFonts w:ascii="Cambria" w:eastAsia="Calibri" w:hAnsi="Cambria"/>
          <w:sz w:val="20"/>
          <w:szCs w:val="20"/>
        </w:rPr>
        <w:t xml:space="preserve">para dichos buques y la captura fortuita se contabiliza dentro del límite de captura de la CPC. Cada CPC facilitará en su </w:t>
      </w:r>
      <w:r w:rsidR="00C9347F" w:rsidRPr="003072DA">
        <w:rPr>
          <w:rFonts w:ascii="Cambria" w:eastAsia="Calibri" w:hAnsi="Cambria"/>
          <w:sz w:val="20"/>
          <w:szCs w:val="20"/>
        </w:rPr>
        <w:t>i</w:t>
      </w:r>
      <w:r w:rsidRPr="003072DA">
        <w:rPr>
          <w:rFonts w:ascii="Cambria" w:eastAsia="Calibri" w:hAnsi="Cambria"/>
          <w:sz w:val="20"/>
          <w:szCs w:val="20"/>
        </w:rPr>
        <w:t xml:space="preserve">nforme </w:t>
      </w:r>
      <w:r w:rsidR="00C9347F" w:rsidRPr="003072DA">
        <w:rPr>
          <w:rFonts w:ascii="Cambria" w:eastAsia="Calibri" w:hAnsi="Cambria"/>
          <w:sz w:val="20"/>
          <w:szCs w:val="20"/>
        </w:rPr>
        <w:t>a</w:t>
      </w:r>
      <w:r w:rsidRPr="003072DA">
        <w:rPr>
          <w:rFonts w:ascii="Cambria" w:eastAsia="Calibri" w:hAnsi="Cambria"/>
          <w:sz w:val="20"/>
          <w:szCs w:val="20"/>
        </w:rPr>
        <w:t xml:space="preserve">nual el límite máximo </w:t>
      </w:r>
      <w:r w:rsidR="00C9347F" w:rsidRPr="003072DA">
        <w:rPr>
          <w:rFonts w:ascii="Cambria" w:eastAsia="Calibri" w:hAnsi="Cambria"/>
          <w:sz w:val="20"/>
          <w:szCs w:val="20"/>
        </w:rPr>
        <w:t xml:space="preserve">de captura fortuita </w:t>
      </w:r>
      <w:r w:rsidR="0068616B" w:rsidRPr="003072DA">
        <w:rPr>
          <w:rFonts w:ascii="Cambria" w:eastAsia="Calibri" w:hAnsi="Cambria"/>
          <w:sz w:val="20"/>
          <w:szCs w:val="20"/>
        </w:rPr>
        <w:t xml:space="preserve">por marea </w:t>
      </w:r>
      <w:r w:rsidRPr="003072DA">
        <w:rPr>
          <w:rFonts w:ascii="Cambria" w:eastAsia="Calibri" w:hAnsi="Cambria"/>
          <w:sz w:val="20"/>
          <w:szCs w:val="20"/>
        </w:rPr>
        <w:t>que permite a dichos buques</w:t>
      </w:r>
      <w:r w:rsidR="0068616B" w:rsidRPr="003072DA">
        <w:rPr>
          <w:rFonts w:ascii="Cambria" w:eastAsia="Calibri" w:hAnsi="Cambria"/>
          <w:sz w:val="20"/>
          <w:szCs w:val="20"/>
        </w:rPr>
        <w:t xml:space="preserve"> y la cantidad total de atún blanco del Atlántico sur capturado de forma fortuita</w:t>
      </w:r>
      <w:r w:rsidRPr="003072DA">
        <w:rPr>
          <w:rFonts w:ascii="Cambria" w:eastAsia="Calibri" w:hAnsi="Cambria"/>
          <w:sz w:val="20"/>
          <w:szCs w:val="20"/>
        </w:rPr>
        <w:t>. Esta información será recopilada por la Secretaría de ICCAT y se pondrá a disposición de las CPC</w:t>
      </w:r>
      <w:r w:rsidR="00E2282D" w:rsidRPr="003072DA">
        <w:rPr>
          <w:rFonts w:ascii="Cambria" w:eastAsia="Calibri" w:hAnsi="Cambria"/>
          <w:sz w:val="20"/>
          <w:szCs w:val="20"/>
        </w:rPr>
        <w:t>.</w:t>
      </w:r>
    </w:p>
    <w:p w14:paraId="2A9AEDDD" w14:textId="77777777" w:rsidR="002253FE" w:rsidRPr="003072DA" w:rsidRDefault="002253FE" w:rsidP="00BD53C9">
      <w:pPr>
        <w:autoSpaceDE w:val="0"/>
        <w:autoSpaceDN w:val="0"/>
        <w:adjustRightInd w:val="0"/>
        <w:spacing w:line="220" w:lineRule="exact"/>
        <w:ind w:left="426" w:hanging="426"/>
        <w:jc w:val="both"/>
        <w:rPr>
          <w:rFonts w:ascii="Cambria" w:eastAsia="Calibri" w:hAnsi="Cambria"/>
          <w:sz w:val="20"/>
          <w:szCs w:val="20"/>
        </w:rPr>
      </w:pPr>
    </w:p>
    <w:p w14:paraId="53EDC378" w14:textId="710D1A04" w:rsidR="00FD12B4" w:rsidRPr="003072DA" w:rsidRDefault="00F95FE1" w:rsidP="00FD12B4">
      <w:pPr>
        <w:autoSpaceDE w:val="0"/>
        <w:autoSpaceDN w:val="0"/>
        <w:adjustRightInd w:val="0"/>
        <w:ind w:left="426" w:hanging="426"/>
        <w:jc w:val="both"/>
        <w:rPr>
          <w:rFonts w:ascii="Cambria" w:hAnsi="Cambria"/>
          <w:iCs/>
          <w:color w:val="000000"/>
          <w:sz w:val="20"/>
        </w:rPr>
      </w:pPr>
      <w:r w:rsidRPr="003072DA">
        <w:rPr>
          <w:rFonts w:ascii="Cambria" w:eastAsia="Calibri" w:hAnsi="Cambria"/>
          <w:sz w:val="20"/>
          <w:szCs w:val="20"/>
        </w:rPr>
        <w:t>1</w:t>
      </w:r>
      <w:r w:rsidR="002253FE" w:rsidRPr="003072DA">
        <w:rPr>
          <w:rFonts w:ascii="Cambria" w:eastAsia="Calibri" w:hAnsi="Cambria"/>
          <w:sz w:val="20"/>
          <w:szCs w:val="20"/>
        </w:rPr>
        <w:t>2</w:t>
      </w:r>
      <w:r w:rsidR="009F3362" w:rsidRPr="003072DA">
        <w:rPr>
          <w:rFonts w:ascii="Cambria" w:eastAsia="Calibri" w:hAnsi="Cambria"/>
          <w:sz w:val="20"/>
          <w:szCs w:val="20"/>
        </w:rPr>
        <w:t>.</w:t>
      </w:r>
      <w:r w:rsidR="00BD53C9" w:rsidRPr="003072DA">
        <w:rPr>
          <w:rFonts w:ascii="Cambria" w:eastAsia="Calibri" w:hAnsi="Cambria"/>
          <w:sz w:val="20"/>
          <w:szCs w:val="20"/>
        </w:rPr>
        <w:tab/>
      </w:r>
      <w:r w:rsidR="00FD12B4" w:rsidRPr="003072DA">
        <w:rPr>
          <w:rFonts w:ascii="Cambria" w:eastAsia="Calibri" w:hAnsi="Cambria"/>
          <w:sz w:val="20"/>
          <w:szCs w:val="20"/>
        </w:rPr>
        <w:t xml:space="preserve">Esta Recomendación </w:t>
      </w:r>
      <w:r w:rsidR="009F3362" w:rsidRPr="003072DA">
        <w:rPr>
          <w:rFonts w:ascii="Cambria" w:eastAsia="Calibri" w:hAnsi="Cambria"/>
          <w:sz w:val="20"/>
          <w:szCs w:val="20"/>
        </w:rPr>
        <w:t xml:space="preserve">revoca y </w:t>
      </w:r>
      <w:r w:rsidR="00FD12B4" w:rsidRPr="003072DA">
        <w:rPr>
          <w:rFonts w:ascii="Cambria" w:eastAsia="Calibri" w:hAnsi="Cambria"/>
          <w:sz w:val="20"/>
          <w:szCs w:val="20"/>
        </w:rPr>
        <w:t xml:space="preserve">sustituye la </w:t>
      </w:r>
      <w:r w:rsidR="009F3362" w:rsidRPr="003072DA">
        <w:rPr>
          <w:rFonts w:ascii="Cambria" w:eastAsia="Calibri" w:hAnsi="Cambria"/>
          <w:i/>
          <w:sz w:val="20"/>
          <w:szCs w:val="20"/>
        </w:rPr>
        <w:t>Recomendación de ICCAT sobre límites de captura de atún blanco del sur para el periodo 2017-2020</w:t>
      </w:r>
      <w:r w:rsidR="009F3362" w:rsidRPr="003072DA">
        <w:rPr>
          <w:rFonts w:ascii="Cambria" w:eastAsia="Calibri" w:hAnsi="Cambria"/>
          <w:iCs/>
          <w:sz w:val="20"/>
          <w:szCs w:val="20"/>
        </w:rPr>
        <w:t xml:space="preserve"> (Rec. 16-07) y también revoca y sustituye la </w:t>
      </w:r>
      <w:r w:rsidR="009F3362" w:rsidRPr="003072DA">
        <w:rPr>
          <w:rFonts w:ascii="Cambria" w:eastAsia="Calibri" w:hAnsi="Cambria"/>
          <w:i/>
          <w:sz w:val="20"/>
          <w:szCs w:val="20"/>
        </w:rPr>
        <w:t xml:space="preserve">Recomendación suplementaria de ICCAT que enmienda la Recomendación 16-07 sobre límites de captura para el atún blanco del Atlántico sur para el periodo 2017-2020 </w:t>
      </w:r>
      <w:r w:rsidR="009F3362" w:rsidRPr="003072DA">
        <w:rPr>
          <w:rFonts w:ascii="Cambria" w:eastAsia="Calibri" w:hAnsi="Cambria"/>
          <w:iCs/>
          <w:sz w:val="20"/>
          <w:szCs w:val="20"/>
        </w:rPr>
        <w:t>(Rec. 21-05)</w:t>
      </w:r>
      <w:r w:rsidR="009F3362" w:rsidRPr="003072DA">
        <w:rPr>
          <w:rFonts w:ascii="Cambria" w:hAnsi="Cambria"/>
          <w:i/>
          <w:color w:val="000000"/>
          <w:sz w:val="20"/>
        </w:rPr>
        <w:t>.</w:t>
      </w:r>
    </w:p>
    <w:p w14:paraId="2693EFA3" w14:textId="46454371" w:rsidR="00A5551C" w:rsidRPr="003072DA" w:rsidRDefault="00A5551C" w:rsidP="00FD12B4">
      <w:pPr>
        <w:pStyle w:val="ListParagraph"/>
        <w:widowControl w:val="0"/>
        <w:tabs>
          <w:tab w:val="left" w:pos="220"/>
          <w:tab w:val="left" w:pos="720"/>
        </w:tabs>
        <w:autoSpaceDE w:val="0"/>
        <w:autoSpaceDN w:val="0"/>
        <w:adjustRightInd w:val="0"/>
        <w:spacing w:after="266"/>
        <w:ind w:left="900"/>
        <w:jc w:val="both"/>
        <w:rPr>
          <w:rFonts w:cs="Times New Roman"/>
          <w:sz w:val="20"/>
          <w:szCs w:val="20"/>
        </w:rPr>
      </w:pPr>
    </w:p>
    <w:sectPr w:rsidR="00A5551C" w:rsidRPr="003072DA" w:rsidSect="00A5551C">
      <w:footerReference w:type="default" r:id="rId7"/>
      <w:pgSz w:w="11907" w:h="16840" w:code="9"/>
      <w:pgMar w:top="1440" w:right="1440" w:bottom="1440" w:left="1440" w:header="851"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D81E" w14:textId="77777777" w:rsidR="00D47D03" w:rsidRDefault="00D47D03" w:rsidP="005928F3">
      <w:r>
        <w:separator/>
      </w:r>
    </w:p>
  </w:endnote>
  <w:endnote w:type="continuationSeparator" w:id="0">
    <w:p w14:paraId="6B76BC9B" w14:textId="77777777" w:rsidR="00D47D03" w:rsidRDefault="00D47D03" w:rsidP="005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670927"/>
      <w:docPartObj>
        <w:docPartGallery w:val="Page Numbers (Bottom of Page)"/>
        <w:docPartUnique/>
      </w:docPartObj>
    </w:sdtPr>
    <w:sdtEndPr>
      <w:rPr>
        <w:noProof/>
        <w:sz w:val="20"/>
        <w:szCs w:val="20"/>
      </w:rPr>
    </w:sdtEndPr>
    <w:sdtContent>
      <w:p w14:paraId="51ADF6B9" w14:textId="2F51533D" w:rsidR="00577472" w:rsidRPr="00830F21" w:rsidRDefault="00830F21" w:rsidP="00830F21">
        <w:pPr>
          <w:tabs>
            <w:tab w:val="center" w:pos="4535"/>
            <w:tab w:val="center" w:pos="4680"/>
            <w:tab w:val="left" w:pos="6150"/>
            <w:tab w:val="right" w:pos="9360"/>
          </w:tabs>
          <w:jc w:val="center"/>
          <w:rPr>
            <w:rFonts w:ascii="Cambria" w:eastAsia="Calibri" w:hAnsi="Cambria" w:cs="Calibri"/>
            <w:sz w:val="20"/>
          </w:rPr>
        </w:pPr>
        <w:r w:rsidRPr="003D4EC2">
          <w:rPr>
            <w:rFonts w:ascii="Cambria" w:eastAsia="Calibri" w:hAnsi="Cambria" w:cs="Calibri"/>
            <w:sz w:val="20"/>
            <w:szCs w:val="20"/>
          </w:rPr>
          <w:fldChar w:fldCharType="begin"/>
        </w:r>
        <w:r w:rsidRPr="003D4EC2">
          <w:rPr>
            <w:rFonts w:ascii="Cambria" w:eastAsia="Calibri" w:hAnsi="Cambria" w:cs="Calibri"/>
            <w:sz w:val="20"/>
            <w:szCs w:val="20"/>
          </w:rPr>
          <w:instrText xml:space="preserve"> PAGE </w:instrText>
        </w:r>
        <w:r w:rsidRPr="003D4EC2">
          <w:rPr>
            <w:rFonts w:ascii="Cambria" w:eastAsia="Calibri" w:hAnsi="Cambria" w:cs="Calibri"/>
            <w:sz w:val="20"/>
            <w:szCs w:val="20"/>
          </w:rPr>
          <w:fldChar w:fldCharType="separate"/>
        </w:r>
        <w:r>
          <w:rPr>
            <w:rFonts w:ascii="Cambria" w:eastAsia="Calibri" w:hAnsi="Cambria" w:cs="Calibri"/>
            <w:sz w:val="20"/>
            <w:szCs w:val="20"/>
          </w:rPr>
          <w:t>3</w:t>
        </w:r>
        <w:r w:rsidRPr="003D4EC2">
          <w:rPr>
            <w:rFonts w:ascii="Cambria" w:eastAsia="Calibri" w:hAnsi="Cambria" w:cs="Calibri"/>
            <w:sz w:val="20"/>
            <w:szCs w:val="20"/>
          </w:rPr>
          <w:fldChar w:fldCharType="end"/>
        </w:r>
        <w:r w:rsidRPr="003D4EC2">
          <w:rPr>
            <w:rFonts w:ascii="Cambria" w:eastAsia="Calibri" w:hAnsi="Cambria" w:cs="Calibri"/>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712B" w14:textId="77777777" w:rsidR="00D47D03" w:rsidRDefault="00D47D03" w:rsidP="005928F3">
      <w:r>
        <w:separator/>
      </w:r>
    </w:p>
  </w:footnote>
  <w:footnote w:type="continuationSeparator" w:id="0">
    <w:p w14:paraId="36D30156" w14:textId="77777777" w:rsidR="00D47D03" w:rsidRDefault="00D47D03" w:rsidP="005928F3">
      <w:r>
        <w:continuationSeparator/>
      </w:r>
    </w:p>
  </w:footnote>
  <w:footnote w:id="1">
    <w:p w14:paraId="37C79D64" w14:textId="676693FF" w:rsidR="00AE303E" w:rsidRPr="007B7900" w:rsidRDefault="00AE303E">
      <w:pPr>
        <w:pStyle w:val="FootnoteText"/>
        <w:rPr>
          <w:rFonts w:asciiTheme="minorHAnsi" w:hAnsiTheme="minorHAnsi"/>
          <w:sz w:val="16"/>
          <w:szCs w:val="16"/>
        </w:rPr>
      </w:pPr>
      <w:r w:rsidRPr="007B7900">
        <w:rPr>
          <w:rStyle w:val="FootnoteReference"/>
          <w:rFonts w:asciiTheme="minorHAnsi" w:hAnsiTheme="minorHAnsi"/>
          <w:sz w:val="16"/>
          <w:szCs w:val="16"/>
        </w:rPr>
        <w:footnoteRef/>
      </w:r>
      <w:r w:rsidRPr="007B7900">
        <w:rPr>
          <w:rFonts w:asciiTheme="minorHAnsi" w:hAnsiTheme="minorHAnsi"/>
          <w:sz w:val="16"/>
          <w:szCs w:val="16"/>
        </w:rPr>
        <w:t xml:space="preserve"> El Reino Unido se reincorporó a ICCAT en 2020 e incluye </w:t>
      </w:r>
      <w:r w:rsidR="00612EBD">
        <w:rPr>
          <w:rFonts w:asciiTheme="minorHAnsi" w:hAnsiTheme="minorHAnsi"/>
          <w:sz w:val="16"/>
          <w:szCs w:val="16"/>
        </w:rPr>
        <w:t xml:space="preserve">sus </w:t>
      </w:r>
      <w:r w:rsidRPr="007B7900">
        <w:rPr>
          <w:rFonts w:asciiTheme="minorHAnsi" w:hAnsiTheme="minorHAnsi"/>
          <w:sz w:val="16"/>
          <w:szCs w:val="16"/>
        </w:rPr>
        <w:t>territorios de ultramar del Reino Unido.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890B5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2662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25B85"/>
    <w:multiLevelType w:val="hybridMultilevel"/>
    <w:tmpl w:val="24C03E70"/>
    <w:lvl w:ilvl="0" w:tplc="C9BEFD1E">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0A00C8"/>
    <w:multiLevelType w:val="hybridMultilevel"/>
    <w:tmpl w:val="53822AA8"/>
    <w:lvl w:ilvl="0" w:tplc="DE26D7AA">
      <w:start w:val="1"/>
      <w:numFmt w:val="decimal"/>
      <w:lvlText w:val="%1."/>
      <w:lvlJc w:val="left"/>
      <w:pPr>
        <w:ind w:left="542" w:hanging="285"/>
        <w:jc w:val="right"/>
      </w:pPr>
      <w:rPr>
        <w:rFonts w:ascii="Times New Roman" w:eastAsia="Times New Roman" w:hAnsi="Times New Roman" w:hint="default"/>
        <w:sz w:val="20"/>
        <w:szCs w:val="20"/>
      </w:rPr>
    </w:lvl>
    <w:lvl w:ilvl="1" w:tplc="271814F8">
      <w:start w:val="1"/>
      <w:numFmt w:val="bullet"/>
      <w:lvlText w:val="•"/>
      <w:lvlJc w:val="left"/>
      <w:pPr>
        <w:ind w:left="1447" w:hanging="285"/>
      </w:pPr>
      <w:rPr>
        <w:rFonts w:hint="default"/>
      </w:rPr>
    </w:lvl>
    <w:lvl w:ilvl="2" w:tplc="AFD4EF56">
      <w:start w:val="1"/>
      <w:numFmt w:val="bullet"/>
      <w:lvlText w:val="•"/>
      <w:lvlJc w:val="left"/>
      <w:pPr>
        <w:ind w:left="2351" w:hanging="285"/>
      </w:pPr>
      <w:rPr>
        <w:rFonts w:hint="default"/>
      </w:rPr>
    </w:lvl>
    <w:lvl w:ilvl="3" w:tplc="75F47FDC">
      <w:start w:val="1"/>
      <w:numFmt w:val="bullet"/>
      <w:lvlText w:val="•"/>
      <w:lvlJc w:val="left"/>
      <w:pPr>
        <w:ind w:left="3255" w:hanging="285"/>
      </w:pPr>
      <w:rPr>
        <w:rFonts w:hint="default"/>
      </w:rPr>
    </w:lvl>
    <w:lvl w:ilvl="4" w:tplc="8DEE4CD6">
      <w:start w:val="1"/>
      <w:numFmt w:val="bullet"/>
      <w:lvlText w:val="•"/>
      <w:lvlJc w:val="left"/>
      <w:pPr>
        <w:ind w:left="4159" w:hanging="285"/>
      </w:pPr>
      <w:rPr>
        <w:rFonts w:hint="default"/>
      </w:rPr>
    </w:lvl>
    <w:lvl w:ilvl="5" w:tplc="0848EED8">
      <w:start w:val="1"/>
      <w:numFmt w:val="bullet"/>
      <w:lvlText w:val="•"/>
      <w:lvlJc w:val="left"/>
      <w:pPr>
        <w:ind w:left="5063" w:hanging="285"/>
      </w:pPr>
      <w:rPr>
        <w:rFonts w:hint="default"/>
      </w:rPr>
    </w:lvl>
    <w:lvl w:ilvl="6" w:tplc="5AEEBC10">
      <w:start w:val="1"/>
      <w:numFmt w:val="bullet"/>
      <w:lvlText w:val="•"/>
      <w:lvlJc w:val="left"/>
      <w:pPr>
        <w:ind w:left="5967" w:hanging="285"/>
      </w:pPr>
      <w:rPr>
        <w:rFonts w:hint="default"/>
      </w:rPr>
    </w:lvl>
    <w:lvl w:ilvl="7" w:tplc="586817E6">
      <w:start w:val="1"/>
      <w:numFmt w:val="bullet"/>
      <w:lvlText w:val="•"/>
      <w:lvlJc w:val="left"/>
      <w:pPr>
        <w:ind w:left="6871" w:hanging="285"/>
      </w:pPr>
      <w:rPr>
        <w:rFonts w:hint="default"/>
      </w:rPr>
    </w:lvl>
    <w:lvl w:ilvl="8" w:tplc="1B2AA432">
      <w:start w:val="1"/>
      <w:numFmt w:val="bullet"/>
      <w:lvlText w:val="•"/>
      <w:lvlJc w:val="left"/>
      <w:pPr>
        <w:ind w:left="7776" w:hanging="285"/>
      </w:pPr>
      <w:rPr>
        <w:rFonts w:hint="default"/>
      </w:rPr>
    </w:lvl>
  </w:abstractNum>
  <w:abstractNum w:abstractNumId="6" w15:restartNumberingAfterBreak="0">
    <w:nsid w:val="2AC34471"/>
    <w:multiLevelType w:val="hybridMultilevel"/>
    <w:tmpl w:val="48B25D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D926CA2"/>
    <w:multiLevelType w:val="hybridMultilevel"/>
    <w:tmpl w:val="9ECC6C8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3C636732"/>
    <w:multiLevelType w:val="hybridMultilevel"/>
    <w:tmpl w:val="4C06E212"/>
    <w:lvl w:ilvl="0" w:tplc="6B60AA36">
      <w:start w:val="5"/>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37BB6"/>
    <w:multiLevelType w:val="hybridMultilevel"/>
    <w:tmpl w:val="D2803962"/>
    <w:lvl w:ilvl="0" w:tplc="A42C9B2E">
      <w:start w:val="10"/>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B64C0"/>
    <w:multiLevelType w:val="hybridMultilevel"/>
    <w:tmpl w:val="AE5C6CD4"/>
    <w:lvl w:ilvl="0" w:tplc="4B3CAC82">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814E4"/>
    <w:multiLevelType w:val="hybridMultilevel"/>
    <w:tmpl w:val="FF586CBC"/>
    <w:lvl w:ilvl="0" w:tplc="E32E1DA2">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5A290D50"/>
    <w:multiLevelType w:val="hybridMultilevel"/>
    <w:tmpl w:val="CA000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47172"/>
    <w:multiLevelType w:val="hybridMultilevel"/>
    <w:tmpl w:val="F2067F10"/>
    <w:lvl w:ilvl="0" w:tplc="D5604E3E">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8667E"/>
    <w:multiLevelType w:val="hybridMultilevel"/>
    <w:tmpl w:val="20023DB8"/>
    <w:lvl w:ilvl="0" w:tplc="0B60BFC2">
      <w:start w:val="1"/>
      <w:numFmt w:val="lowerLetter"/>
      <w:lvlText w:val="%1)"/>
      <w:lvlJc w:val="left"/>
      <w:pPr>
        <w:ind w:left="786" w:hanging="360"/>
      </w:pPr>
      <w:rPr>
        <w:rFonts w:hint="default"/>
        <w:color w:val="00000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92545704">
    <w:abstractNumId w:val="0"/>
  </w:num>
  <w:num w:numId="2" w16cid:durableId="2078476428">
    <w:abstractNumId w:val="1"/>
  </w:num>
  <w:num w:numId="3" w16cid:durableId="1876430149">
    <w:abstractNumId w:val="5"/>
  </w:num>
  <w:num w:numId="4" w16cid:durableId="893469046">
    <w:abstractNumId w:val="8"/>
  </w:num>
  <w:num w:numId="5" w16cid:durableId="1618945681">
    <w:abstractNumId w:val="11"/>
  </w:num>
  <w:num w:numId="6" w16cid:durableId="1363703460">
    <w:abstractNumId w:val="12"/>
  </w:num>
  <w:num w:numId="7" w16cid:durableId="1488011312">
    <w:abstractNumId w:val="3"/>
  </w:num>
  <w:num w:numId="8" w16cid:durableId="2129082161">
    <w:abstractNumId w:val="7"/>
  </w:num>
  <w:num w:numId="9" w16cid:durableId="1933321636">
    <w:abstractNumId w:val="2"/>
  </w:num>
  <w:num w:numId="10" w16cid:durableId="539632569">
    <w:abstractNumId w:val="13"/>
  </w:num>
  <w:num w:numId="11" w16cid:durableId="835807710">
    <w:abstractNumId w:val="9"/>
  </w:num>
  <w:num w:numId="12" w16cid:durableId="910164750">
    <w:abstractNumId w:val="10"/>
  </w:num>
  <w:num w:numId="13" w16cid:durableId="727266377">
    <w:abstractNumId w:val="6"/>
  </w:num>
  <w:num w:numId="14" w16cid:durableId="968821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9760266">
    <w:abstractNumId w:val="14"/>
  </w:num>
  <w:num w:numId="16" w16cid:durableId="1364134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11"/>
    <w:rsid w:val="00023CB1"/>
    <w:rsid w:val="00052DB3"/>
    <w:rsid w:val="000748F2"/>
    <w:rsid w:val="000838DB"/>
    <w:rsid w:val="00086D44"/>
    <w:rsid w:val="00087A71"/>
    <w:rsid w:val="0009531B"/>
    <w:rsid w:val="000A20B8"/>
    <w:rsid w:val="000A3422"/>
    <w:rsid w:val="000A456E"/>
    <w:rsid w:val="000B6443"/>
    <w:rsid w:val="000C3B1B"/>
    <w:rsid w:val="000D6313"/>
    <w:rsid w:val="000E0650"/>
    <w:rsid w:val="000E2DE0"/>
    <w:rsid w:val="000E5173"/>
    <w:rsid w:val="000E5CF5"/>
    <w:rsid w:val="0010455C"/>
    <w:rsid w:val="001108BC"/>
    <w:rsid w:val="00121375"/>
    <w:rsid w:val="001219A4"/>
    <w:rsid w:val="00123AB3"/>
    <w:rsid w:val="001245DD"/>
    <w:rsid w:val="0012679A"/>
    <w:rsid w:val="00132783"/>
    <w:rsid w:val="001421B1"/>
    <w:rsid w:val="001664D1"/>
    <w:rsid w:val="0017043A"/>
    <w:rsid w:val="00172450"/>
    <w:rsid w:val="0017270B"/>
    <w:rsid w:val="00173549"/>
    <w:rsid w:val="00183D1C"/>
    <w:rsid w:val="001A17FE"/>
    <w:rsid w:val="001A3166"/>
    <w:rsid w:val="001A76F3"/>
    <w:rsid w:val="001C7E9A"/>
    <w:rsid w:val="001D3991"/>
    <w:rsid w:val="001E34D7"/>
    <w:rsid w:val="001F5B93"/>
    <w:rsid w:val="0020011E"/>
    <w:rsid w:val="00201249"/>
    <w:rsid w:val="00205105"/>
    <w:rsid w:val="00214CF8"/>
    <w:rsid w:val="0022040C"/>
    <w:rsid w:val="00220E87"/>
    <w:rsid w:val="00221948"/>
    <w:rsid w:val="00222AB8"/>
    <w:rsid w:val="002253FE"/>
    <w:rsid w:val="002270EB"/>
    <w:rsid w:val="00236F51"/>
    <w:rsid w:val="00244AFE"/>
    <w:rsid w:val="0025167B"/>
    <w:rsid w:val="00251CCE"/>
    <w:rsid w:val="0027120F"/>
    <w:rsid w:val="00297BB6"/>
    <w:rsid w:val="002B685F"/>
    <w:rsid w:val="002D711D"/>
    <w:rsid w:val="002D7362"/>
    <w:rsid w:val="002F23B8"/>
    <w:rsid w:val="002F31A0"/>
    <w:rsid w:val="00305160"/>
    <w:rsid w:val="003072DA"/>
    <w:rsid w:val="00310ED1"/>
    <w:rsid w:val="0032425C"/>
    <w:rsid w:val="003267B4"/>
    <w:rsid w:val="003300AC"/>
    <w:rsid w:val="00335BC9"/>
    <w:rsid w:val="00343304"/>
    <w:rsid w:val="0034396C"/>
    <w:rsid w:val="003674CA"/>
    <w:rsid w:val="00396774"/>
    <w:rsid w:val="003D3175"/>
    <w:rsid w:val="003D6DA3"/>
    <w:rsid w:val="003E0928"/>
    <w:rsid w:val="003E6CC4"/>
    <w:rsid w:val="003F0A18"/>
    <w:rsid w:val="00405350"/>
    <w:rsid w:val="004064E0"/>
    <w:rsid w:val="00406C57"/>
    <w:rsid w:val="00410B1F"/>
    <w:rsid w:val="00412756"/>
    <w:rsid w:val="0041593F"/>
    <w:rsid w:val="00426B01"/>
    <w:rsid w:val="004368BC"/>
    <w:rsid w:val="00441053"/>
    <w:rsid w:val="004635A8"/>
    <w:rsid w:val="00465B7C"/>
    <w:rsid w:val="00465B90"/>
    <w:rsid w:val="004710D7"/>
    <w:rsid w:val="00475A93"/>
    <w:rsid w:val="00490243"/>
    <w:rsid w:val="0049149A"/>
    <w:rsid w:val="004942B1"/>
    <w:rsid w:val="00494E2F"/>
    <w:rsid w:val="004955D7"/>
    <w:rsid w:val="00495AF5"/>
    <w:rsid w:val="004A1A2C"/>
    <w:rsid w:val="004A3727"/>
    <w:rsid w:val="004C2464"/>
    <w:rsid w:val="004C60E8"/>
    <w:rsid w:val="004C620F"/>
    <w:rsid w:val="004D2380"/>
    <w:rsid w:val="004D52D8"/>
    <w:rsid w:val="004E30A1"/>
    <w:rsid w:val="004E55B7"/>
    <w:rsid w:val="004F2515"/>
    <w:rsid w:val="004F7E0D"/>
    <w:rsid w:val="00500A90"/>
    <w:rsid w:val="0050405D"/>
    <w:rsid w:val="00516746"/>
    <w:rsid w:val="00520515"/>
    <w:rsid w:val="005279B6"/>
    <w:rsid w:val="00550527"/>
    <w:rsid w:val="00550E8A"/>
    <w:rsid w:val="0055453F"/>
    <w:rsid w:val="00557D72"/>
    <w:rsid w:val="0056332B"/>
    <w:rsid w:val="0056350A"/>
    <w:rsid w:val="00565228"/>
    <w:rsid w:val="00565CCD"/>
    <w:rsid w:val="005715C4"/>
    <w:rsid w:val="00577472"/>
    <w:rsid w:val="005839EE"/>
    <w:rsid w:val="005928F3"/>
    <w:rsid w:val="005B0BA4"/>
    <w:rsid w:val="005B753B"/>
    <w:rsid w:val="005B7819"/>
    <w:rsid w:val="005C5C04"/>
    <w:rsid w:val="005D249A"/>
    <w:rsid w:val="005F537B"/>
    <w:rsid w:val="006023D6"/>
    <w:rsid w:val="00612EBD"/>
    <w:rsid w:val="00620167"/>
    <w:rsid w:val="00633840"/>
    <w:rsid w:val="006360E8"/>
    <w:rsid w:val="006406CB"/>
    <w:rsid w:val="006456E4"/>
    <w:rsid w:val="006461B1"/>
    <w:rsid w:val="00646EEB"/>
    <w:rsid w:val="006836CF"/>
    <w:rsid w:val="0068616B"/>
    <w:rsid w:val="00692AAA"/>
    <w:rsid w:val="006A50FC"/>
    <w:rsid w:val="006B3B85"/>
    <w:rsid w:val="006B54B7"/>
    <w:rsid w:val="006D1996"/>
    <w:rsid w:val="006E51B3"/>
    <w:rsid w:val="006F030E"/>
    <w:rsid w:val="006F0FF4"/>
    <w:rsid w:val="006F339B"/>
    <w:rsid w:val="006F51DB"/>
    <w:rsid w:val="006F529A"/>
    <w:rsid w:val="00700253"/>
    <w:rsid w:val="00705BB7"/>
    <w:rsid w:val="00716155"/>
    <w:rsid w:val="00732E01"/>
    <w:rsid w:val="0076361F"/>
    <w:rsid w:val="007646AB"/>
    <w:rsid w:val="00773CF2"/>
    <w:rsid w:val="00774DF1"/>
    <w:rsid w:val="007856D0"/>
    <w:rsid w:val="007A46F1"/>
    <w:rsid w:val="007B3401"/>
    <w:rsid w:val="007B7900"/>
    <w:rsid w:val="007D7FC4"/>
    <w:rsid w:val="007E6F08"/>
    <w:rsid w:val="007F0261"/>
    <w:rsid w:val="00800862"/>
    <w:rsid w:val="00811F9E"/>
    <w:rsid w:val="00814DB1"/>
    <w:rsid w:val="00815682"/>
    <w:rsid w:val="00826631"/>
    <w:rsid w:val="00830F21"/>
    <w:rsid w:val="008607EC"/>
    <w:rsid w:val="008626D3"/>
    <w:rsid w:val="00866FE8"/>
    <w:rsid w:val="0088314C"/>
    <w:rsid w:val="00887A57"/>
    <w:rsid w:val="00892B6E"/>
    <w:rsid w:val="008B38AF"/>
    <w:rsid w:val="008D46E6"/>
    <w:rsid w:val="008D5214"/>
    <w:rsid w:val="008E4848"/>
    <w:rsid w:val="008F5292"/>
    <w:rsid w:val="008F6911"/>
    <w:rsid w:val="0091301E"/>
    <w:rsid w:val="00914F1E"/>
    <w:rsid w:val="009160B9"/>
    <w:rsid w:val="00924DBB"/>
    <w:rsid w:val="00930ADE"/>
    <w:rsid w:val="00933180"/>
    <w:rsid w:val="0093651F"/>
    <w:rsid w:val="00944363"/>
    <w:rsid w:val="00950B6A"/>
    <w:rsid w:val="00961A1F"/>
    <w:rsid w:val="009629B2"/>
    <w:rsid w:val="00964F25"/>
    <w:rsid w:val="00976438"/>
    <w:rsid w:val="00983090"/>
    <w:rsid w:val="0099723A"/>
    <w:rsid w:val="009A2CBB"/>
    <w:rsid w:val="009B6C5E"/>
    <w:rsid w:val="009C05B5"/>
    <w:rsid w:val="009C072A"/>
    <w:rsid w:val="009C11C9"/>
    <w:rsid w:val="009D2C3E"/>
    <w:rsid w:val="009D426C"/>
    <w:rsid w:val="009E160A"/>
    <w:rsid w:val="009E1BB9"/>
    <w:rsid w:val="009E5BB7"/>
    <w:rsid w:val="009F3362"/>
    <w:rsid w:val="00A107FA"/>
    <w:rsid w:val="00A301D2"/>
    <w:rsid w:val="00A40013"/>
    <w:rsid w:val="00A411BA"/>
    <w:rsid w:val="00A424ED"/>
    <w:rsid w:val="00A5551C"/>
    <w:rsid w:val="00A61B18"/>
    <w:rsid w:val="00A64CA1"/>
    <w:rsid w:val="00A67ED6"/>
    <w:rsid w:val="00A726E7"/>
    <w:rsid w:val="00A75ABB"/>
    <w:rsid w:val="00A86D67"/>
    <w:rsid w:val="00A97661"/>
    <w:rsid w:val="00AB08FA"/>
    <w:rsid w:val="00AB1973"/>
    <w:rsid w:val="00AB343C"/>
    <w:rsid w:val="00AB3862"/>
    <w:rsid w:val="00AC4A8B"/>
    <w:rsid w:val="00AC712E"/>
    <w:rsid w:val="00AD07DC"/>
    <w:rsid w:val="00AD148F"/>
    <w:rsid w:val="00AD17AA"/>
    <w:rsid w:val="00AD4C25"/>
    <w:rsid w:val="00AE303E"/>
    <w:rsid w:val="00AE4D3D"/>
    <w:rsid w:val="00AF3024"/>
    <w:rsid w:val="00B046B0"/>
    <w:rsid w:val="00B05029"/>
    <w:rsid w:val="00B1132C"/>
    <w:rsid w:val="00B12733"/>
    <w:rsid w:val="00B12AF2"/>
    <w:rsid w:val="00B21FE8"/>
    <w:rsid w:val="00B27E86"/>
    <w:rsid w:val="00B31535"/>
    <w:rsid w:val="00B3495A"/>
    <w:rsid w:val="00B47636"/>
    <w:rsid w:val="00B6415A"/>
    <w:rsid w:val="00B82B8B"/>
    <w:rsid w:val="00B85FDA"/>
    <w:rsid w:val="00BB6A20"/>
    <w:rsid w:val="00BD07E8"/>
    <w:rsid w:val="00BD0F61"/>
    <w:rsid w:val="00BD218D"/>
    <w:rsid w:val="00BD53C9"/>
    <w:rsid w:val="00BD5AF6"/>
    <w:rsid w:val="00BE2527"/>
    <w:rsid w:val="00BE2798"/>
    <w:rsid w:val="00BF42C3"/>
    <w:rsid w:val="00C02230"/>
    <w:rsid w:val="00C02238"/>
    <w:rsid w:val="00C045E3"/>
    <w:rsid w:val="00C07E90"/>
    <w:rsid w:val="00C176B3"/>
    <w:rsid w:val="00C30132"/>
    <w:rsid w:val="00C33033"/>
    <w:rsid w:val="00C370C0"/>
    <w:rsid w:val="00C56FD7"/>
    <w:rsid w:val="00C73612"/>
    <w:rsid w:val="00C801DE"/>
    <w:rsid w:val="00C90351"/>
    <w:rsid w:val="00C9347F"/>
    <w:rsid w:val="00C9703C"/>
    <w:rsid w:val="00CB39DC"/>
    <w:rsid w:val="00CC15D6"/>
    <w:rsid w:val="00CD0186"/>
    <w:rsid w:val="00CD16BE"/>
    <w:rsid w:val="00CD5FDF"/>
    <w:rsid w:val="00CE5C35"/>
    <w:rsid w:val="00CE72C0"/>
    <w:rsid w:val="00CF73F3"/>
    <w:rsid w:val="00D06602"/>
    <w:rsid w:val="00D16599"/>
    <w:rsid w:val="00D31F22"/>
    <w:rsid w:val="00D347EA"/>
    <w:rsid w:val="00D418C6"/>
    <w:rsid w:val="00D4432C"/>
    <w:rsid w:val="00D46D3B"/>
    <w:rsid w:val="00D47D03"/>
    <w:rsid w:val="00D6786E"/>
    <w:rsid w:val="00D70D3D"/>
    <w:rsid w:val="00D70ECF"/>
    <w:rsid w:val="00D775C4"/>
    <w:rsid w:val="00D802F6"/>
    <w:rsid w:val="00D81FF1"/>
    <w:rsid w:val="00D85E45"/>
    <w:rsid w:val="00D92528"/>
    <w:rsid w:val="00D935A7"/>
    <w:rsid w:val="00D96DF6"/>
    <w:rsid w:val="00DC2E21"/>
    <w:rsid w:val="00DC7503"/>
    <w:rsid w:val="00DE7012"/>
    <w:rsid w:val="00E03817"/>
    <w:rsid w:val="00E124E2"/>
    <w:rsid w:val="00E2282D"/>
    <w:rsid w:val="00E379C4"/>
    <w:rsid w:val="00E41FA3"/>
    <w:rsid w:val="00E463AF"/>
    <w:rsid w:val="00E556D3"/>
    <w:rsid w:val="00E55A9A"/>
    <w:rsid w:val="00E66E1A"/>
    <w:rsid w:val="00E83388"/>
    <w:rsid w:val="00E84E09"/>
    <w:rsid w:val="00E8781B"/>
    <w:rsid w:val="00EC0F50"/>
    <w:rsid w:val="00EC1EC9"/>
    <w:rsid w:val="00EC747A"/>
    <w:rsid w:val="00ED4232"/>
    <w:rsid w:val="00EF6389"/>
    <w:rsid w:val="00F15CA6"/>
    <w:rsid w:val="00F26F2D"/>
    <w:rsid w:val="00F3192E"/>
    <w:rsid w:val="00F423A9"/>
    <w:rsid w:val="00F46F0C"/>
    <w:rsid w:val="00F523E4"/>
    <w:rsid w:val="00F5282D"/>
    <w:rsid w:val="00F65770"/>
    <w:rsid w:val="00F732C6"/>
    <w:rsid w:val="00F93DB4"/>
    <w:rsid w:val="00F95FE1"/>
    <w:rsid w:val="00F96C54"/>
    <w:rsid w:val="00FA035A"/>
    <w:rsid w:val="00FA37FD"/>
    <w:rsid w:val="00FA4A14"/>
    <w:rsid w:val="00FB047C"/>
    <w:rsid w:val="00FB41C3"/>
    <w:rsid w:val="00FC2683"/>
    <w:rsid w:val="00FC604E"/>
    <w:rsid w:val="00FC6223"/>
    <w:rsid w:val="00FD12B4"/>
    <w:rsid w:val="00FE15CD"/>
    <w:rsid w:val="00FE6EAA"/>
    <w:rsid w:val="00FF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3DA96D"/>
  <w14:defaultImageDpi w14:val="300"/>
  <w15:docId w15:val="{E5B13AD0-3567-4CF8-82EC-D70DFB07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0E2DE0"/>
    <w:pPr>
      <w:keepNext/>
      <w:jc w:val="center"/>
      <w:outlineLvl w:val="4"/>
    </w:pPr>
    <w:rPr>
      <w:rFonts w:ascii="Times New Roman" w:eastAsia="Times New Roman" w:hAnsi="Times New Roman" w:cs="Times New Roman"/>
      <w:b/>
      <w:bCs/>
      <w:sz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91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38DB"/>
    <w:rPr>
      <w:sz w:val="18"/>
      <w:szCs w:val="18"/>
    </w:rPr>
  </w:style>
  <w:style w:type="paragraph" w:styleId="CommentText">
    <w:name w:val="annotation text"/>
    <w:basedOn w:val="Normal"/>
    <w:link w:val="CommentTextChar"/>
    <w:uiPriority w:val="99"/>
    <w:unhideWhenUsed/>
    <w:rsid w:val="000838DB"/>
  </w:style>
  <w:style w:type="character" w:customStyle="1" w:styleId="CommentTextChar">
    <w:name w:val="Comment Text Char"/>
    <w:basedOn w:val="DefaultParagraphFont"/>
    <w:link w:val="CommentText"/>
    <w:uiPriority w:val="99"/>
    <w:rsid w:val="000838DB"/>
  </w:style>
  <w:style w:type="paragraph" w:styleId="CommentSubject">
    <w:name w:val="annotation subject"/>
    <w:basedOn w:val="CommentText"/>
    <w:next w:val="CommentText"/>
    <w:link w:val="CommentSubjectChar"/>
    <w:uiPriority w:val="99"/>
    <w:semiHidden/>
    <w:unhideWhenUsed/>
    <w:rsid w:val="000838DB"/>
    <w:rPr>
      <w:b/>
      <w:bCs/>
      <w:sz w:val="20"/>
      <w:szCs w:val="20"/>
    </w:rPr>
  </w:style>
  <w:style w:type="character" w:customStyle="1" w:styleId="CommentSubjectChar">
    <w:name w:val="Comment Subject Char"/>
    <w:basedOn w:val="CommentTextChar"/>
    <w:link w:val="CommentSubject"/>
    <w:uiPriority w:val="99"/>
    <w:semiHidden/>
    <w:rsid w:val="000838DB"/>
    <w:rPr>
      <w:b/>
      <w:bCs/>
      <w:sz w:val="20"/>
      <w:szCs w:val="20"/>
    </w:rPr>
  </w:style>
  <w:style w:type="paragraph" w:styleId="BodyText">
    <w:name w:val="Body Text"/>
    <w:basedOn w:val="Normal"/>
    <w:link w:val="BodyTextChar"/>
    <w:uiPriority w:val="1"/>
    <w:qFormat/>
    <w:rsid w:val="0056350A"/>
    <w:pPr>
      <w:widowControl w:val="0"/>
      <w:ind w:left="542" w:hanging="28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6350A"/>
    <w:rPr>
      <w:rFonts w:ascii="Times New Roman" w:eastAsia="Times New Roman" w:hAnsi="Times New Roman"/>
      <w:sz w:val="20"/>
      <w:szCs w:val="20"/>
    </w:rPr>
  </w:style>
  <w:style w:type="paragraph" w:customStyle="1" w:styleId="TableParagraph">
    <w:name w:val="Table Paragraph"/>
    <w:basedOn w:val="Normal"/>
    <w:uiPriority w:val="1"/>
    <w:qFormat/>
    <w:rsid w:val="0056350A"/>
    <w:pPr>
      <w:widowControl w:val="0"/>
    </w:pPr>
    <w:rPr>
      <w:rFonts w:eastAsiaTheme="minorHAnsi"/>
      <w:sz w:val="22"/>
      <w:szCs w:val="22"/>
    </w:rPr>
  </w:style>
  <w:style w:type="paragraph" w:styleId="ListParagraph">
    <w:name w:val="List Paragraph"/>
    <w:basedOn w:val="Normal"/>
    <w:uiPriority w:val="34"/>
    <w:qFormat/>
    <w:rsid w:val="0056350A"/>
    <w:pPr>
      <w:ind w:left="720"/>
      <w:contextualSpacing/>
    </w:pPr>
  </w:style>
  <w:style w:type="paragraph" w:styleId="Revision">
    <w:name w:val="Revision"/>
    <w:hidden/>
    <w:uiPriority w:val="99"/>
    <w:semiHidden/>
    <w:rsid w:val="00D46D3B"/>
  </w:style>
  <w:style w:type="paragraph" w:styleId="Header">
    <w:name w:val="header"/>
    <w:basedOn w:val="Normal"/>
    <w:link w:val="HeaderChar"/>
    <w:uiPriority w:val="99"/>
    <w:unhideWhenUsed/>
    <w:rsid w:val="005928F3"/>
    <w:pPr>
      <w:tabs>
        <w:tab w:val="center" w:pos="4680"/>
        <w:tab w:val="right" w:pos="9360"/>
      </w:tabs>
    </w:pPr>
  </w:style>
  <w:style w:type="character" w:customStyle="1" w:styleId="HeaderChar">
    <w:name w:val="Header Char"/>
    <w:basedOn w:val="DefaultParagraphFont"/>
    <w:link w:val="Header"/>
    <w:uiPriority w:val="99"/>
    <w:rsid w:val="005928F3"/>
  </w:style>
  <w:style w:type="paragraph" w:styleId="Footer">
    <w:name w:val="footer"/>
    <w:basedOn w:val="Normal"/>
    <w:link w:val="FooterChar"/>
    <w:uiPriority w:val="99"/>
    <w:unhideWhenUsed/>
    <w:rsid w:val="005928F3"/>
    <w:pPr>
      <w:tabs>
        <w:tab w:val="center" w:pos="4680"/>
        <w:tab w:val="right" w:pos="9360"/>
      </w:tabs>
    </w:pPr>
  </w:style>
  <w:style w:type="character" w:customStyle="1" w:styleId="FooterChar">
    <w:name w:val="Footer Char"/>
    <w:basedOn w:val="DefaultParagraphFont"/>
    <w:link w:val="Footer"/>
    <w:uiPriority w:val="99"/>
    <w:rsid w:val="005928F3"/>
  </w:style>
  <w:style w:type="paragraph" w:customStyle="1" w:styleId="Notedebasd">
    <w:name w:val="Note de bas d"/>
    <w:basedOn w:val="Normal"/>
    <w:uiPriority w:val="99"/>
    <w:rsid w:val="007D7FC4"/>
    <w:rPr>
      <w:rFonts w:ascii="Times New Roman" w:eastAsia="Times New Roman" w:hAnsi="Times New Roman" w:cs="Times New Roman"/>
      <w:sz w:val="20"/>
      <w:szCs w:val="20"/>
    </w:rPr>
  </w:style>
  <w:style w:type="paragraph" w:styleId="FootnoteText">
    <w:name w:val="footnote text"/>
    <w:aliases w:val="ft"/>
    <w:basedOn w:val="Normal"/>
    <w:link w:val="FootnoteTextChar1"/>
    <w:unhideWhenUsed/>
    <w:rsid w:val="007D7FC4"/>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rsid w:val="007D7FC4"/>
    <w:rPr>
      <w:sz w:val="20"/>
      <w:szCs w:val="20"/>
    </w:rPr>
  </w:style>
  <w:style w:type="character" w:customStyle="1" w:styleId="FootnoteTextChar1">
    <w:name w:val="Footnote Text Char1"/>
    <w:aliases w:val="ft Char1"/>
    <w:basedOn w:val="DefaultParagraphFont"/>
    <w:link w:val="FootnoteText"/>
    <w:rsid w:val="007D7FC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D7FC4"/>
    <w:rPr>
      <w:vertAlign w:val="superscript"/>
    </w:rPr>
  </w:style>
  <w:style w:type="paragraph" w:customStyle="1" w:styleId="Default">
    <w:name w:val="Default"/>
    <w:rsid w:val="007E6F08"/>
    <w:pPr>
      <w:autoSpaceDE w:val="0"/>
      <w:autoSpaceDN w:val="0"/>
      <w:adjustRightInd w:val="0"/>
    </w:pPr>
    <w:rPr>
      <w:rFonts w:ascii="Cambria" w:hAnsi="Cambria" w:cs="Cambria"/>
      <w:color w:val="000000"/>
    </w:rPr>
  </w:style>
  <w:style w:type="paragraph" w:customStyle="1" w:styleId="m6603725773781091157gmail-m4076771385912426187gmail-msolistparagraph">
    <w:name w:val="m_6603725773781091157gmail-m4076771385912426187gmail-msolistparagraph"/>
    <w:basedOn w:val="Normal"/>
    <w:rsid w:val="00C07E9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07E90"/>
  </w:style>
  <w:style w:type="table" w:styleId="TableGrid">
    <w:name w:val="Table Grid"/>
    <w:basedOn w:val="TableNormal"/>
    <w:uiPriority w:val="39"/>
    <w:rsid w:val="00A5551C"/>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E2DE0"/>
    <w:rPr>
      <w:rFonts w:ascii="Times New Roman" w:eastAsia="Times New Roman" w:hAnsi="Times New Roman" w:cs="Times New Roman"/>
      <w:b/>
      <w:bCs/>
      <w:sz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0107">
      <w:bodyDiv w:val="1"/>
      <w:marLeft w:val="0"/>
      <w:marRight w:val="0"/>
      <w:marTop w:val="0"/>
      <w:marBottom w:val="0"/>
      <w:divBdr>
        <w:top w:val="none" w:sz="0" w:space="0" w:color="auto"/>
        <w:left w:val="none" w:sz="0" w:space="0" w:color="auto"/>
        <w:bottom w:val="none" w:sz="0" w:space="0" w:color="auto"/>
        <w:right w:val="none" w:sz="0" w:space="0" w:color="auto"/>
      </w:divBdr>
    </w:div>
    <w:div w:id="196242599">
      <w:bodyDiv w:val="1"/>
      <w:marLeft w:val="0"/>
      <w:marRight w:val="0"/>
      <w:marTop w:val="0"/>
      <w:marBottom w:val="0"/>
      <w:divBdr>
        <w:top w:val="none" w:sz="0" w:space="0" w:color="auto"/>
        <w:left w:val="none" w:sz="0" w:space="0" w:color="auto"/>
        <w:bottom w:val="none" w:sz="0" w:space="0" w:color="auto"/>
        <w:right w:val="none" w:sz="0" w:space="0" w:color="auto"/>
      </w:divBdr>
      <w:divsChild>
        <w:div w:id="841436416">
          <w:marLeft w:val="0"/>
          <w:marRight w:val="0"/>
          <w:marTop w:val="0"/>
          <w:marBottom w:val="0"/>
          <w:divBdr>
            <w:top w:val="none" w:sz="0" w:space="0" w:color="auto"/>
            <w:left w:val="none" w:sz="0" w:space="0" w:color="auto"/>
            <w:bottom w:val="none" w:sz="0" w:space="0" w:color="auto"/>
            <w:right w:val="none" w:sz="0" w:space="0" w:color="auto"/>
          </w:divBdr>
        </w:div>
      </w:divsChild>
    </w:div>
    <w:div w:id="339351350">
      <w:bodyDiv w:val="1"/>
      <w:marLeft w:val="0"/>
      <w:marRight w:val="0"/>
      <w:marTop w:val="0"/>
      <w:marBottom w:val="0"/>
      <w:divBdr>
        <w:top w:val="none" w:sz="0" w:space="0" w:color="auto"/>
        <w:left w:val="none" w:sz="0" w:space="0" w:color="auto"/>
        <w:bottom w:val="none" w:sz="0" w:space="0" w:color="auto"/>
        <w:right w:val="none" w:sz="0" w:space="0" w:color="auto"/>
      </w:divBdr>
    </w:div>
    <w:div w:id="377896769">
      <w:bodyDiv w:val="1"/>
      <w:marLeft w:val="0"/>
      <w:marRight w:val="0"/>
      <w:marTop w:val="0"/>
      <w:marBottom w:val="0"/>
      <w:divBdr>
        <w:top w:val="none" w:sz="0" w:space="0" w:color="auto"/>
        <w:left w:val="none" w:sz="0" w:space="0" w:color="auto"/>
        <w:bottom w:val="none" w:sz="0" w:space="0" w:color="auto"/>
        <w:right w:val="none" w:sz="0" w:space="0" w:color="auto"/>
      </w:divBdr>
    </w:div>
    <w:div w:id="554005079">
      <w:bodyDiv w:val="1"/>
      <w:marLeft w:val="0"/>
      <w:marRight w:val="0"/>
      <w:marTop w:val="0"/>
      <w:marBottom w:val="0"/>
      <w:divBdr>
        <w:top w:val="none" w:sz="0" w:space="0" w:color="auto"/>
        <w:left w:val="none" w:sz="0" w:space="0" w:color="auto"/>
        <w:bottom w:val="none" w:sz="0" w:space="0" w:color="auto"/>
        <w:right w:val="none" w:sz="0" w:space="0" w:color="auto"/>
      </w:divBdr>
    </w:div>
    <w:div w:id="1342706365">
      <w:bodyDiv w:val="1"/>
      <w:marLeft w:val="0"/>
      <w:marRight w:val="0"/>
      <w:marTop w:val="0"/>
      <w:marBottom w:val="0"/>
      <w:divBdr>
        <w:top w:val="none" w:sz="0" w:space="0" w:color="auto"/>
        <w:left w:val="none" w:sz="0" w:space="0" w:color="auto"/>
        <w:bottom w:val="none" w:sz="0" w:space="0" w:color="auto"/>
        <w:right w:val="none" w:sz="0" w:space="0" w:color="auto"/>
      </w:divBdr>
    </w:div>
    <w:div w:id="1855341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1463</Words>
  <Characters>7638</Characters>
  <Application>Microsoft Office Word</Application>
  <DocSecurity>0</DocSecurity>
  <Lines>177</Lines>
  <Paragraphs>66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O'Malley</dc:creator>
  <cp:lastModifiedBy>autor</cp:lastModifiedBy>
  <cp:revision>11</cp:revision>
  <cp:lastPrinted>2022-11-18T17:02:00Z</cp:lastPrinted>
  <dcterms:created xsi:type="dcterms:W3CDTF">2022-11-19T20:08:00Z</dcterms:created>
  <dcterms:modified xsi:type="dcterms:W3CDTF">2025-01-13T11:09:00Z</dcterms:modified>
</cp:coreProperties>
</file>