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63153" w14:textId="631E898F" w:rsidR="00BC6ACF" w:rsidRPr="00A312E4" w:rsidRDefault="00087141" w:rsidP="00087141">
      <w:pPr>
        <w:pStyle w:val="Default"/>
        <w:pBdr>
          <w:top w:val="double" w:sz="4" w:space="1" w:color="auto"/>
          <w:left w:val="double" w:sz="4" w:space="4" w:color="auto"/>
          <w:bottom w:val="double" w:sz="4" w:space="1" w:color="auto"/>
          <w:right w:val="double" w:sz="4" w:space="4" w:color="auto"/>
        </w:pBdr>
        <w:jc w:val="center"/>
        <w:rPr>
          <w:b/>
          <w:bCs/>
          <w:sz w:val="20"/>
          <w:szCs w:val="20"/>
        </w:rPr>
      </w:pPr>
      <w:r w:rsidRPr="00A312E4">
        <w:rPr>
          <w:b/>
          <w:bCs/>
          <w:sz w:val="20"/>
          <w:szCs w:val="20"/>
        </w:rPr>
        <w:t>22-</w:t>
      </w:r>
      <w:r w:rsidR="009C2975" w:rsidRPr="00A312E4">
        <w:rPr>
          <w:b/>
          <w:bCs/>
          <w:sz w:val="20"/>
          <w:szCs w:val="20"/>
        </w:rPr>
        <w:t>06</w:t>
      </w:r>
      <w:r w:rsidRPr="00A312E4">
        <w:rPr>
          <w:b/>
          <w:bCs/>
          <w:sz w:val="20"/>
          <w:szCs w:val="20"/>
        </w:rPr>
        <w:tab/>
      </w:r>
      <w:r w:rsidRPr="00A312E4">
        <w:rPr>
          <w:b/>
          <w:bCs/>
          <w:sz w:val="20"/>
          <w:szCs w:val="20"/>
        </w:rPr>
        <w:tab/>
      </w:r>
      <w:r w:rsidRPr="00A312E4">
        <w:rPr>
          <w:b/>
          <w:bCs/>
          <w:sz w:val="20"/>
          <w:szCs w:val="20"/>
        </w:rPr>
        <w:tab/>
      </w:r>
      <w:r w:rsidRPr="00A312E4">
        <w:rPr>
          <w:b/>
          <w:bCs/>
          <w:sz w:val="20"/>
          <w:szCs w:val="20"/>
        </w:rPr>
        <w:tab/>
      </w:r>
      <w:r w:rsidRPr="00A312E4">
        <w:rPr>
          <w:b/>
          <w:bCs/>
          <w:sz w:val="20"/>
          <w:szCs w:val="20"/>
        </w:rPr>
        <w:tab/>
      </w:r>
      <w:r w:rsidRPr="00A312E4">
        <w:rPr>
          <w:b/>
          <w:bCs/>
          <w:sz w:val="20"/>
          <w:szCs w:val="20"/>
        </w:rPr>
        <w:tab/>
      </w:r>
      <w:r w:rsidRPr="00A312E4">
        <w:rPr>
          <w:b/>
          <w:bCs/>
          <w:sz w:val="20"/>
          <w:szCs w:val="20"/>
        </w:rPr>
        <w:tab/>
      </w:r>
      <w:r w:rsidRPr="00A312E4">
        <w:rPr>
          <w:b/>
          <w:bCs/>
          <w:sz w:val="20"/>
          <w:szCs w:val="20"/>
        </w:rPr>
        <w:tab/>
      </w:r>
      <w:r w:rsidRPr="00A312E4">
        <w:rPr>
          <w:b/>
          <w:bCs/>
          <w:sz w:val="20"/>
          <w:szCs w:val="20"/>
        </w:rPr>
        <w:tab/>
      </w:r>
      <w:r w:rsidRPr="00A312E4">
        <w:rPr>
          <w:b/>
          <w:bCs/>
          <w:sz w:val="20"/>
          <w:szCs w:val="20"/>
        </w:rPr>
        <w:tab/>
      </w:r>
      <w:r w:rsidRPr="00A312E4">
        <w:rPr>
          <w:b/>
          <w:bCs/>
          <w:sz w:val="20"/>
          <w:szCs w:val="20"/>
        </w:rPr>
        <w:tab/>
      </w:r>
      <w:r w:rsidRPr="00A312E4">
        <w:rPr>
          <w:b/>
          <w:bCs/>
          <w:sz w:val="20"/>
          <w:szCs w:val="20"/>
        </w:rPr>
        <w:tab/>
        <w:t>ALB</w:t>
      </w:r>
      <w:r w:rsidRPr="00A312E4">
        <w:rPr>
          <w:b/>
          <w:bCs/>
          <w:sz w:val="20"/>
          <w:szCs w:val="20"/>
        </w:rPr>
        <w:br/>
      </w:r>
      <w:r w:rsidRPr="00A312E4">
        <w:rPr>
          <w:b/>
          <w:bCs/>
          <w:sz w:val="20"/>
          <w:szCs w:val="20"/>
        </w:rPr>
        <w:br/>
      </w:r>
      <w:r w:rsidR="0090450B" w:rsidRPr="00A312E4">
        <w:rPr>
          <w:b/>
          <w:bCs/>
          <w:sz w:val="20"/>
          <w:szCs w:val="20"/>
        </w:rPr>
        <w:t>RECOMMANDATION DE L'ICCAT SUR</w:t>
      </w:r>
      <w:r w:rsidRPr="00A312E4">
        <w:rPr>
          <w:b/>
          <w:bCs/>
          <w:sz w:val="20"/>
          <w:szCs w:val="20"/>
        </w:rPr>
        <w:br/>
      </w:r>
      <w:r w:rsidR="00BC6ACF" w:rsidRPr="00A312E4">
        <w:rPr>
          <w:b/>
          <w:bCs/>
          <w:sz w:val="20"/>
          <w:szCs w:val="20"/>
        </w:rPr>
        <w:t>LES LIMITES DE CAPTURE DE GERMON DE L’ATLANTIQUE SUD POUR LA PÉRIODE 2023–2026</w:t>
      </w:r>
    </w:p>
    <w:p w14:paraId="27F49CFA" w14:textId="77777777" w:rsidR="00BC6ACF" w:rsidRPr="00A312E4" w:rsidRDefault="00BC6ACF" w:rsidP="00BC6ACF">
      <w:pPr>
        <w:pStyle w:val="Default"/>
        <w:rPr>
          <w:i/>
          <w:iCs/>
          <w:sz w:val="20"/>
          <w:szCs w:val="20"/>
        </w:rPr>
      </w:pPr>
    </w:p>
    <w:p w14:paraId="01CBF998" w14:textId="55A27B47" w:rsidR="00735BF8" w:rsidRPr="00A312E4" w:rsidRDefault="00735BF8" w:rsidP="00CD5F4C">
      <w:pPr>
        <w:tabs>
          <w:tab w:val="left" w:pos="426"/>
        </w:tabs>
        <w:autoSpaceDE w:val="0"/>
        <w:autoSpaceDN w:val="0"/>
        <w:adjustRightInd w:val="0"/>
        <w:jc w:val="both"/>
        <w:rPr>
          <w:rFonts w:eastAsia="Calibri"/>
          <w:i/>
          <w:iCs/>
          <w:sz w:val="8"/>
          <w:szCs w:val="8"/>
        </w:rPr>
      </w:pPr>
    </w:p>
    <w:p w14:paraId="3741FE3F" w14:textId="4FBD5C21" w:rsidR="00CD5F4C" w:rsidRPr="00A312E4" w:rsidRDefault="00735BF8" w:rsidP="00E2640A">
      <w:pPr>
        <w:autoSpaceDE w:val="0"/>
        <w:autoSpaceDN w:val="0"/>
        <w:adjustRightInd w:val="0"/>
        <w:ind w:firstLine="426"/>
        <w:jc w:val="both"/>
        <w:rPr>
          <w:rFonts w:eastAsia="Calibri"/>
          <w:sz w:val="20"/>
          <w:szCs w:val="20"/>
        </w:rPr>
      </w:pPr>
      <w:r w:rsidRPr="00A312E4">
        <w:rPr>
          <w:i/>
          <w:sz w:val="20"/>
          <w:szCs w:val="20"/>
        </w:rPr>
        <w:t>NOTANT</w:t>
      </w:r>
      <w:r w:rsidRPr="00A312E4">
        <w:rPr>
          <w:sz w:val="20"/>
          <w:szCs w:val="20"/>
        </w:rPr>
        <w:t xml:space="preserve"> les conclusions du rapport du SCRS de 2020, selon lesquelles il est très probable que le stock de germon de l’Atlantique Sud ne soit pas surpêché ni ne fasse l'objet de surpêche</w:t>
      </w:r>
      <w:r w:rsidR="0090450B" w:rsidRPr="00A312E4">
        <w:rPr>
          <w:sz w:val="20"/>
          <w:szCs w:val="20"/>
        </w:rPr>
        <w:t> </w:t>
      </w:r>
      <w:r w:rsidRPr="00A312E4">
        <w:rPr>
          <w:sz w:val="20"/>
          <w:szCs w:val="20"/>
        </w:rPr>
        <w:t>;</w:t>
      </w:r>
    </w:p>
    <w:p w14:paraId="1DBCFBE6" w14:textId="77777777" w:rsidR="001A60EC" w:rsidRPr="00A312E4" w:rsidRDefault="001A60EC" w:rsidP="00E2640A">
      <w:pPr>
        <w:autoSpaceDE w:val="0"/>
        <w:autoSpaceDN w:val="0"/>
        <w:adjustRightInd w:val="0"/>
        <w:ind w:firstLine="426"/>
        <w:jc w:val="both"/>
        <w:rPr>
          <w:rFonts w:eastAsia="Calibri"/>
          <w:sz w:val="20"/>
          <w:szCs w:val="20"/>
        </w:rPr>
      </w:pPr>
    </w:p>
    <w:p w14:paraId="5DED48BE" w14:textId="16BCCD8C" w:rsidR="00CD5F4C" w:rsidRPr="00A312E4" w:rsidRDefault="00CD5F4C" w:rsidP="00E2640A">
      <w:pPr>
        <w:autoSpaceDE w:val="0"/>
        <w:autoSpaceDN w:val="0"/>
        <w:adjustRightInd w:val="0"/>
        <w:ind w:firstLine="426"/>
        <w:jc w:val="both"/>
        <w:rPr>
          <w:rFonts w:eastAsia="Calibri"/>
          <w:iCs/>
          <w:sz w:val="20"/>
          <w:szCs w:val="20"/>
        </w:rPr>
      </w:pPr>
      <w:r w:rsidRPr="00A312E4">
        <w:rPr>
          <w:i/>
          <w:sz w:val="20"/>
          <w:szCs w:val="20"/>
        </w:rPr>
        <w:t>NOTANT EN OUTRE</w:t>
      </w:r>
      <w:r w:rsidRPr="00A312E4">
        <w:rPr>
          <w:sz w:val="20"/>
          <w:szCs w:val="20"/>
        </w:rPr>
        <w:t xml:space="preserve"> que le SCRS a conclu que les projections du stock de germon de l’Atlantique Sud à un niveau de captures constant de 28.000 t donneraient lieu à une probabilité de 83% de situer </w:t>
      </w:r>
      <w:r w:rsidR="00DD14F9" w:rsidRPr="00A312E4">
        <w:rPr>
          <w:sz w:val="20"/>
          <w:szCs w:val="20"/>
        </w:rPr>
        <w:t xml:space="preserve">le stock </w:t>
      </w:r>
      <w:r w:rsidRPr="00A312E4">
        <w:rPr>
          <w:sz w:val="20"/>
          <w:szCs w:val="20"/>
        </w:rPr>
        <w:t>dans le quadrant vert du diagramme de Kobe d’ici 2033 ;</w:t>
      </w:r>
    </w:p>
    <w:p w14:paraId="6CB28003" w14:textId="473BA904" w:rsidR="00083098" w:rsidRPr="00A312E4" w:rsidRDefault="00083098" w:rsidP="00E2640A">
      <w:pPr>
        <w:autoSpaceDE w:val="0"/>
        <w:autoSpaceDN w:val="0"/>
        <w:adjustRightInd w:val="0"/>
        <w:ind w:firstLine="426"/>
        <w:jc w:val="both"/>
        <w:rPr>
          <w:rFonts w:eastAsia="Calibri"/>
          <w:iCs/>
          <w:sz w:val="20"/>
          <w:szCs w:val="20"/>
        </w:rPr>
      </w:pPr>
    </w:p>
    <w:p w14:paraId="56CFDC1D" w14:textId="22DA009E" w:rsidR="00083098" w:rsidRPr="00A312E4" w:rsidRDefault="00083098" w:rsidP="00E2640A">
      <w:pPr>
        <w:autoSpaceDE w:val="0"/>
        <w:autoSpaceDN w:val="0"/>
        <w:adjustRightInd w:val="0"/>
        <w:ind w:firstLine="426"/>
        <w:jc w:val="both"/>
        <w:rPr>
          <w:rFonts w:eastAsia="Calibri"/>
          <w:iCs/>
          <w:sz w:val="20"/>
          <w:szCs w:val="20"/>
        </w:rPr>
      </w:pPr>
      <w:r w:rsidRPr="00A312E4">
        <w:rPr>
          <w:i/>
          <w:iCs/>
          <w:sz w:val="20"/>
          <w:szCs w:val="20"/>
        </w:rPr>
        <w:t>RECONNAISSANT</w:t>
      </w:r>
      <w:r w:rsidRPr="00A312E4">
        <w:rPr>
          <w:iCs/>
          <w:sz w:val="20"/>
          <w:szCs w:val="20"/>
        </w:rPr>
        <w:t xml:space="preserve"> que les captures de germon de l’Atlantique Sud se sont situées bien-deçà du TAC actuel de 24.000 t, sauf pour 2021 ;</w:t>
      </w:r>
    </w:p>
    <w:p w14:paraId="730C8340" w14:textId="77777777" w:rsidR="00CD5F4C" w:rsidRPr="00A312E4" w:rsidRDefault="00CD5F4C" w:rsidP="00E2640A">
      <w:pPr>
        <w:autoSpaceDE w:val="0"/>
        <w:autoSpaceDN w:val="0"/>
        <w:adjustRightInd w:val="0"/>
        <w:ind w:firstLine="426"/>
        <w:jc w:val="both"/>
        <w:rPr>
          <w:rFonts w:eastAsia="Calibri"/>
          <w:i/>
          <w:iCs/>
          <w:sz w:val="20"/>
          <w:szCs w:val="20"/>
        </w:rPr>
      </w:pPr>
    </w:p>
    <w:p w14:paraId="27BDD8C4" w14:textId="31D80FBF" w:rsidR="004430CC" w:rsidRPr="00A312E4" w:rsidRDefault="004430CC" w:rsidP="00E2640A">
      <w:pPr>
        <w:autoSpaceDE w:val="0"/>
        <w:autoSpaceDN w:val="0"/>
        <w:adjustRightInd w:val="0"/>
        <w:ind w:firstLine="426"/>
        <w:jc w:val="both"/>
        <w:rPr>
          <w:rFonts w:eastAsia="Calibri"/>
          <w:iCs/>
          <w:sz w:val="20"/>
          <w:szCs w:val="20"/>
        </w:rPr>
      </w:pPr>
      <w:r w:rsidRPr="00A312E4">
        <w:rPr>
          <w:i/>
          <w:iCs/>
          <w:sz w:val="20"/>
          <w:szCs w:val="20"/>
        </w:rPr>
        <w:t xml:space="preserve">RECONNAISSANT EN OUTRE </w:t>
      </w:r>
      <w:r w:rsidRPr="00A312E4">
        <w:rPr>
          <w:iCs/>
          <w:sz w:val="20"/>
          <w:szCs w:val="20"/>
        </w:rPr>
        <w:t xml:space="preserve">que les prises totales annuelles déclarées ont été considérablement inférieures à la </w:t>
      </w:r>
      <w:r w:rsidR="00DD14F9" w:rsidRPr="00A312E4">
        <w:rPr>
          <w:sz w:val="20"/>
          <w:szCs w:val="20"/>
        </w:rPr>
        <w:t>production maximale équilibrée (PME) </w:t>
      </w:r>
      <w:r w:rsidRPr="00A312E4">
        <w:rPr>
          <w:iCs/>
          <w:sz w:val="20"/>
          <w:szCs w:val="20"/>
        </w:rPr>
        <w:t>;</w:t>
      </w:r>
    </w:p>
    <w:p w14:paraId="3931ADF9" w14:textId="77777777" w:rsidR="004430CC" w:rsidRPr="00A312E4" w:rsidRDefault="004430CC" w:rsidP="00E2640A">
      <w:pPr>
        <w:autoSpaceDE w:val="0"/>
        <w:autoSpaceDN w:val="0"/>
        <w:adjustRightInd w:val="0"/>
        <w:ind w:firstLine="426"/>
        <w:jc w:val="both"/>
        <w:rPr>
          <w:rFonts w:eastAsia="Calibri"/>
          <w:i/>
          <w:iCs/>
          <w:sz w:val="20"/>
          <w:szCs w:val="20"/>
        </w:rPr>
      </w:pPr>
    </w:p>
    <w:p w14:paraId="42143379" w14:textId="1F4118B6" w:rsidR="00CD5F4C" w:rsidRPr="00A312E4" w:rsidRDefault="00CD5F4C" w:rsidP="00E2640A">
      <w:pPr>
        <w:autoSpaceDE w:val="0"/>
        <w:autoSpaceDN w:val="0"/>
        <w:adjustRightInd w:val="0"/>
        <w:ind w:firstLine="426"/>
        <w:jc w:val="both"/>
        <w:rPr>
          <w:rFonts w:eastAsia="Calibri"/>
          <w:sz w:val="20"/>
          <w:szCs w:val="20"/>
        </w:rPr>
      </w:pPr>
      <w:r w:rsidRPr="00A312E4">
        <w:rPr>
          <w:i/>
          <w:sz w:val="20"/>
          <w:szCs w:val="20"/>
        </w:rPr>
        <w:t>RECONNAISSANT</w:t>
      </w:r>
      <w:r w:rsidRPr="00A312E4">
        <w:rPr>
          <w:sz w:val="20"/>
          <w:szCs w:val="20"/>
        </w:rPr>
        <w:t xml:space="preserve"> que l’objectif de la Convention </w:t>
      </w:r>
      <w:r w:rsidR="00EF79F2" w:rsidRPr="00A312E4">
        <w:rPr>
          <w:sz w:val="20"/>
          <w:szCs w:val="20"/>
        </w:rPr>
        <w:t>est de</w:t>
      </w:r>
      <w:r w:rsidRPr="00A312E4">
        <w:rPr>
          <w:sz w:val="20"/>
          <w:szCs w:val="20"/>
        </w:rPr>
        <w:t xml:space="preserve"> maintenir les populations à des niveaux </w:t>
      </w:r>
      <w:r w:rsidR="00DD14F9" w:rsidRPr="00A312E4">
        <w:rPr>
          <w:sz w:val="20"/>
          <w:szCs w:val="20"/>
        </w:rPr>
        <w:t>capables de fournir la PME ;</w:t>
      </w:r>
    </w:p>
    <w:p w14:paraId="2B7CD600" w14:textId="1580D649" w:rsidR="00AB58C0" w:rsidRPr="00A312E4" w:rsidRDefault="00AB58C0" w:rsidP="00E2640A">
      <w:pPr>
        <w:autoSpaceDE w:val="0"/>
        <w:autoSpaceDN w:val="0"/>
        <w:adjustRightInd w:val="0"/>
        <w:ind w:firstLine="426"/>
        <w:jc w:val="both"/>
        <w:rPr>
          <w:rFonts w:eastAsia="Calibri"/>
          <w:sz w:val="20"/>
          <w:szCs w:val="20"/>
        </w:rPr>
      </w:pPr>
    </w:p>
    <w:p w14:paraId="0AA97209" w14:textId="7C2B3B7B" w:rsidR="00AB58C0" w:rsidRPr="00A312E4" w:rsidRDefault="00AB58C0" w:rsidP="00E2640A">
      <w:pPr>
        <w:autoSpaceDE w:val="0"/>
        <w:autoSpaceDN w:val="0"/>
        <w:adjustRightInd w:val="0"/>
        <w:ind w:firstLine="426"/>
        <w:jc w:val="both"/>
        <w:rPr>
          <w:rFonts w:eastAsia="Calibri"/>
          <w:sz w:val="20"/>
          <w:szCs w:val="20"/>
        </w:rPr>
      </w:pPr>
      <w:r w:rsidRPr="00A312E4">
        <w:rPr>
          <w:i/>
          <w:sz w:val="20"/>
          <w:szCs w:val="20"/>
        </w:rPr>
        <w:t>RECONNAISSANT EN OUTRE</w:t>
      </w:r>
      <w:r w:rsidRPr="00A312E4">
        <w:rPr>
          <w:sz w:val="20"/>
          <w:szCs w:val="20"/>
        </w:rPr>
        <w:t xml:space="preserve"> les intérêts des États côtiers en développement à développer leurs opportunités de pêche ;</w:t>
      </w:r>
    </w:p>
    <w:p w14:paraId="1C07814D" w14:textId="77777777" w:rsidR="00CD5F4C" w:rsidRPr="00A312E4" w:rsidRDefault="00CD5F4C" w:rsidP="00CD5F4C">
      <w:pPr>
        <w:tabs>
          <w:tab w:val="left" w:pos="426"/>
        </w:tabs>
        <w:autoSpaceDE w:val="0"/>
        <w:autoSpaceDN w:val="0"/>
        <w:adjustRightInd w:val="0"/>
        <w:jc w:val="both"/>
        <w:rPr>
          <w:rFonts w:eastAsia="Calibri"/>
          <w:sz w:val="8"/>
          <w:szCs w:val="8"/>
        </w:rPr>
      </w:pPr>
    </w:p>
    <w:p w14:paraId="5CAFE587" w14:textId="77777777" w:rsidR="00CD5F4C" w:rsidRPr="00A312E4" w:rsidRDefault="00CD5F4C" w:rsidP="00CD5F4C">
      <w:pPr>
        <w:autoSpaceDE w:val="0"/>
        <w:autoSpaceDN w:val="0"/>
        <w:adjustRightInd w:val="0"/>
        <w:jc w:val="center"/>
        <w:rPr>
          <w:rFonts w:eastAsia="Calibri"/>
          <w:sz w:val="20"/>
          <w:szCs w:val="20"/>
        </w:rPr>
      </w:pPr>
      <w:r w:rsidRPr="00A312E4">
        <w:rPr>
          <w:sz w:val="20"/>
          <w:szCs w:val="20"/>
        </w:rPr>
        <w:t>LA COMMISSION INTERNATIONALE POUR LA CONSERVATION</w:t>
      </w:r>
    </w:p>
    <w:p w14:paraId="630557DD" w14:textId="77777777" w:rsidR="00CD5F4C" w:rsidRPr="00A312E4" w:rsidRDefault="00CD5F4C" w:rsidP="00CD5F4C">
      <w:pPr>
        <w:autoSpaceDE w:val="0"/>
        <w:autoSpaceDN w:val="0"/>
        <w:adjustRightInd w:val="0"/>
        <w:jc w:val="center"/>
        <w:rPr>
          <w:rFonts w:eastAsia="Calibri"/>
          <w:sz w:val="20"/>
          <w:szCs w:val="20"/>
        </w:rPr>
      </w:pPr>
      <w:r w:rsidRPr="00A312E4">
        <w:rPr>
          <w:sz w:val="20"/>
          <w:szCs w:val="20"/>
        </w:rPr>
        <w:t>DES THONIDÉS DE L’ATLANTIQUE (ICCAT) RECOMMANDE CE QUI SUIT :</w:t>
      </w:r>
    </w:p>
    <w:p w14:paraId="5F08A1BC" w14:textId="77777777" w:rsidR="00CD5F4C" w:rsidRPr="00A312E4" w:rsidRDefault="00CD5F4C" w:rsidP="00CD5F4C">
      <w:pPr>
        <w:tabs>
          <w:tab w:val="left" w:pos="284"/>
        </w:tabs>
        <w:autoSpaceDE w:val="0"/>
        <w:autoSpaceDN w:val="0"/>
        <w:adjustRightInd w:val="0"/>
        <w:jc w:val="both"/>
        <w:rPr>
          <w:rFonts w:eastAsia="Calibri"/>
          <w:sz w:val="20"/>
          <w:szCs w:val="20"/>
        </w:rPr>
      </w:pPr>
    </w:p>
    <w:p w14:paraId="69318B13" w14:textId="1DE68DF1" w:rsidR="00CD5F4C" w:rsidRPr="00A312E4" w:rsidRDefault="00CD5F4C" w:rsidP="00E2640A">
      <w:pPr>
        <w:autoSpaceDE w:val="0"/>
        <w:autoSpaceDN w:val="0"/>
        <w:adjustRightInd w:val="0"/>
        <w:ind w:left="426" w:hanging="426"/>
        <w:jc w:val="both"/>
        <w:rPr>
          <w:rFonts w:eastAsia="Calibri"/>
          <w:sz w:val="20"/>
          <w:szCs w:val="20"/>
        </w:rPr>
      </w:pPr>
      <w:r w:rsidRPr="00A312E4">
        <w:rPr>
          <w:sz w:val="20"/>
          <w:szCs w:val="20"/>
        </w:rPr>
        <w:t>1.</w:t>
      </w:r>
      <w:r w:rsidRPr="00A312E4">
        <w:rPr>
          <w:sz w:val="20"/>
          <w:szCs w:val="20"/>
        </w:rPr>
        <w:tab/>
        <w:t xml:space="preserve">Le total des prises admissibles (TAC) </w:t>
      </w:r>
      <w:r w:rsidR="00A67128" w:rsidRPr="00A312E4">
        <w:rPr>
          <w:sz w:val="20"/>
          <w:szCs w:val="20"/>
        </w:rPr>
        <w:t xml:space="preserve">annuel </w:t>
      </w:r>
      <w:r w:rsidRPr="00A312E4">
        <w:rPr>
          <w:sz w:val="20"/>
          <w:szCs w:val="20"/>
        </w:rPr>
        <w:t>pour le germon capturé dans l’océan Atlantique au sud de 5ºN devra être fixé à 28.000 t pour la période 2023 – 2026.</w:t>
      </w:r>
    </w:p>
    <w:p w14:paraId="2CB159AE" w14:textId="77777777" w:rsidR="00CD5F4C" w:rsidRPr="00A312E4" w:rsidRDefault="00CD5F4C" w:rsidP="00CD5F4C">
      <w:pPr>
        <w:tabs>
          <w:tab w:val="left" w:pos="284"/>
        </w:tabs>
        <w:autoSpaceDE w:val="0"/>
        <w:autoSpaceDN w:val="0"/>
        <w:adjustRightInd w:val="0"/>
        <w:jc w:val="both"/>
        <w:rPr>
          <w:rFonts w:eastAsia="Calibri"/>
          <w:sz w:val="20"/>
          <w:szCs w:val="20"/>
        </w:rPr>
      </w:pPr>
    </w:p>
    <w:p w14:paraId="2ACA32C4" w14:textId="2D3D57C7" w:rsidR="00CD5F4C" w:rsidRPr="00A312E4" w:rsidRDefault="00CD5F4C" w:rsidP="00E2640A">
      <w:pPr>
        <w:autoSpaceDE w:val="0"/>
        <w:autoSpaceDN w:val="0"/>
        <w:adjustRightInd w:val="0"/>
        <w:ind w:left="426" w:hanging="426"/>
        <w:jc w:val="both"/>
        <w:rPr>
          <w:rFonts w:eastAsia="Calibri"/>
          <w:sz w:val="20"/>
          <w:szCs w:val="20"/>
        </w:rPr>
      </w:pPr>
      <w:r w:rsidRPr="00A312E4">
        <w:rPr>
          <w:sz w:val="20"/>
          <w:szCs w:val="20"/>
        </w:rPr>
        <w:t>2.</w:t>
      </w:r>
      <w:r w:rsidRPr="00A312E4">
        <w:rPr>
          <w:sz w:val="20"/>
          <w:szCs w:val="20"/>
        </w:rPr>
        <w:tab/>
        <w:t xml:space="preserve">Nonobstant les dispositions du paragraphe 1, si les prises totales déclarées de germon de l’Atlantique Sud réalisées en 2022, telles que communiquées à la réunion de l’ICCAT de </w:t>
      </w:r>
      <w:r w:rsidR="00EF79F2" w:rsidRPr="00A312E4">
        <w:rPr>
          <w:sz w:val="20"/>
          <w:szCs w:val="20"/>
        </w:rPr>
        <w:t>2023</w:t>
      </w:r>
      <w:r w:rsidRPr="00A312E4">
        <w:rPr>
          <w:sz w:val="20"/>
          <w:szCs w:val="20"/>
        </w:rPr>
        <w:t xml:space="preserve">, dépassent 28.000 t, le TAC pour </w:t>
      </w:r>
      <w:r w:rsidR="00EF79F2" w:rsidRPr="00A312E4">
        <w:rPr>
          <w:sz w:val="20"/>
          <w:szCs w:val="20"/>
        </w:rPr>
        <w:t>2024</w:t>
      </w:r>
      <w:r w:rsidRPr="00A312E4">
        <w:rPr>
          <w:sz w:val="20"/>
          <w:szCs w:val="20"/>
        </w:rPr>
        <w:t xml:space="preserve"> devra être réduit par le volume total de la prise de 2022 dépassant 28.000 t.</w:t>
      </w:r>
    </w:p>
    <w:p w14:paraId="2A0A58C7" w14:textId="77777777" w:rsidR="00CD5F4C" w:rsidRPr="00A312E4" w:rsidRDefault="00CD5F4C" w:rsidP="00CD5F4C">
      <w:pPr>
        <w:tabs>
          <w:tab w:val="left" w:pos="284"/>
        </w:tabs>
        <w:autoSpaceDE w:val="0"/>
        <w:autoSpaceDN w:val="0"/>
        <w:adjustRightInd w:val="0"/>
        <w:jc w:val="both"/>
        <w:rPr>
          <w:rFonts w:eastAsia="Calibri"/>
          <w:sz w:val="20"/>
          <w:szCs w:val="20"/>
        </w:rPr>
      </w:pPr>
    </w:p>
    <w:p w14:paraId="69FCA062" w14:textId="21045A35" w:rsidR="00CD5F4C" w:rsidRPr="00A312E4" w:rsidRDefault="00CD5F4C" w:rsidP="00E2640A">
      <w:pPr>
        <w:autoSpaceDE w:val="0"/>
        <w:autoSpaceDN w:val="0"/>
        <w:adjustRightInd w:val="0"/>
        <w:ind w:left="426" w:hanging="426"/>
        <w:jc w:val="both"/>
        <w:rPr>
          <w:rFonts w:eastAsia="Calibri"/>
          <w:sz w:val="20"/>
          <w:szCs w:val="20"/>
        </w:rPr>
      </w:pPr>
      <w:r w:rsidRPr="00A312E4">
        <w:rPr>
          <w:sz w:val="20"/>
          <w:szCs w:val="20"/>
        </w:rPr>
        <w:t>3.</w:t>
      </w:r>
      <w:r w:rsidRPr="00A312E4">
        <w:rPr>
          <w:sz w:val="20"/>
          <w:szCs w:val="20"/>
        </w:rPr>
        <w:tab/>
        <w:t>Les limites annuelles de capture du germon de l'Atlantique Sud devront être comme suit :</w:t>
      </w:r>
    </w:p>
    <w:p w14:paraId="755FD00B" w14:textId="43BDC3A7" w:rsidR="00226812" w:rsidRPr="00A312E4" w:rsidRDefault="00226812" w:rsidP="00C72963">
      <w:pPr>
        <w:autoSpaceDE w:val="0"/>
        <w:autoSpaceDN w:val="0"/>
        <w:adjustRightInd w:val="0"/>
        <w:ind w:left="426"/>
        <w:jc w:val="both"/>
        <w:rPr>
          <w:rFonts w:eastAsia="Calibri"/>
          <w:sz w:val="20"/>
          <w:szCs w:val="20"/>
        </w:rPr>
      </w:pPr>
      <w:r w:rsidRPr="00A312E4">
        <w:rPr>
          <w:rFonts w:eastAsia="Calibri"/>
          <w:sz w:val="20"/>
          <w:szCs w:val="20"/>
        </w:rPr>
        <w:t xml:space="preserve">a) </w:t>
      </w:r>
    </w:p>
    <w:tbl>
      <w:tblPr>
        <w:tblStyle w:val="LightShading1"/>
        <w:tblW w:w="6168" w:type="dxa"/>
        <w:tblInd w:w="993" w:type="dxa"/>
        <w:tblLook w:val="04A0" w:firstRow="1" w:lastRow="0" w:firstColumn="1" w:lastColumn="0" w:noHBand="0" w:noVBand="1"/>
      </w:tblPr>
      <w:tblGrid>
        <w:gridCol w:w="3402"/>
        <w:gridCol w:w="2766"/>
      </w:tblGrid>
      <w:tr w:rsidR="00CD5F4C" w:rsidRPr="00A312E4" w14:paraId="03755621" w14:textId="77777777" w:rsidTr="00A3190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6168" w:type="dxa"/>
            <w:gridSpan w:val="2"/>
          </w:tcPr>
          <w:p w14:paraId="27FBD70A" w14:textId="5DFF5498" w:rsidR="00CD5F4C" w:rsidRPr="00A312E4" w:rsidRDefault="00CD5F4C" w:rsidP="00226812">
            <w:pPr>
              <w:autoSpaceDE w:val="0"/>
              <w:autoSpaceDN w:val="0"/>
              <w:adjustRightInd w:val="0"/>
              <w:jc w:val="center"/>
              <w:rPr>
                <w:b w:val="0"/>
                <w:i/>
                <w:sz w:val="20"/>
                <w:szCs w:val="20"/>
              </w:rPr>
            </w:pPr>
            <w:r w:rsidRPr="00A312E4">
              <w:rPr>
                <w:b w:val="0"/>
                <w:i/>
                <w:sz w:val="20"/>
                <w:szCs w:val="20"/>
              </w:rPr>
              <w:t>Limites de capture (t)*</w:t>
            </w:r>
          </w:p>
        </w:tc>
      </w:tr>
      <w:tr w:rsidR="00CD5F4C" w:rsidRPr="00A312E4" w14:paraId="1E7727D8" w14:textId="77777777" w:rsidTr="00A3190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02" w:type="dxa"/>
          </w:tcPr>
          <w:p w14:paraId="4775EC01" w14:textId="77777777" w:rsidR="00CD5F4C" w:rsidRPr="00A312E4" w:rsidRDefault="00CD5F4C" w:rsidP="00226812">
            <w:pPr>
              <w:autoSpaceDE w:val="0"/>
              <w:autoSpaceDN w:val="0"/>
              <w:adjustRightInd w:val="0"/>
              <w:jc w:val="center"/>
              <w:rPr>
                <w:rFonts w:eastAsia="Times New Roman"/>
                <w:b w:val="0"/>
                <w:sz w:val="20"/>
                <w:szCs w:val="20"/>
              </w:rPr>
            </w:pPr>
            <w:r w:rsidRPr="00A312E4">
              <w:rPr>
                <w:b w:val="0"/>
                <w:sz w:val="20"/>
                <w:szCs w:val="20"/>
              </w:rPr>
              <w:t>Angola</w:t>
            </w:r>
          </w:p>
        </w:tc>
        <w:tc>
          <w:tcPr>
            <w:tcW w:w="2766" w:type="dxa"/>
          </w:tcPr>
          <w:p w14:paraId="11EBCF2A" w14:textId="6156EB2B" w:rsidR="00CD5F4C" w:rsidRPr="00A312E4" w:rsidRDefault="00153C35" w:rsidP="0022681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A312E4">
              <w:rPr>
                <w:sz w:val="20"/>
                <w:szCs w:val="20"/>
              </w:rPr>
              <w:t>60</w:t>
            </w:r>
          </w:p>
        </w:tc>
      </w:tr>
      <w:tr w:rsidR="00CD5F4C" w:rsidRPr="00A312E4" w14:paraId="27F6B982" w14:textId="77777777" w:rsidTr="00A3190B">
        <w:trPr>
          <w:trHeight w:val="113"/>
        </w:trPr>
        <w:tc>
          <w:tcPr>
            <w:cnfStyle w:val="001000000000" w:firstRow="0" w:lastRow="0" w:firstColumn="1" w:lastColumn="0" w:oddVBand="0" w:evenVBand="0" w:oddHBand="0" w:evenHBand="0" w:firstRowFirstColumn="0" w:firstRowLastColumn="0" w:lastRowFirstColumn="0" w:lastRowLastColumn="0"/>
            <w:tcW w:w="3402" w:type="dxa"/>
          </w:tcPr>
          <w:p w14:paraId="5C405C0A" w14:textId="77777777" w:rsidR="00CD5F4C" w:rsidRPr="00A312E4" w:rsidRDefault="00CD5F4C" w:rsidP="00226812">
            <w:pPr>
              <w:autoSpaceDE w:val="0"/>
              <w:autoSpaceDN w:val="0"/>
              <w:adjustRightInd w:val="0"/>
              <w:jc w:val="center"/>
              <w:rPr>
                <w:rFonts w:eastAsia="Times New Roman"/>
                <w:b w:val="0"/>
                <w:sz w:val="20"/>
                <w:szCs w:val="20"/>
              </w:rPr>
            </w:pPr>
            <w:r w:rsidRPr="00A312E4">
              <w:rPr>
                <w:b w:val="0"/>
                <w:sz w:val="20"/>
                <w:szCs w:val="20"/>
              </w:rPr>
              <w:t>Belize</w:t>
            </w:r>
          </w:p>
        </w:tc>
        <w:tc>
          <w:tcPr>
            <w:tcW w:w="2766" w:type="dxa"/>
          </w:tcPr>
          <w:p w14:paraId="2C17CBEB" w14:textId="008DF75A" w:rsidR="00CD5F4C" w:rsidRPr="00A312E4" w:rsidRDefault="00153C35" w:rsidP="0022681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A312E4">
              <w:rPr>
                <w:sz w:val="20"/>
                <w:szCs w:val="20"/>
              </w:rPr>
              <w:t>300</w:t>
            </w:r>
          </w:p>
        </w:tc>
      </w:tr>
      <w:tr w:rsidR="00CD5F4C" w:rsidRPr="00A312E4" w14:paraId="2DD88F38" w14:textId="77777777" w:rsidTr="00A3190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02" w:type="dxa"/>
          </w:tcPr>
          <w:p w14:paraId="3F37807A" w14:textId="77777777" w:rsidR="00CD5F4C" w:rsidRPr="00A312E4" w:rsidRDefault="00CD5F4C" w:rsidP="00226812">
            <w:pPr>
              <w:autoSpaceDE w:val="0"/>
              <w:autoSpaceDN w:val="0"/>
              <w:adjustRightInd w:val="0"/>
              <w:jc w:val="center"/>
              <w:rPr>
                <w:rFonts w:eastAsia="Times New Roman"/>
                <w:b w:val="0"/>
                <w:sz w:val="20"/>
                <w:szCs w:val="20"/>
              </w:rPr>
            </w:pPr>
            <w:r w:rsidRPr="00A312E4">
              <w:rPr>
                <w:b w:val="0"/>
                <w:sz w:val="20"/>
                <w:szCs w:val="20"/>
              </w:rPr>
              <w:t>Brésil</w:t>
            </w:r>
          </w:p>
        </w:tc>
        <w:tc>
          <w:tcPr>
            <w:tcW w:w="2766" w:type="dxa"/>
          </w:tcPr>
          <w:p w14:paraId="4F489067" w14:textId="29280D2B" w:rsidR="00CD5F4C" w:rsidRPr="00A312E4" w:rsidRDefault="00153C35" w:rsidP="0022681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A312E4">
              <w:rPr>
                <w:sz w:val="20"/>
                <w:szCs w:val="20"/>
              </w:rPr>
              <w:t>2.600</w:t>
            </w:r>
          </w:p>
        </w:tc>
      </w:tr>
      <w:tr w:rsidR="00CD5F4C" w:rsidRPr="00A312E4" w14:paraId="2297CEB8" w14:textId="77777777" w:rsidTr="00A3190B">
        <w:trPr>
          <w:trHeight w:val="113"/>
        </w:trPr>
        <w:tc>
          <w:tcPr>
            <w:cnfStyle w:val="001000000000" w:firstRow="0" w:lastRow="0" w:firstColumn="1" w:lastColumn="0" w:oddVBand="0" w:evenVBand="0" w:oddHBand="0" w:evenHBand="0" w:firstRowFirstColumn="0" w:firstRowLastColumn="0" w:lastRowFirstColumn="0" w:lastRowLastColumn="0"/>
            <w:tcW w:w="3402" w:type="dxa"/>
          </w:tcPr>
          <w:p w14:paraId="67FB1BFA" w14:textId="77777777" w:rsidR="00CD5F4C" w:rsidRPr="00A312E4" w:rsidRDefault="00CD5F4C" w:rsidP="00226812">
            <w:pPr>
              <w:autoSpaceDE w:val="0"/>
              <w:autoSpaceDN w:val="0"/>
              <w:adjustRightInd w:val="0"/>
              <w:jc w:val="center"/>
              <w:rPr>
                <w:rFonts w:eastAsia="Times New Roman"/>
                <w:b w:val="0"/>
                <w:sz w:val="20"/>
                <w:szCs w:val="20"/>
              </w:rPr>
            </w:pPr>
            <w:r w:rsidRPr="00A312E4">
              <w:rPr>
                <w:b w:val="0"/>
                <w:sz w:val="20"/>
                <w:szCs w:val="20"/>
              </w:rPr>
              <w:t>Chine</w:t>
            </w:r>
          </w:p>
        </w:tc>
        <w:tc>
          <w:tcPr>
            <w:tcW w:w="2766" w:type="dxa"/>
          </w:tcPr>
          <w:p w14:paraId="276D2E59" w14:textId="4993BA36" w:rsidR="00CD5F4C" w:rsidRPr="00A312E4" w:rsidRDefault="00153C35" w:rsidP="0022681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A312E4">
              <w:rPr>
                <w:sz w:val="20"/>
                <w:szCs w:val="20"/>
              </w:rPr>
              <w:t>240</w:t>
            </w:r>
          </w:p>
        </w:tc>
      </w:tr>
      <w:tr w:rsidR="00CD5F4C" w:rsidRPr="00A312E4" w14:paraId="6CED0AFE" w14:textId="77777777" w:rsidTr="00A3190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02" w:type="dxa"/>
          </w:tcPr>
          <w:p w14:paraId="34E24023" w14:textId="1951234F" w:rsidR="00CD5F4C" w:rsidRPr="00A312E4" w:rsidDel="007A5972" w:rsidRDefault="00CD5F4C" w:rsidP="00226812">
            <w:pPr>
              <w:autoSpaceDE w:val="0"/>
              <w:autoSpaceDN w:val="0"/>
              <w:adjustRightInd w:val="0"/>
              <w:jc w:val="center"/>
              <w:rPr>
                <w:rFonts w:eastAsia="Times New Roman"/>
                <w:b w:val="0"/>
                <w:sz w:val="20"/>
                <w:szCs w:val="20"/>
              </w:rPr>
            </w:pPr>
            <w:r w:rsidRPr="00A312E4">
              <w:rPr>
                <w:b w:val="0"/>
                <w:sz w:val="20"/>
                <w:szCs w:val="20"/>
              </w:rPr>
              <w:t>Ta</w:t>
            </w:r>
            <w:r w:rsidR="00226812" w:rsidRPr="00A312E4">
              <w:rPr>
                <w:b w:val="0"/>
                <w:sz w:val="20"/>
                <w:szCs w:val="20"/>
              </w:rPr>
              <w:t>i</w:t>
            </w:r>
            <w:r w:rsidRPr="00A312E4">
              <w:rPr>
                <w:b w:val="0"/>
                <w:sz w:val="20"/>
                <w:szCs w:val="20"/>
              </w:rPr>
              <w:t>pei chinois</w:t>
            </w:r>
          </w:p>
        </w:tc>
        <w:tc>
          <w:tcPr>
            <w:tcW w:w="2766" w:type="dxa"/>
          </w:tcPr>
          <w:p w14:paraId="66C349A4" w14:textId="435B85C7" w:rsidR="00CD5F4C" w:rsidRPr="00A312E4" w:rsidDel="007A5972" w:rsidRDefault="00153C35" w:rsidP="0022681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A312E4">
              <w:rPr>
                <w:sz w:val="20"/>
                <w:szCs w:val="20"/>
              </w:rPr>
              <w:t>10.340</w:t>
            </w:r>
          </w:p>
        </w:tc>
      </w:tr>
      <w:tr w:rsidR="00CD5F4C" w:rsidRPr="00A312E4" w14:paraId="202F11F1" w14:textId="77777777" w:rsidTr="00A3190B">
        <w:trPr>
          <w:trHeight w:val="113"/>
        </w:trPr>
        <w:tc>
          <w:tcPr>
            <w:cnfStyle w:val="001000000000" w:firstRow="0" w:lastRow="0" w:firstColumn="1" w:lastColumn="0" w:oddVBand="0" w:evenVBand="0" w:oddHBand="0" w:evenHBand="0" w:firstRowFirstColumn="0" w:firstRowLastColumn="0" w:lastRowFirstColumn="0" w:lastRowLastColumn="0"/>
            <w:tcW w:w="3402" w:type="dxa"/>
          </w:tcPr>
          <w:p w14:paraId="5CCB9A1F" w14:textId="5B43BB17" w:rsidR="00CD5F4C" w:rsidRPr="00A312E4" w:rsidDel="007A5972" w:rsidRDefault="00321CFF" w:rsidP="00226812">
            <w:pPr>
              <w:autoSpaceDE w:val="0"/>
              <w:autoSpaceDN w:val="0"/>
              <w:adjustRightInd w:val="0"/>
              <w:jc w:val="center"/>
              <w:rPr>
                <w:rFonts w:eastAsia="Times New Roman"/>
                <w:b w:val="0"/>
                <w:sz w:val="20"/>
                <w:szCs w:val="20"/>
              </w:rPr>
            </w:pPr>
            <w:r w:rsidRPr="00A312E4">
              <w:rPr>
                <w:b w:val="0"/>
                <w:sz w:val="20"/>
                <w:szCs w:val="20"/>
              </w:rPr>
              <w:t>Côte d’Ivoire</w:t>
            </w:r>
          </w:p>
        </w:tc>
        <w:tc>
          <w:tcPr>
            <w:tcW w:w="2766" w:type="dxa"/>
          </w:tcPr>
          <w:p w14:paraId="09E48E2D" w14:textId="506D5A24" w:rsidR="00CD5F4C" w:rsidRPr="00A312E4" w:rsidDel="007A5972" w:rsidRDefault="00153C35" w:rsidP="0022681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A312E4">
              <w:rPr>
                <w:sz w:val="20"/>
                <w:szCs w:val="20"/>
              </w:rPr>
              <w:t>120</w:t>
            </w:r>
          </w:p>
        </w:tc>
      </w:tr>
      <w:tr w:rsidR="00CD5F4C" w:rsidRPr="00A312E4" w14:paraId="495C8618" w14:textId="77777777" w:rsidTr="00A3190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02" w:type="dxa"/>
          </w:tcPr>
          <w:p w14:paraId="48D009DD" w14:textId="1E03FF04" w:rsidR="00CD5F4C" w:rsidRPr="00A312E4" w:rsidDel="007A5972" w:rsidRDefault="00CD5F4C" w:rsidP="00226812">
            <w:pPr>
              <w:autoSpaceDE w:val="0"/>
              <w:autoSpaceDN w:val="0"/>
              <w:adjustRightInd w:val="0"/>
              <w:jc w:val="center"/>
              <w:rPr>
                <w:rFonts w:eastAsia="Times New Roman"/>
                <w:b w:val="0"/>
                <w:sz w:val="20"/>
                <w:szCs w:val="20"/>
              </w:rPr>
            </w:pPr>
            <w:r w:rsidRPr="00A312E4">
              <w:rPr>
                <w:b w:val="0"/>
                <w:sz w:val="20"/>
                <w:szCs w:val="20"/>
              </w:rPr>
              <w:t>Curaçao</w:t>
            </w:r>
          </w:p>
        </w:tc>
        <w:tc>
          <w:tcPr>
            <w:tcW w:w="2766" w:type="dxa"/>
          </w:tcPr>
          <w:p w14:paraId="70174FC7" w14:textId="1A5AF22E" w:rsidR="00CD5F4C" w:rsidRPr="00A312E4" w:rsidDel="007A5972" w:rsidRDefault="00153C35" w:rsidP="0022681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A312E4">
              <w:rPr>
                <w:sz w:val="20"/>
                <w:szCs w:val="20"/>
              </w:rPr>
              <w:t>6</w:t>
            </w:r>
            <w:r w:rsidR="00D85DD7" w:rsidRPr="00A312E4">
              <w:rPr>
                <w:sz w:val="20"/>
                <w:szCs w:val="20"/>
              </w:rPr>
              <w:t>0</w:t>
            </w:r>
          </w:p>
        </w:tc>
      </w:tr>
      <w:tr w:rsidR="00CD5F4C" w:rsidRPr="00A312E4" w14:paraId="119CFABF" w14:textId="77777777" w:rsidTr="00A3190B">
        <w:trPr>
          <w:trHeight w:val="113"/>
        </w:trPr>
        <w:tc>
          <w:tcPr>
            <w:cnfStyle w:val="001000000000" w:firstRow="0" w:lastRow="0" w:firstColumn="1" w:lastColumn="0" w:oddVBand="0" w:evenVBand="0" w:oddHBand="0" w:evenHBand="0" w:firstRowFirstColumn="0" w:firstRowLastColumn="0" w:lastRowFirstColumn="0" w:lastRowLastColumn="0"/>
            <w:tcW w:w="3402" w:type="dxa"/>
          </w:tcPr>
          <w:p w14:paraId="7D9129D8" w14:textId="071CCDEA" w:rsidR="00CD5F4C" w:rsidRPr="00A312E4" w:rsidDel="007A5972" w:rsidRDefault="00CD5F4C" w:rsidP="00226812">
            <w:pPr>
              <w:autoSpaceDE w:val="0"/>
              <w:autoSpaceDN w:val="0"/>
              <w:adjustRightInd w:val="0"/>
              <w:jc w:val="center"/>
              <w:rPr>
                <w:rFonts w:eastAsia="Times New Roman"/>
                <w:b w:val="0"/>
                <w:sz w:val="20"/>
                <w:szCs w:val="20"/>
              </w:rPr>
            </w:pPr>
            <w:r w:rsidRPr="00A312E4">
              <w:rPr>
                <w:b w:val="0"/>
                <w:sz w:val="20"/>
                <w:szCs w:val="20"/>
              </w:rPr>
              <w:t xml:space="preserve">Union </w:t>
            </w:r>
            <w:r w:rsidR="00EF79F2" w:rsidRPr="00A312E4">
              <w:rPr>
                <w:b w:val="0"/>
                <w:sz w:val="20"/>
                <w:szCs w:val="20"/>
              </w:rPr>
              <w:t>e</w:t>
            </w:r>
            <w:r w:rsidRPr="00A312E4">
              <w:rPr>
                <w:b w:val="0"/>
                <w:sz w:val="20"/>
                <w:szCs w:val="20"/>
              </w:rPr>
              <w:t>uropéenne</w:t>
            </w:r>
          </w:p>
        </w:tc>
        <w:tc>
          <w:tcPr>
            <w:tcW w:w="2766" w:type="dxa"/>
          </w:tcPr>
          <w:p w14:paraId="44FF4F96" w14:textId="55FA6825" w:rsidR="00CD5F4C" w:rsidRPr="00A312E4" w:rsidDel="007A5972" w:rsidRDefault="00153C35" w:rsidP="0022681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A312E4">
              <w:rPr>
                <w:sz w:val="20"/>
                <w:szCs w:val="20"/>
              </w:rPr>
              <w:t>1.765</w:t>
            </w:r>
          </w:p>
        </w:tc>
      </w:tr>
      <w:tr w:rsidR="00CD5F4C" w:rsidRPr="00A312E4" w14:paraId="38F32632" w14:textId="77777777" w:rsidTr="00A3190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02" w:type="dxa"/>
          </w:tcPr>
          <w:p w14:paraId="4E4C2F47" w14:textId="77777777" w:rsidR="00CD5F4C" w:rsidRPr="00A312E4" w:rsidDel="007A5972" w:rsidRDefault="00CD5F4C" w:rsidP="00226812">
            <w:pPr>
              <w:autoSpaceDE w:val="0"/>
              <w:autoSpaceDN w:val="0"/>
              <w:adjustRightInd w:val="0"/>
              <w:jc w:val="center"/>
              <w:rPr>
                <w:rFonts w:eastAsia="Times New Roman"/>
                <w:b w:val="0"/>
                <w:sz w:val="20"/>
                <w:szCs w:val="20"/>
              </w:rPr>
            </w:pPr>
            <w:r w:rsidRPr="00A312E4">
              <w:rPr>
                <w:b w:val="0"/>
                <w:sz w:val="20"/>
                <w:szCs w:val="20"/>
              </w:rPr>
              <w:t>Japon</w:t>
            </w:r>
          </w:p>
        </w:tc>
        <w:tc>
          <w:tcPr>
            <w:tcW w:w="2766" w:type="dxa"/>
          </w:tcPr>
          <w:p w14:paraId="5BBE91FB" w14:textId="2552E761" w:rsidR="00CD5F4C" w:rsidRPr="00A312E4" w:rsidDel="007A5972" w:rsidRDefault="00B66512" w:rsidP="0022681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A312E4">
              <w:rPr>
                <w:sz w:val="20"/>
                <w:szCs w:val="20"/>
              </w:rPr>
              <w:t>1.630</w:t>
            </w:r>
          </w:p>
        </w:tc>
      </w:tr>
      <w:tr w:rsidR="00CD5F4C" w:rsidRPr="00A312E4" w14:paraId="3FA8B599" w14:textId="77777777" w:rsidTr="00A3190B">
        <w:trPr>
          <w:trHeight w:val="113"/>
        </w:trPr>
        <w:tc>
          <w:tcPr>
            <w:cnfStyle w:val="001000000000" w:firstRow="0" w:lastRow="0" w:firstColumn="1" w:lastColumn="0" w:oddVBand="0" w:evenVBand="0" w:oddHBand="0" w:evenHBand="0" w:firstRowFirstColumn="0" w:firstRowLastColumn="0" w:lastRowFirstColumn="0" w:lastRowLastColumn="0"/>
            <w:tcW w:w="3402" w:type="dxa"/>
          </w:tcPr>
          <w:p w14:paraId="630D2819" w14:textId="77777777" w:rsidR="00CD5F4C" w:rsidRPr="00A312E4" w:rsidDel="007A5972" w:rsidRDefault="00CD5F4C" w:rsidP="00226812">
            <w:pPr>
              <w:autoSpaceDE w:val="0"/>
              <w:autoSpaceDN w:val="0"/>
              <w:adjustRightInd w:val="0"/>
              <w:jc w:val="center"/>
              <w:rPr>
                <w:rFonts w:eastAsia="Times New Roman"/>
                <w:b w:val="0"/>
                <w:sz w:val="20"/>
                <w:szCs w:val="20"/>
              </w:rPr>
            </w:pPr>
            <w:r w:rsidRPr="00A312E4">
              <w:rPr>
                <w:b w:val="0"/>
                <w:sz w:val="20"/>
                <w:szCs w:val="20"/>
              </w:rPr>
              <w:t>Corée</w:t>
            </w:r>
          </w:p>
        </w:tc>
        <w:tc>
          <w:tcPr>
            <w:tcW w:w="2766" w:type="dxa"/>
          </w:tcPr>
          <w:p w14:paraId="0AC8426B" w14:textId="1015353B" w:rsidR="00CD5F4C" w:rsidRPr="00A312E4" w:rsidDel="007A5972" w:rsidRDefault="00B66512" w:rsidP="0022681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A312E4">
              <w:rPr>
                <w:sz w:val="20"/>
                <w:szCs w:val="20"/>
              </w:rPr>
              <w:t>170</w:t>
            </w:r>
          </w:p>
        </w:tc>
      </w:tr>
      <w:tr w:rsidR="00CD5F4C" w:rsidRPr="00A312E4" w14:paraId="394E3150" w14:textId="77777777" w:rsidTr="00A3190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02" w:type="dxa"/>
          </w:tcPr>
          <w:p w14:paraId="464B874C" w14:textId="77777777" w:rsidR="00CD5F4C" w:rsidRPr="00A312E4" w:rsidDel="007A5972" w:rsidRDefault="00CD5F4C" w:rsidP="00226812">
            <w:pPr>
              <w:autoSpaceDE w:val="0"/>
              <w:autoSpaceDN w:val="0"/>
              <w:adjustRightInd w:val="0"/>
              <w:jc w:val="center"/>
              <w:rPr>
                <w:rFonts w:eastAsia="Times New Roman"/>
                <w:b w:val="0"/>
                <w:sz w:val="20"/>
                <w:szCs w:val="20"/>
              </w:rPr>
            </w:pPr>
            <w:r w:rsidRPr="00A312E4">
              <w:rPr>
                <w:b w:val="0"/>
                <w:sz w:val="20"/>
                <w:szCs w:val="20"/>
              </w:rPr>
              <w:t>Namibie</w:t>
            </w:r>
          </w:p>
        </w:tc>
        <w:tc>
          <w:tcPr>
            <w:tcW w:w="2766" w:type="dxa"/>
          </w:tcPr>
          <w:p w14:paraId="5A924AD8" w14:textId="627BF2CC" w:rsidR="00CD5F4C" w:rsidRPr="00A312E4" w:rsidDel="007A5972" w:rsidRDefault="00B66512" w:rsidP="0022681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A312E4">
              <w:rPr>
                <w:sz w:val="20"/>
                <w:szCs w:val="20"/>
              </w:rPr>
              <w:t>4.320</w:t>
            </w:r>
          </w:p>
        </w:tc>
      </w:tr>
      <w:tr w:rsidR="00CD5F4C" w:rsidRPr="00A312E4" w14:paraId="72C13960" w14:textId="77777777" w:rsidTr="00A3190B">
        <w:trPr>
          <w:trHeight w:val="113"/>
        </w:trPr>
        <w:tc>
          <w:tcPr>
            <w:cnfStyle w:val="001000000000" w:firstRow="0" w:lastRow="0" w:firstColumn="1" w:lastColumn="0" w:oddVBand="0" w:evenVBand="0" w:oddHBand="0" w:evenHBand="0" w:firstRowFirstColumn="0" w:firstRowLastColumn="0" w:lastRowFirstColumn="0" w:lastRowLastColumn="0"/>
            <w:tcW w:w="3402" w:type="dxa"/>
          </w:tcPr>
          <w:p w14:paraId="21EFD87A" w14:textId="77777777" w:rsidR="00CD5F4C" w:rsidRPr="00A312E4" w:rsidDel="007A5972" w:rsidRDefault="00CD5F4C" w:rsidP="00226812">
            <w:pPr>
              <w:autoSpaceDE w:val="0"/>
              <w:autoSpaceDN w:val="0"/>
              <w:adjustRightInd w:val="0"/>
              <w:jc w:val="center"/>
              <w:rPr>
                <w:rFonts w:eastAsia="Times New Roman"/>
                <w:b w:val="0"/>
                <w:sz w:val="20"/>
                <w:szCs w:val="20"/>
              </w:rPr>
            </w:pPr>
            <w:r w:rsidRPr="00A312E4">
              <w:rPr>
                <w:b w:val="0"/>
                <w:sz w:val="20"/>
                <w:szCs w:val="20"/>
              </w:rPr>
              <w:t>Afrique du Sud</w:t>
            </w:r>
          </w:p>
        </w:tc>
        <w:tc>
          <w:tcPr>
            <w:tcW w:w="2766" w:type="dxa"/>
          </w:tcPr>
          <w:p w14:paraId="0950906C" w14:textId="20387D8E" w:rsidR="00CD5F4C" w:rsidRPr="00A312E4" w:rsidDel="007A5972" w:rsidRDefault="00B66512" w:rsidP="00226812">
            <w:pPr>
              <w:jc w:val="center"/>
              <w:cnfStyle w:val="000000000000" w:firstRow="0" w:lastRow="0" w:firstColumn="0" w:lastColumn="0" w:oddVBand="0" w:evenVBand="0" w:oddHBand="0" w:evenHBand="0" w:firstRowFirstColumn="0" w:firstRowLastColumn="0" w:lastRowFirstColumn="0" w:lastRowLastColumn="0"/>
              <w:rPr>
                <w:sz w:val="20"/>
                <w:szCs w:val="20"/>
              </w:rPr>
            </w:pPr>
            <w:r w:rsidRPr="00A312E4">
              <w:rPr>
                <w:sz w:val="20"/>
                <w:szCs w:val="20"/>
              </w:rPr>
              <w:t>5.280</w:t>
            </w:r>
          </w:p>
        </w:tc>
      </w:tr>
      <w:tr w:rsidR="00CD5F4C" w:rsidRPr="00A312E4" w14:paraId="7D1E2B25" w14:textId="77777777" w:rsidTr="00A3190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02" w:type="dxa"/>
          </w:tcPr>
          <w:p w14:paraId="79C31647" w14:textId="3D31CB08" w:rsidR="00CD5F4C" w:rsidRPr="00A312E4" w:rsidDel="007A5972" w:rsidRDefault="00CD5F4C" w:rsidP="00226812">
            <w:pPr>
              <w:autoSpaceDE w:val="0"/>
              <w:autoSpaceDN w:val="0"/>
              <w:adjustRightInd w:val="0"/>
              <w:jc w:val="center"/>
              <w:rPr>
                <w:rFonts w:eastAsia="Times New Roman"/>
                <w:b w:val="0"/>
                <w:sz w:val="20"/>
                <w:szCs w:val="20"/>
              </w:rPr>
            </w:pPr>
            <w:r w:rsidRPr="00A312E4">
              <w:rPr>
                <w:b w:val="0"/>
                <w:sz w:val="20"/>
                <w:szCs w:val="20"/>
              </w:rPr>
              <w:t>Saint-Vincent-et-les-Grenadines</w:t>
            </w:r>
          </w:p>
        </w:tc>
        <w:tc>
          <w:tcPr>
            <w:tcW w:w="2766" w:type="dxa"/>
          </w:tcPr>
          <w:p w14:paraId="4C3A8C1E" w14:textId="3A46D32B" w:rsidR="00CD5F4C" w:rsidRPr="00A312E4" w:rsidDel="007A5972" w:rsidRDefault="00B66512" w:rsidP="0022681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A312E4">
              <w:rPr>
                <w:sz w:val="20"/>
                <w:szCs w:val="20"/>
              </w:rPr>
              <w:t>170</w:t>
            </w:r>
          </w:p>
        </w:tc>
      </w:tr>
      <w:tr w:rsidR="00CD5F4C" w:rsidRPr="00A312E4" w14:paraId="0E9C9115" w14:textId="77777777" w:rsidTr="00A3190B">
        <w:trPr>
          <w:trHeight w:val="113"/>
        </w:trPr>
        <w:tc>
          <w:tcPr>
            <w:cnfStyle w:val="001000000000" w:firstRow="0" w:lastRow="0" w:firstColumn="1" w:lastColumn="0" w:oddVBand="0" w:evenVBand="0" w:oddHBand="0" w:evenHBand="0" w:firstRowFirstColumn="0" w:firstRowLastColumn="0" w:lastRowFirstColumn="0" w:lastRowLastColumn="0"/>
            <w:tcW w:w="3402" w:type="dxa"/>
          </w:tcPr>
          <w:p w14:paraId="096A18E4" w14:textId="186BE3C4" w:rsidR="00CD5F4C" w:rsidRPr="00A312E4" w:rsidDel="007A5972" w:rsidRDefault="00543347" w:rsidP="00226812">
            <w:pPr>
              <w:autoSpaceDE w:val="0"/>
              <w:autoSpaceDN w:val="0"/>
              <w:adjustRightInd w:val="0"/>
              <w:jc w:val="center"/>
              <w:rPr>
                <w:rFonts w:eastAsia="Times New Roman"/>
                <w:b w:val="0"/>
                <w:sz w:val="20"/>
                <w:szCs w:val="20"/>
              </w:rPr>
            </w:pPr>
            <w:r w:rsidRPr="00A312E4">
              <w:rPr>
                <w:b w:val="0"/>
                <w:sz w:val="20"/>
                <w:szCs w:val="20"/>
              </w:rPr>
              <w:t xml:space="preserve">Royaume-Uni </w:t>
            </w:r>
            <w:r w:rsidR="009036D3" w:rsidRPr="00A312E4">
              <w:rPr>
                <w:rStyle w:val="FootnoteReference"/>
                <w:rFonts w:eastAsia="Times New Roman"/>
                <w:b w:val="0"/>
                <w:sz w:val="20"/>
                <w:szCs w:val="20"/>
                <w:lang w:eastAsia="en-ZA"/>
              </w:rPr>
              <w:footnoteReference w:id="1"/>
            </w:r>
          </w:p>
        </w:tc>
        <w:tc>
          <w:tcPr>
            <w:tcW w:w="2766" w:type="dxa"/>
          </w:tcPr>
          <w:p w14:paraId="46498C6A" w14:textId="5E88C8A8" w:rsidR="00CD5F4C" w:rsidRPr="00A312E4" w:rsidDel="007A5972" w:rsidRDefault="00B66512" w:rsidP="0022681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A312E4">
              <w:rPr>
                <w:sz w:val="20"/>
                <w:szCs w:val="20"/>
              </w:rPr>
              <w:t>120</w:t>
            </w:r>
          </w:p>
        </w:tc>
      </w:tr>
      <w:tr w:rsidR="00CD5F4C" w:rsidRPr="00A312E4" w14:paraId="73B259AB" w14:textId="77777777" w:rsidTr="00A3190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402" w:type="dxa"/>
          </w:tcPr>
          <w:p w14:paraId="27768C8D" w14:textId="77777777" w:rsidR="00CD5F4C" w:rsidRPr="00A312E4" w:rsidDel="007A5972" w:rsidRDefault="00CD5F4C" w:rsidP="00226812">
            <w:pPr>
              <w:autoSpaceDE w:val="0"/>
              <w:autoSpaceDN w:val="0"/>
              <w:adjustRightInd w:val="0"/>
              <w:jc w:val="center"/>
              <w:rPr>
                <w:rFonts w:eastAsia="Times New Roman"/>
                <w:b w:val="0"/>
                <w:sz w:val="20"/>
                <w:szCs w:val="20"/>
              </w:rPr>
            </w:pPr>
            <w:r w:rsidRPr="00A312E4">
              <w:rPr>
                <w:b w:val="0"/>
                <w:sz w:val="20"/>
                <w:szCs w:val="20"/>
              </w:rPr>
              <w:t>Uruguay</w:t>
            </w:r>
          </w:p>
        </w:tc>
        <w:tc>
          <w:tcPr>
            <w:tcW w:w="2766" w:type="dxa"/>
          </w:tcPr>
          <w:p w14:paraId="09FAC05D" w14:textId="4086B9E3" w:rsidR="00CD5F4C" w:rsidRPr="00A312E4" w:rsidDel="007A5972" w:rsidRDefault="00B66512" w:rsidP="0022681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20"/>
                <w:szCs w:val="20"/>
              </w:rPr>
            </w:pPr>
            <w:r w:rsidRPr="00A312E4">
              <w:rPr>
                <w:sz w:val="20"/>
                <w:szCs w:val="20"/>
              </w:rPr>
              <w:t>530</w:t>
            </w:r>
          </w:p>
        </w:tc>
      </w:tr>
      <w:tr w:rsidR="00C55B5E" w:rsidRPr="00A312E4" w14:paraId="4CF1A7D7" w14:textId="77777777" w:rsidTr="00A3190B">
        <w:trPr>
          <w:trHeight w:val="113"/>
        </w:trPr>
        <w:tc>
          <w:tcPr>
            <w:cnfStyle w:val="001000000000" w:firstRow="0" w:lastRow="0" w:firstColumn="1" w:lastColumn="0" w:oddVBand="0" w:evenVBand="0" w:oddHBand="0" w:evenHBand="0" w:firstRowFirstColumn="0" w:firstRowLastColumn="0" w:lastRowFirstColumn="0" w:lastRowLastColumn="0"/>
            <w:tcW w:w="3402" w:type="dxa"/>
          </w:tcPr>
          <w:p w14:paraId="6840BFEC" w14:textId="64DC0B09" w:rsidR="00C55B5E" w:rsidRPr="00A312E4" w:rsidRDefault="00C55B5E" w:rsidP="00226812">
            <w:pPr>
              <w:autoSpaceDE w:val="0"/>
              <w:autoSpaceDN w:val="0"/>
              <w:adjustRightInd w:val="0"/>
              <w:jc w:val="center"/>
              <w:rPr>
                <w:rFonts w:eastAsia="Times New Roman"/>
                <w:b w:val="0"/>
                <w:sz w:val="20"/>
                <w:szCs w:val="20"/>
              </w:rPr>
            </w:pPr>
            <w:r w:rsidRPr="00A312E4">
              <w:rPr>
                <w:b w:val="0"/>
                <w:sz w:val="20"/>
                <w:szCs w:val="20"/>
              </w:rPr>
              <w:t>Philippines</w:t>
            </w:r>
          </w:p>
        </w:tc>
        <w:tc>
          <w:tcPr>
            <w:tcW w:w="2766" w:type="dxa"/>
          </w:tcPr>
          <w:p w14:paraId="170F9C73" w14:textId="28370CAB" w:rsidR="00C55B5E" w:rsidRPr="00A312E4" w:rsidRDefault="007B6513" w:rsidP="0022681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A312E4">
              <w:rPr>
                <w:sz w:val="20"/>
                <w:szCs w:val="20"/>
              </w:rPr>
              <w:t>30</w:t>
            </w:r>
          </w:p>
        </w:tc>
      </w:tr>
    </w:tbl>
    <w:p w14:paraId="2E676D7D" w14:textId="09EC0838" w:rsidR="0071582C" w:rsidRPr="00A312E4" w:rsidRDefault="0071582C" w:rsidP="00A3190B">
      <w:pPr>
        <w:autoSpaceDE w:val="0"/>
        <w:autoSpaceDN w:val="0"/>
        <w:adjustRightInd w:val="0"/>
        <w:spacing w:line="276" w:lineRule="auto"/>
        <w:ind w:leftChars="354" w:left="1276" w:hangingChars="266" w:hanging="426"/>
        <w:jc w:val="both"/>
        <w:rPr>
          <w:rFonts w:eastAsia="MS Mincho"/>
          <w:sz w:val="16"/>
          <w:szCs w:val="16"/>
        </w:rPr>
      </w:pPr>
      <w:r w:rsidRPr="00A312E4">
        <w:rPr>
          <w:sz w:val="16"/>
          <w:szCs w:val="16"/>
        </w:rPr>
        <w:t>* Les transferts annuels suivants des limites de capture devront être autorisés :</w:t>
      </w:r>
    </w:p>
    <w:p w14:paraId="50E026E8" w14:textId="39CCD6E5" w:rsidR="0071582C" w:rsidRPr="00A312E4" w:rsidRDefault="0071582C" w:rsidP="00A3190B">
      <w:pPr>
        <w:autoSpaceDE w:val="0"/>
        <w:autoSpaceDN w:val="0"/>
        <w:adjustRightInd w:val="0"/>
        <w:spacing w:line="276" w:lineRule="auto"/>
        <w:ind w:leftChars="530" w:left="1699" w:hangingChars="267" w:hanging="427"/>
        <w:jc w:val="both"/>
        <w:rPr>
          <w:rFonts w:eastAsia="MS Mincho"/>
          <w:sz w:val="16"/>
          <w:szCs w:val="16"/>
        </w:rPr>
      </w:pPr>
      <w:r w:rsidRPr="00A312E4">
        <w:rPr>
          <w:sz w:val="16"/>
          <w:szCs w:val="16"/>
        </w:rPr>
        <w:t>Du Brésil au Japon : 100 t en 2023-2026</w:t>
      </w:r>
    </w:p>
    <w:p w14:paraId="275D2CB4" w14:textId="07F8744F" w:rsidR="0071582C" w:rsidRPr="00A312E4" w:rsidRDefault="0071582C" w:rsidP="00A3190B">
      <w:pPr>
        <w:autoSpaceDE w:val="0"/>
        <w:autoSpaceDN w:val="0"/>
        <w:adjustRightInd w:val="0"/>
        <w:spacing w:line="276" w:lineRule="auto"/>
        <w:ind w:leftChars="530" w:left="1699" w:hangingChars="267" w:hanging="427"/>
        <w:jc w:val="both"/>
        <w:rPr>
          <w:rFonts w:eastAsia="MS Mincho"/>
          <w:sz w:val="16"/>
          <w:szCs w:val="16"/>
        </w:rPr>
      </w:pPr>
      <w:r w:rsidRPr="00A312E4">
        <w:rPr>
          <w:sz w:val="16"/>
          <w:szCs w:val="16"/>
        </w:rPr>
        <w:t>De l’Uruguay au Japon : 100 t en 2023-2026</w:t>
      </w:r>
    </w:p>
    <w:p w14:paraId="67B45033" w14:textId="333F4A82" w:rsidR="00B24273" w:rsidRPr="00A312E4" w:rsidRDefault="00B24273" w:rsidP="00A3190B">
      <w:pPr>
        <w:autoSpaceDE w:val="0"/>
        <w:autoSpaceDN w:val="0"/>
        <w:adjustRightInd w:val="0"/>
        <w:spacing w:line="276" w:lineRule="auto"/>
        <w:ind w:leftChars="530" w:left="1699" w:hangingChars="267" w:hanging="427"/>
        <w:jc w:val="both"/>
        <w:rPr>
          <w:rFonts w:eastAsia="Calibri"/>
          <w:sz w:val="16"/>
          <w:szCs w:val="16"/>
        </w:rPr>
      </w:pPr>
      <w:r w:rsidRPr="00A312E4">
        <w:rPr>
          <w:sz w:val="16"/>
          <w:szCs w:val="16"/>
        </w:rPr>
        <w:t>De l’Afrique du Su</w:t>
      </w:r>
      <w:r w:rsidR="00BF4FAE" w:rsidRPr="00A312E4">
        <w:rPr>
          <w:sz w:val="16"/>
          <w:szCs w:val="16"/>
        </w:rPr>
        <w:t>d au Japon : 100 t en 2023-2026</w:t>
      </w:r>
    </w:p>
    <w:p w14:paraId="3C88B4EE" w14:textId="77777777" w:rsidR="0071582C" w:rsidRPr="00A312E4" w:rsidRDefault="0071582C" w:rsidP="00CD5F4C">
      <w:pPr>
        <w:autoSpaceDE w:val="0"/>
        <w:autoSpaceDN w:val="0"/>
        <w:adjustRightInd w:val="0"/>
        <w:spacing w:line="276" w:lineRule="auto"/>
        <w:ind w:left="720" w:hanging="720"/>
        <w:jc w:val="both"/>
        <w:rPr>
          <w:rFonts w:eastAsia="Calibri"/>
          <w:sz w:val="20"/>
          <w:szCs w:val="20"/>
        </w:rPr>
      </w:pPr>
    </w:p>
    <w:p w14:paraId="48683A6A" w14:textId="36D70B82" w:rsidR="00CD5F4C" w:rsidRPr="00A312E4" w:rsidRDefault="00226812" w:rsidP="00226812">
      <w:pPr>
        <w:autoSpaceDE w:val="0"/>
        <w:autoSpaceDN w:val="0"/>
        <w:adjustRightInd w:val="0"/>
        <w:ind w:left="851" w:hanging="425"/>
        <w:jc w:val="both"/>
        <w:rPr>
          <w:color w:val="000000"/>
          <w:sz w:val="20"/>
          <w:szCs w:val="20"/>
        </w:rPr>
      </w:pPr>
      <w:r w:rsidRPr="00A312E4">
        <w:rPr>
          <w:sz w:val="20"/>
          <w:szCs w:val="20"/>
        </w:rPr>
        <w:t xml:space="preserve">b) </w:t>
      </w:r>
      <w:r w:rsidRPr="00A312E4">
        <w:rPr>
          <w:sz w:val="20"/>
          <w:szCs w:val="20"/>
        </w:rPr>
        <w:tab/>
      </w:r>
      <w:r w:rsidR="00CD5F4C" w:rsidRPr="00A312E4">
        <w:rPr>
          <w:sz w:val="20"/>
          <w:szCs w:val="20"/>
        </w:rPr>
        <w:t xml:space="preserve">Toutes les autres CPC non mentionnées ci-dessus devront limiter leurs captures à </w:t>
      </w:r>
      <w:r w:rsidR="00CD5F4C" w:rsidRPr="00A312E4">
        <w:rPr>
          <w:color w:val="000000"/>
          <w:sz w:val="20"/>
          <w:szCs w:val="20"/>
        </w:rPr>
        <w:t>30 t.</w:t>
      </w:r>
    </w:p>
    <w:p w14:paraId="72E158C9" w14:textId="77777777" w:rsidR="00226812" w:rsidRPr="00A312E4" w:rsidRDefault="00226812" w:rsidP="00226812">
      <w:pPr>
        <w:autoSpaceDE w:val="0"/>
        <w:autoSpaceDN w:val="0"/>
        <w:adjustRightInd w:val="0"/>
        <w:ind w:left="851" w:hanging="425"/>
        <w:jc w:val="both"/>
        <w:rPr>
          <w:color w:val="000000"/>
          <w:sz w:val="20"/>
          <w:szCs w:val="20"/>
        </w:rPr>
      </w:pPr>
    </w:p>
    <w:p w14:paraId="6195C4C1" w14:textId="40E90F24" w:rsidR="00CD5F4C" w:rsidRPr="00A312E4" w:rsidRDefault="00226812" w:rsidP="00226812">
      <w:pPr>
        <w:autoSpaceDE w:val="0"/>
        <w:autoSpaceDN w:val="0"/>
        <w:adjustRightInd w:val="0"/>
        <w:ind w:left="851" w:hanging="425"/>
        <w:jc w:val="both"/>
        <w:rPr>
          <w:color w:val="000000"/>
          <w:sz w:val="20"/>
          <w:szCs w:val="20"/>
        </w:rPr>
      </w:pPr>
      <w:r w:rsidRPr="00A312E4">
        <w:rPr>
          <w:color w:val="000000"/>
          <w:sz w:val="20"/>
          <w:szCs w:val="20"/>
        </w:rPr>
        <w:t>c)</w:t>
      </w:r>
      <w:r w:rsidRPr="00A312E4">
        <w:rPr>
          <w:color w:val="000000"/>
          <w:sz w:val="20"/>
          <w:szCs w:val="20"/>
        </w:rPr>
        <w:tab/>
        <w:t>Les limites de capture décrites dans la présente Recommandation ne constituent pas des droits à long terme et sont sans préjudice de tout futur processus d’allocation.</w:t>
      </w:r>
    </w:p>
    <w:p w14:paraId="251C02F8" w14:textId="77777777" w:rsidR="00226812" w:rsidRPr="00A312E4" w:rsidRDefault="00226812" w:rsidP="00226812">
      <w:pPr>
        <w:tabs>
          <w:tab w:val="left" w:pos="284"/>
        </w:tabs>
        <w:autoSpaceDE w:val="0"/>
        <w:autoSpaceDN w:val="0"/>
        <w:adjustRightInd w:val="0"/>
        <w:ind w:left="284"/>
        <w:jc w:val="both"/>
        <w:rPr>
          <w:rFonts w:eastAsia="Calibri"/>
          <w:sz w:val="20"/>
          <w:szCs w:val="20"/>
        </w:rPr>
      </w:pPr>
    </w:p>
    <w:p w14:paraId="49AA0E8F" w14:textId="77777777" w:rsidR="00CD5F4C" w:rsidRPr="00A312E4" w:rsidRDefault="00CD5F4C" w:rsidP="00E2640A">
      <w:pPr>
        <w:tabs>
          <w:tab w:val="left" w:pos="567"/>
          <w:tab w:val="left" w:pos="851"/>
        </w:tabs>
        <w:autoSpaceDE w:val="0"/>
        <w:autoSpaceDN w:val="0"/>
        <w:adjustRightInd w:val="0"/>
        <w:ind w:left="426" w:hanging="426"/>
        <w:jc w:val="both"/>
        <w:rPr>
          <w:rFonts w:eastAsia="Calibri"/>
          <w:sz w:val="20"/>
          <w:szCs w:val="20"/>
        </w:rPr>
      </w:pPr>
      <w:r w:rsidRPr="00A312E4">
        <w:rPr>
          <w:sz w:val="20"/>
          <w:szCs w:val="20"/>
        </w:rPr>
        <w:t xml:space="preserve">4. </w:t>
      </w:r>
      <w:r w:rsidRPr="00A312E4">
        <w:rPr>
          <w:sz w:val="20"/>
          <w:szCs w:val="20"/>
        </w:rPr>
        <w:tab/>
        <w:t>Toute partie non utilisée ou dépassant les limites de capture individuelles annuelles pourrait être ajoutée au, ou devra être déduite, selon le cas, de la limite de capture respective pendant ou avant l'année d'ajustement de la façon suivante pour le germon de l’Atlantique Sud :</w:t>
      </w:r>
    </w:p>
    <w:p w14:paraId="1BFD53C0" w14:textId="77777777" w:rsidR="00CD5F4C" w:rsidRPr="00A312E4" w:rsidRDefault="00CD5F4C" w:rsidP="00CD5F4C">
      <w:pPr>
        <w:tabs>
          <w:tab w:val="left" w:pos="284"/>
          <w:tab w:val="left" w:pos="567"/>
          <w:tab w:val="left" w:pos="851"/>
        </w:tabs>
        <w:autoSpaceDE w:val="0"/>
        <w:autoSpaceDN w:val="0"/>
        <w:adjustRightInd w:val="0"/>
        <w:jc w:val="both"/>
        <w:rPr>
          <w:rFonts w:eastAsia="Calibri"/>
          <w:sz w:val="20"/>
          <w:szCs w:val="20"/>
        </w:rPr>
      </w:pPr>
    </w:p>
    <w:p w14:paraId="6082B162" w14:textId="77777777" w:rsidR="00CD5F4C" w:rsidRPr="00A312E4" w:rsidRDefault="00CD5F4C" w:rsidP="00C72963">
      <w:pPr>
        <w:pStyle w:val="ListParagraph"/>
        <w:numPr>
          <w:ilvl w:val="0"/>
          <w:numId w:val="13"/>
        </w:numPr>
        <w:ind w:left="851" w:hanging="425"/>
        <w:jc w:val="both"/>
        <w:rPr>
          <w:rFonts w:eastAsia="Calibri"/>
          <w:sz w:val="20"/>
          <w:szCs w:val="20"/>
        </w:rPr>
      </w:pPr>
      <w:r w:rsidRPr="00A312E4">
        <w:rPr>
          <w:sz w:val="20"/>
          <w:szCs w:val="20"/>
        </w:rPr>
        <w:t xml:space="preserve">Les sous-consommations du quota annuel pourraient être ajoutées au quota respectif de chaque CPC, à hauteur de 25% maximum de leur quota initial, de la façon suivante : </w:t>
      </w:r>
    </w:p>
    <w:p w14:paraId="10DBE521" w14:textId="77777777" w:rsidR="00CD5F4C" w:rsidRPr="00A312E4" w:rsidRDefault="00CD5F4C" w:rsidP="00CD5F4C">
      <w:pPr>
        <w:pStyle w:val="ListParagraph"/>
        <w:tabs>
          <w:tab w:val="left" w:pos="284"/>
          <w:tab w:val="left" w:pos="567"/>
          <w:tab w:val="left" w:pos="851"/>
        </w:tabs>
        <w:ind w:left="645"/>
        <w:rPr>
          <w:rFonts w:eastAsia="Calibri"/>
          <w:sz w:val="20"/>
          <w:szCs w:val="20"/>
        </w:rPr>
      </w:pPr>
    </w:p>
    <w:tbl>
      <w:tblPr>
        <w:tblStyle w:val="LightShading1"/>
        <w:tblW w:w="0" w:type="auto"/>
        <w:tblInd w:w="2802" w:type="dxa"/>
        <w:tblLook w:val="04A0" w:firstRow="1" w:lastRow="0" w:firstColumn="1" w:lastColumn="0" w:noHBand="0" w:noVBand="1"/>
      </w:tblPr>
      <w:tblGrid>
        <w:gridCol w:w="1864"/>
        <w:gridCol w:w="2003"/>
      </w:tblGrid>
      <w:tr w:rsidR="00CD5F4C" w:rsidRPr="00A312E4" w14:paraId="7B911B8C" w14:textId="77777777" w:rsidTr="000745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F1E560" w14:textId="77777777" w:rsidR="00CD5F4C" w:rsidRPr="00A312E4" w:rsidRDefault="00CD5F4C" w:rsidP="008B3E7B">
            <w:pPr>
              <w:ind w:left="459" w:hanging="459"/>
              <w:jc w:val="center"/>
              <w:rPr>
                <w:b w:val="0"/>
                <w:i/>
                <w:sz w:val="20"/>
                <w:szCs w:val="20"/>
              </w:rPr>
            </w:pPr>
            <w:r w:rsidRPr="00A312E4">
              <w:rPr>
                <w:b w:val="0"/>
                <w:i/>
                <w:sz w:val="20"/>
                <w:szCs w:val="20"/>
              </w:rPr>
              <w:t>Année de la capture</w:t>
            </w:r>
          </w:p>
        </w:tc>
        <w:tc>
          <w:tcPr>
            <w:tcW w:w="0" w:type="auto"/>
          </w:tcPr>
          <w:p w14:paraId="00F96B2C" w14:textId="77777777" w:rsidR="00CD5F4C" w:rsidRPr="00A312E4" w:rsidRDefault="00CD5F4C" w:rsidP="008B3E7B">
            <w:pPr>
              <w:ind w:right="151"/>
              <w:jc w:val="center"/>
              <w:cnfStyle w:val="100000000000" w:firstRow="1" w:lastRow="0" w:firstColumn="0" w:lastColumn="0" w:oddVBand="0" w:evenVBand="0" w:oddHBand="0" w:evenHBand="0" w:firstRowFirstColumn="0" w:firstRowLastColumn="0" w:lastRowFirstColumn="0" w:lastRowLastColumn="0"/>
              <w:rPr>
                <w:b w:val="0"/>
                <w:i/>
                <w:sz w:val="20"/>
                <w:szCs w:val="20"/>
              </w:rPr>
            </w:pPr>
            <w:r w:rsidRPr="00A312E4">
              <w:rPr>
                <w:b w:val="0"/>
                <w:i/>
                <w:sz w:val="20"/>
                <w:szCs w:val="20"/>
              </w:rPr>
              <w:t>Année d’ajustement</w:t>
            </w:r>
          </w:p>
        </w:tc>
      </w:tr>
      <w:tr w:rsidR="00CD5F4C" w:rsidRPr="00A312E4" w14:paraId="21DC7383" w14:textId="77777777" w:rsidTr="00074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DABC48" w14:textId="732BE331" w:rsidR="00CD5F4C" w:rsidRPr="00A312E4" w:rsidRDefault="00CD5F4C" w:rsidP="008B3E7B">
            <w:pPr>
              <w:jc w:val="center"/>
              <w:rPr>
                <w:b w:val="0"/>
                <w:sz w:val="20"/>
                <w:szCs w:val="20"/>
              </w:rPr>
            </w:pPr>
            <w:r w:rsidRPr="00A312E4">
              <w:rPr>
                <w:b w:val="0"/>
                <w:sz w:val="20"/>
                <w:szCs w:val="20"/>
              </w:rPr>
              <w:t>2022</w:t>
            </w:r>
          </w:p>
        </w:tc>
        <w:tc>
          <w:tcPr>
            <w:tcW w:w="0" w:type="auto"/>
          </w:tcPr>
          <w:p w14:paraId="4A75BCE5" w14:textId="23099F1A" w:rsidR="00CD5F4C" w:rsidRPr="00A312E4" w:rsidRDefault="00CD5F4C" w:rsidP="008B3E7B">
            <w:pPr>
              <w:jc w:val="center"/>
              <w:cnfStyle w:val="000000100000" w:firstRow="0" w:lastRow="0" w:firstColumn="0" w:lastColumn="0" w:oddVBand="0" w:evenVBand="0" w:oddHBand="1" w:evenHBand="0" w:firstRowFirstColumn="0" w:firstRowLastColumn="0" w:lastRowFirstColumn="0" w:lastRowLastColumn="0"/>
              <w:rPr>
                <w:sz w:val="20"/>
                <w:szCs w:val="20"/>
              </w:rPr>
            </w:pPr>
            <w:r w:rsidRPr="00A312E4">
              <w:rPr>
                <w:sz w:val="20"/>
                <w:szCs w:val="20"/>
              </w:rPr>
              <w:t>2024</w:t>
            </w:r>
          </w:p>
        </w:tc>
      </w:tr>
      <w:tr w:rsidR="00CD5F4C" w:rsidRPr="00A312E4" w14:paraId="1D0F153B" w14:textId="77777777" w:rsidTr="00074520">
        <w:tc>
          <w:tcPr>
            <w:cnfStyle w:val="001000000000" w:firstRow="0" w:lastRow="0" w:firstColumn="1" w:lastColumn="0" w:oddVBand="0" w:evenVBand="0" w:oddHBand="0" w:evenHBand="0" w:firstRowFirstColumn="0" w:firstRowLastColumn="0" w:lastRowFirstColumn="0" w:lastRowLastColumn="0"/>
            <w:tcW w:w="0" w:type="auto"/>
          </w:tcPr>
          <w:p w14:paraId="214825A9" w14:textId="26C366DF" w:rsidR="00CD5F4C" w:rsidRPr="00A312E4" w:rsidRDefault="00CD5F4C" w:rsidP="008B3E7B">
            <w:pPr>
              <w:jc w:val="center"/>
              <w:rPr>
                <w:b w:val="0"/>
                <w:sz w:val="20"/>
                <w:szCs w:val="20"/>
              </w:rPr>
            </w:pPr>
            <w:r w:rsidRPr="00A312E4">
              <w:rPr>
                <w:b w:val="0"/>
                <w:sz w:val="20"/>
                <w:szCs w:val="20"/>
              </w:rPr>
              <w:t>2023</w:t>
            </w:r>
          </w:p>
        </w:tc>
        <w:tc>
          <w:tcPr>
            <w:tcW w:w="0" w:type="auto"/>
          </w:tcPr>
          <w:p w14:paraId="67D9794B" w14:textId="21916C1D" w:rsidR="00CD5F4C" w:rsidRPr="00A312E4" w:rsidRDefault="00CD5F4C" w:rsidP="008B3E7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312E4">
              <w:rPr>
                <w:sz w:val="20"/>
                <w:szCs w:val="20"/>
              </w:rPr>
              <w:t>2025</w:t>
            </w:r>
          </w:p>
        </w:tc>
      </w:tr>
      <w:tr w:rsidR="00CD5F4C" w:rsidRPr="00A312E4" w14:paraId="3969E0C5" w14:textId="77777777" w:rsidTr="00074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AE29E2" w14:textId="4942EF76" w:rsidR="00CD5F4C" w:rsidRPr="00A312E4" w:rsidRDefault="00CD5F4C" w:rsidP="008B3E7B">
            <w:pPr>
              <w:jc w:val="center"/>
              <w:rPr>
                <w:b w:val="0"/>
                <w:sz w:val="20"/>
                <w:szCs w:val="20"/>
              </w:rPr>
            </w:pPr>
            <w:r w:rsidRPr="00A312E4">
              <w:rPr>
                <w:b w:val="0"/>
                <w:sz w:val="20"/>
                <w:szCs w:val="20"/>
              </w:rPr>
              <w:t>2024</w:t>
            </w:r>
          </w:p>
        </w:tc>
        <w:tc>
          <w:tcPr>
            <w:tcW w:w="0" w:type="auto"/>
          </w:tcPr>
          <w:p w14:paraId="4289BECF" w14:textId="3ED77BC5" w:rsidR="00CD5F4C" w:rsidRPr="00A312E4" w:rsidRDefault="00CD5F4C" w:rsidP="008B3E7B">
            <w:pPr>
              <w:jc w:val="center"/>
              <w:cnfStyle w:val="000000100000" w:firstRow="0" w:lastRow="0" w:firstColumn="0" w:lastColumn="0" w:oddVBand="0" w:evenVBand="0" w:oddHBand="1" w:evenHBand="0" w:firstRowFirstColumn="0" w:firstRowLastColumn="0" w:lastRowFirstColumn="0" w:lastRowLastColumn="0"/>
              <w:rPr>
                <w:sz w:val="20"/>
                <w:szCs w:val="20"/>
              </w:rPr>
            </w:pPr>
            <w:r w:rsidRPr="00A312E4">
              <w:rPr>
                <w:sz w:val="20"/>
                <w:szCs w:val="20"/>
              </w:rPr>
              <w:t>2026</w:t>
            </w:r>
          </w:p>
        </w:tc>
      </w:tr>
      <w:tr w:rsidR="00CD5F4C" w:rsidRPr="00A312E4" w14:paraId="336EA93D" w14:textId="77777777" w:rsidTr="00074520">
        <w:tc>
          <w:tcPr>
            <w:cnfStyle w:val="001000000000" w:firstRow="0" w:lastRow="0" w:firstColumn="1" w:lastColumn="0" w:oddVBand="0" w:evenVBand="0" w:oddHBand="0" w:evenHBand="0" w:firstRowFirstColumn="0" w:firstRowLastColumn="0" w:lastRowFirstColumn="0" w:lastRowLastColumn="0"/>
            <w:tcW w:w="0" w:type="auto"/>
          </w:tcPr>
          <w:p w14:paraId="2DE0A9AD" w14:textId="764BB56F" w:rsidR="00CD5F4C" w:rsidRPr="00A312E4" w:rsidRDefault="00CD5F4C" w:rsidP="008B3E7B">
            <w:pPr>
              <w:jc w:val="center"/>
              <w:rPr>
                <w:b w:val="0"/>
                <w:sz w:val="20"/>
                <w:szCs w:val="20"/>
              </w:rPr>
            </w:pPr>
            <w:r w:rsidRPr="00A312E4">
              <w:rPr>
                <w:b w:val="0"/>
                <w:sz w:val="20"/>
                <w:szCs w:val="20"/>
              </w:rPr>
              <w:t>2025</w:t>
            </w:r>
          </w:p>
        </w:tc>
        <w:tc>
          <w:tcPr>
            <w:tcW w:w="0" w:type="auto"/>
          </w:tcPr>
          <w:p w14:paraId="1EDA2FF6" w14:textId="28263048" w:rsidR="00CD5F4C" w:rsidRPr="00A312E4" w:rsidRDefault="00CD5F4C" w:rsidP="008B3E7B">
            <w:pPr>
              <w:jc w:val="center"/>
              <w:cnfStyle w:val="000000000000" w:firstRow="0" w:lastRow="0" w:firstColumn="0" w:lastColumn="0" w:oddVBand="0" w:evenVBand="0" w:oddHBand="0" w:evenHBand="0" w:firstRowFirstColumn="0" w:firstRowLastColumn="0" w:lastRowFirstColumn="0" w:lastRowLastColumn="0"/>
              <w:rPr>
                <w:sz w:val="20"/>
                <w:szCs w:val="20"/>
              </w:rPr>
            </w:pPr>
            <w:r w:rsidRPr="00A312E4">
              <w:rPr>
                <w:sz w:val="20"/>
                <w:szCs w:val="20"/>
              </w:rPr>
              <w:t>2027</w:t>
            </w:r>
          </w:p>
        </w:tc>
      </w:tr>
      <w:tr w:rsidR="00CD5F4C" w:rsidRPr="00A312E4" w14:paraId="5FD5BD6B" w14:textId="77777777" w:rsidTr="00074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5F5DD4" w14:textId="775C495F" w:rsidR="00CD5F4C" w:rsidRPr="00A312E4" w:rsidRDefault="00CD5F4C" w:rsidP="008B3E7B">
            <w:pPr>
              <w:jc w:val="center"/>
              <w:rPr>
                <w:rFonts w:eastAsia="MS Mincho"/>
                <w:b w:val="0"/>
                <w:sz w:val="20"/>
                <w:szCs w:val="20"/>
              </w:rPr>
            </w:pPr>
            <w:r w:rsidRPr="00A312E4">
              <w:rPr>
                <w:b w:val="0"/>
                <w:sz w:val="20"/>
                <w:szCs w:val="20"/>
              </w:rPr>
              <w:t>2026</w:t>
            </w:r>
          </w:p>
        </w:tc>
        <w:tc>
          <w:tcPr>
            <w:tcW w:w="0" w:type="auto"/>
          </w:tcPr>
          <w:p w14:paraId="609F7198" w14:textId="50942C8A" w:rsidR="00CD5F4C" w:rsidRPr="00A312E4" w:rsidRDefault="00CD5F4C" w:rsidP="008B3E7B">
            <w:pPr>
              <w:jc w:val="center"/>
              <w:cnfStyle w:val="000000100000" w:firstRow="0" w:lastRow="0" w:firstColumn="0" w:lastColumn="0" w:oddVBand="0" w:evenVBand="0" w:oddHBand="1" w:evenHBand="0" w:firstRowFirstColumn="0" w:firstRowLastColumn="0" w:lastRowFirstColumn="0" w:lastRowLastColumn="0"/>
              <w:rPr>
                <w:rFonts w:eastAsia="MS Mincho"/>
                <w:sz w:val="20"/>
                <w:szCs w:val="20"/>
              </w:rPr>
            </w:pPr>
            <w:r w:rsidRPr="00A312E4">
              <w:rPr>
                <w:sz w:val="20"/>
                <w:szCs w:val="20"/>
              </w:rPr>
              <w:t>2028</w:t>
            </w:r>
          </w:p>
        </w:tc>
      </w:tr>
    </w:tbl>
    <w:p w14:paraId="25D08C9C" w14:textId="77777777" w:rsidR="00CD5F4C" w:rsidRPr="00A312E4" w:rsidRDefault="00CD5F4C" w:rsidP="00CD5F4C">
      <w:pPr>
        <w:rPr>
          <w:rFonts w:eastAsia="Calibri"/>
          <w:sz w:val="20"/>
          <w:szCs w:val="20"/>
        </w:rPr>
      </w:pPr>
    </w:p>
    <w:p w14:paraId="4CAF153D" w14:textId="7008E17F" w:rsidR="00CD5F4C" w:rsidRPr="00A312E4" w:rsidRDefault="00CD5F4C" w:rsidP="00C72963">
      <w:pPr>
        <w:pStyle w:val="ListParagraph"/>
        <w:numPr>
          <w:ilvl w:val="0"/>
          <w:numId w:val="13"/>
        </w:numPr>
        <w:ind w:left="851" w:hanging="425"/>
        <w:jc w:val="both"/>
        <w:rPr>
          <w:rFonts w:eastAsia="Calibri"/>
          <w:sz w:val="20"/>
          <w:szCs w:val="20"/>
        </w:rPr>
      </w:pPr>
      <w:r w:rsidRPr="00A312E4">
        <w:rPr>
          <w:sz w:val="20"/>
          <w:szCs w:val="20"/>
        </w:rPr>
        <w:t>Au moment de la tenue de la réunion de la Commission, les C</w:t>
      </w:r>
      <w:r w:rsidR="00FF0666" w:rsidRPr="00A312E4">
        <w:rPr>
          <w:sz w:val="20"/>
          <w:szCs w:val="20"/>
        </w:rPr>
        <w:t>PC ayant des sous-consommations d</w:t>
      </w:r>
      <w:r w:rsidRPr="00A312E4">
        <w:rPr>
          <w:sz w:val="20"/>
          <w:szCs w:val="20"/>
        </w:rPr>
        <w:t>e l'année antérieure devront communiquer le montant de la sous-consommation qu'elles ont l'intention d'utiliser l'année suivante. La sous-consommation totale du TAC d'une année donnée, de laquelle on soustrait les sous-consommations à utiliser par les CPC qui souhaitent le faire, peut être partagée entre les CPC qui souhaitent compléter leur quota, indépendamment de leurs sous-consommations, à hauteur de 25%</w:t>
      </w:r>
      <w:r w:rsidR="00FF0666" w:rsidRPr="00A312E4">
        <w:rPr>
          <w:sz w:val="20"/>
          <w:szCs w:val="20"/>
        </w:rPr>
        <w:t xml:space="preserve"> maximum de leur quota initial.</w:t>
      </w:r>
    </w:p>
    <w:p w14:paraId="73CE9375" w14:textId="77777777" w:rsidR="00CD5F4C" w:rsidRPr="00A312E4" w:rsidRDefault="00CD5F4C" w:rsidP="00CD5F4C">
      <w:pPr>
        <w:tabs>
          <w:tab w:val="left" w:pos="284"/>
          <w:tab w:val="left" w:pos="567"/>
          <w:tab w:val="left" w:pos="851"/>
        </w:tabs>
        <w:jc w:val="both"/>
        <w:rPr>
          <w:rFonts w:eastAsia="Calibri"/>
          <w:sz w:val="20"/>
          <w:szCs w:val="20"/>
        </w:rPr>
      </w:pPr>
    </w:p>
    <w:p w14:paraId="56FBE896" w14:textId="4B19E803" w:rsidR="00CD5F4C" w:rsidRPr="00A312E4" w:rsidRDefault="00CD5F4C" w:rsidP="00C72963">
      <w:pPr>
        <w:pStyle w:val="ListParagraph"/>
        <w:numPr>
          <w:ilvl w:val="0"/>
          <w:numId w:val="13"/>
        </w:numPr>
        <w:ind w:left="851" w:hanging="425"/>
        <w:jc w:val="both"/>
        <w:rPr>
          <w:rFonts w:eastAsia="Calibri"/>
          <w:sz w:val="20"/>
          <w:szCs w:val="20"/>
        </w:rPr>
      </w:pPr>
      <w:r w:rsidRPr="00A312E4">
        <w:rPr>
          <w:sz w:val="20"/>
          <w:szCs w:val="20"/>
        </w:rPr>
        <w:t>Si le montant total des sous-consommations sollicitées par toutes les CPC dépasse le montant total disponible en vertu de ce mécanisme, le montant des sous-consommations devra être partagé au prorata entre les CPC sollicitant que leurs quotas soient complétés, proportionnelle</w:t>
      </w:r>
      <w:r w:rsidR="00FF0666" w:rsidRPr="00A312E4">
        <w:rPr>
          <w:sz w:val="20"/>
          <w:szCs w:val="20"/>
        </w:rPr>
        <w:t>ment à leurs quotas initiaux.</w:t>
      </w:r>
    </w:p>
    <w:p w14:paraId="1916B0B7" w14:textId="77777777" w:rsidR="00CD5F4C" w:rsidRPr="00A312E4" w:rsidRDefault="00CD5F4C" w:rsidP="00CD5F4C">
      <w:pPr>
        <w:tabs>
          <w:tab w:val="left" w:pos="284"/>
          <w:tab w:val="left" w:pos="567"/>
          <w:tab w:val="left" w:pos="851"/>
        </w:tabs>
        <w:jc w:val="both"/>
        <w:rPr>
          <w:rFonts w:eastAsia="Calibri"/>
          <w:sz w:val="20"/>
          <w:szCs w:val="20"/>
        </w:rPr>
      </w:pPr>
    </w:p>
    <w:p w14:paraId="16861761" w14:textId="48C54794" w:rsidR="00CD5F4C" w:rsidRPr="00A312E4" w:rsidRDefault="00CD5F4C" w:rsidP="00C72963">
      <w:pPr>
        <w:pStyle w:val="ListParagraph"/>
        <w:numPr>
          <w:ilvl w:val="0"/>
          <w:numId w:val="13"/>
        </w:numPr>
        <w:ind w:left="851" w:hanging="425"/>
        <w:jc w:val="both"/>
        <w:rPr>
          <w:rFonts w:eastAsia="Calibri"/>
          <w:sz w:val="20"/>
          <w:szCs w:val="20"/>
        </w:rPr>
      </w:pPr>
      <w:r w:rsidRPr="00A312E4">
        <w:rPr>
          <w:sz w:val="20"/>
          <w:szCs w:val="20"/>
        </w:rPr>
        <w:t xml:space="preserve">En ce qui concerne les captures et le TAC de 2022, les sous-consommations ne peuvent être utilisées que dans la mesure de ce qui est disponible dans la sous-consommation du TAC total. </w:t>
      </w:r>
    </w:p>
    <w:p w14:paraId="313B8EE0" w14:textId="77777777" w:rsidR="00CD5F4C" w:rsidRPr="00A312E4" w:rsidRDefault="00CD5F4C" w:rsidP="00CD5F4C">
      <w:pPr>
        <w:tabs>
          <w:tab w:val="left" w:pos="284"/>
          <w:tab w:val="left" w:pos="567"/>
          <w:tab w:val="left" w:pos="851"/>
        </w:tabs>
        <w:jc w:val="both"/>
        <w:rPr>
          <w:rFonts w:eastAsia="Calibri"/>
          <w:sz w:val="20"/>
          <w:szCs w:val="20"/>
        </w:rPr>
      </w:pPr>
    </w:p>
    <w:p w14:paraId="54E4E869" w14:textId="0E1CEDAE" w:rsidR="00CD5F4C" w:rsidRPr="00A312E4" w:rsidRDefault="00CD5F4C" w:rsidP="00C72963">
      <w:pPr>
        <w:pStyle w:val="ListParagraph"/>
        <w:numPr>
          <w:ilvl w:val="0"/>
          <w:numId w:val="13"/>
        </w:numPr>
        <w:ind w:left="851" w:hanging="425"/>
        <w:jc w:val="both"/>
        <w:rPr>
          <w:rFonts w:eastAsia="Calibri"/>
          <w:sz w:val="20"/>
          <w:szCs w:val="20"/>
        </w:rPr>
      </w:pPr>
      <w:r w:rsidRPr="00A312E4">
        <w:rPr>
          <w:sz w:val="20"/>
          <w:szCs w:val="20"/>
        </w:rPr>
        <w:t>Le report des sous-consommations ne s'applique qu'aux CPC auxquelles il est fait spécifiquement référence au paragraphe 3</w:t>
      </w:r>
      <w:r w:rsidR="00543347" w:rsidRPr="00A312E4">
        <w:rPr>
          <w:sz w:val="20"/>
          <w:szCs w:val="20"/>
        </w:rPr>
        <w:t xml:space="preserve"> </w:t>
      </w:r>
      <w:r w:rsidR="00226812" w:rsidRPr="00A312E4">
        <w:rPr>
          <w:sz w:val="20"/>
          <w:szCs w:val="20"/>
        </w:rPr>
        <w:t>a)</w:t>
      </w:r>
      <w:r w:rsidRPr="00A312E4">
        <w:rPr>
          <w:sz w:val="20"/>
          <w:szCs w:val="20"/>
        </w:rPr>
        <w:t>.</w:t>
      </w:r>
    </w:p>
    <w:p w14:paraId="6CB4F775" w14:textId="77777777" w:rsidR="00CD5F4C" w:rsidRPr="00A312E4" w:rsidRDefault="00CD5F4C" w:rsidP="00CD5F4C">
      <w:pPr>
        <w:tabs>
          <w:tab w:val="left" w:pos="284"/>
          <w:tab w:val="left" w:pos="567"/>
          <w:tab w:val="left" w:pos="851"/>
        </w:tabs>
        <w:contextualSpacing/>
        <w:rPr>
          <w:rFonts w:eastAsia="Calibri"/>
          <w:sz w:val="20"/>
          <w:szCs w:val="20"/>
        </w:rPr>
      </w:pPr>
    </w:p>
    <w:p w14:paraId="7586323F" w14:textId="58AFEAEB" w:rsidR="00CD5F4C" w:rsidRPr="00A312E4" w:rsidRDefault="00CD5F4C" w:rsidP="00C72963">
      <w:pPr>
        <w:pStyle w:val="ListParagraph"/>
        <w:numPr>
          <w:ilvl w:val="0"/>
          <w:numId w:val="13"/>
        </w:numPr>
        <w:ind w:left="851" w:hanging="425"/>
        <w:jc w:val="both"/>
        <w:rPr>
          <w:rFonts w:eastAsia="Calibri" w:cs="Times New Roman"/>
          <w:sz w:val="20"/>
          <w:szCs w:val="20"/>
        </w:rPr>
      </w:pPr>
      <w:bookmarkStart w:id="0" w:name="_Hlk115432967"/>
      <w:r w:rsidRPr="00A312E4">
        <w:rPr>
          <w:sz w:val="20"/>
          <w:szCs w:val="20"/>
        </w:rPr>
        <w:t xml:space="preserve">En ce qui concerne l’Afrique du </w:t>
      </w:r>
      <w:r w:rsidR="00226812" w:rsidRPr="00A312E4">
        <w:rPr>
          <w:sz w:val="20"/>
          <w:szCs w:val="20"/>
        </w:rPr>
        <w:t>Sud</w:t>
      </w:r>
      <w:r w:rsidRPr="00A312E4">
        <w:rPr>
          <w:sz w:val="20"/>
          <w:szCs w:val="20"/>
        </w:rPr>
        <w:t xml:space="preserve">, le Brésil et l’Uruguay, dans le cas où l’une de ces CPC atteindrait ses limites de capture individuelles avant le 31 décembre, et dans le cas où l’une des autres CPC susmentionnées disposerait d’une sous-consommation au cours de la même année, </w:t>
      </w:r>
      <w:r w:rsidR="008A2A0D" w:rsidRPr="00A312E4">
        <w:rPr>
          <w:sz w:val="20"/>
          <w:szCs w:val="20"/>
        </w:rPr>
        <w:t xml:space="preserve">une partie ou </w:t>
      </w:r>
      <w:r w:rsidRPr="00A312E4">
        <w:rPr>
          <w:sz w:val="20"/>
          <w:szCs w:val="20"/>
        </w:rPr>
        <w:t xml:space="preserve">toute </w:t>
      </w:r>
      <w:r w:rsidR="00226812" w:rsidRPr="00A312E4">
        <w:rPr>
          <w:sz w:val="20"/>
          <w:szCs w:val="20"/>
        </w:rPr>
        <w:t>leur</w:t>
      </w:r>
      <w:r w:rsidRPr="00A312E4">
        <w:rPr>
          <w:sz w:val="20"/>
          <w:szCs w:val="20"/>
        </w:rPr>
        <w:t xml:space="preserve"> sous-consommation </w:t>
      </w:r>
      <w:r w:rsidR="008A2A0D" w:rsidRPr="00A312E4">
        <w:rPr>
          <w:sz w:val="20"/>
          <w:szCs w:val="20"/>
        </w:rPr>
        <w:t xml:space="preserve">disponible </w:t>
      </w:r>
      <w:r w:rsidRPr="00A312E4">
        <w:rPr>
          <w:sz w:val="20"/>
          <w:szCs w:val="20"/>
        </w:rPr>
        <w:t>devr</w:t>
      </w:r>
      <w:r w:rsidR="008A2A0D" w:rsidRPr="00A312E4">
        <w:rPr>
          <w:sz w:val="20"/>
          <w:szCs w:val="20"/>
        </w:rPr>
        <w:t>a</w:t>
      </w:r>
      <w:r w:rsidRPr="00A312E4">
        <w:rPr>
          <w:sz w:val="20"/>
          <w:szCs w:val="20"/>
        </w:rPr>
        <w:t xml:space="preserve"> </w:t>
      </w:r>
      <w:r w:rsidR="008A2A0D" w:rsidRPr="00A312E4">
        <w:rPr>
          <w:sz w:val="20"/>
          <w:szCs w:val="20"/>
        </w:rPr>
        <w:t xml:space="preserve">alors être automatiquement </w:t>
      </w:r>
      <w:r w:rsidRPr="00A312E4">
        <w:rPr>
          <w:sz w:val="20"/>
          <w:szCs w:val="20"/>
        </w:rPr>
        <w:t>transfér</w:t>
      </w:r>
      <w:r w:rsidR="008A2A0D" w:rsidRPr="00A312E4">
        <w:rPr>
          <w:sz w:val="20"/>
          <w:szCs w:val="20"/>
        </w:rPr>
        <w:t>ée</w:t>
      </w:r>
      <w:r w:rsidRPr="00A312E4">
        <w:rPr>
          <w:sz w:val="20"/>
          <w:szCs w:val="20"/>
        </w:rPr>
        <w:t xml:space="preserve"> à </w:t>
      </w:r>
      <w:r w:rsidR="00226812" w:rsidRPr="00A312E4">
        <w:rPr>
          <w:sz w:val="20"/>
          <w:szCs w:val="20"/>
        </w:rPr>
        <w:t>l’une des trois</w:t>
      </w:r>
      <w:r w:rsidRPr="00A312E4">
        <w:rPr>
          <w:sz w:val="20"/>
          <w:szCs w:val="20"/>
        </w:rPr>
        <w:t xml:space="preserve"> CPC qui aura atteint sa limite de capture pour cette année jusqu’à un volume maximum de 1.000 t collectivement et proportionnellement à leurs quotas initiaux respectifs, sous réserve que ce transfert de sous-consommation ne porte pas préjudice à la tolérance pour la sous-consommation maxim</w:t>
      </w:r>
      <w:r w:rsidR="00543347" w:rsidRPr="00A312E4">
        <w:rPr>
          <w:sz w:val="20"/>
          <w:szCs w:val="20"/>
        </w:rPr>
        <w:t>ale</w:t>
      </w:r>
      <w:r w:rsidRPr="00A312E4">
        <w:rPr>
          <w:sz w:val="20"/>
          <w:szCs w:val="20"/>
        </w:rPr>
        <w:t xml:space="preserve"> respective des CPC ayant réalisé le transfert, tel que stipulé au paragraphe 4 b). Ces transferts devront être déclarés dans les tableaux de déclaration d’application des CPC et communiqués à toutes les CPC par voie de </w:t>
      </w:r>
      <w:r w:rsidR="008A2A0D" w:rsidRPr="00A312E4">
        <w:rPr>
          <w:sz w:val="20"/>
          <w:szCs w:val="20"/>
        </w:rPr>
        <w:t>c</w:t>
      </w:r>
      <w:r w:rsidRPr="00A312E4">
        <w:rPr>
          <w:sz w:val="20"/>
          <w:szCs w:val="20"/>
        </w:rPr>
        <w:t xml:space="preserve">irculaire </w:t>
      </w:r>
      <w:r w:rsidR="00543347" w:rsidRPr="00A312E4">
        <w:rPr>
          <w:sz w:val="20"/>
          <w:szCs w:val="20"/>
        </w:rPr>
        <w:t>de l’</w:t>
      </w:r>
      <w:r w:rsidRPr="00A312E4">
        <w:rPr>
          <w:sz w:val="20"/>
          <w:szCs w:val="20"/>
        </w:rPr>
        <w:t>ICCAT.</w:t>
      </w:r>
    </w:p>
    <w:bookmarkEnd w:id="0"/>
    <w:p w14:paraId="384286B6" w14:textId="6ADFC9DB" w:rsidR="00CD5F4C" w:rsidRPr="00A312E4" w:rsidRDefault="00CD5F4C" w:rsidP="00CD5F4C">
      <w:pPr>
        <w:tabs>
          <w:tab w:val="left" w:pos="284"/>
          <w:tab w:val="left" w:pos="567"/>
          <w:tab w:val="left" w:pos="851"/>
        </w:tabs>
        <w:contextualSpacing/>
        <w:jc w:val="both"/>
        <w:rPr>
          <w:rFonts w:eastAsia="Calibri"/>
          <w:sz w:val="20"/>
          <w:szCs w:val="20"/>
        </w:rPr>
      </w:pPr>
    </w:p>
    <w:p w14:paraId="6B36B647" w14:textId="77777777" w:rsidR="00CD5F4C" w:rsidRPr="00A312E4" w:rsidRDefault="00CD5F4C" w:rsidP="00C72963">
      <w:pPr>
        <w:autoSpaceDE w:val="0"/>
        <w:autoSpaceDN w:val="0"/>
        <w:adjustRightInd w:val="0"/>
        <w:ind w:left="426" w:hanging="426"/>
        <w:jc w:val="both"/>
        <w:rPr>
          <w:rFonts w:eastAsia="Calibri" w:cs="TimesNewRomanPSMT"/>
          <w:sz w:val="20"/>
          <w:szCs w:val="20"/>
        </w:rPr>
      </w:pPr>
      <w:r w:rsidRPr="00A312E4">
        <w:rPr>
          <w:sz w:val="20"/>
          <w:szCs w:val="20"/>
        </w:rPr>
        <w:t xml:space="preserve">5. </w:t>
      </w:r>
      <w:r w:rsidRPr="00A312E4">
        <w:rPr>
          <w:sz w:val="20"/>
          <w:szCs w:val="20"/>
        </w:rPr>
        <w:tab/>
        <w:t>Si une CPC donnée dépasse son quota, la surconsommation doit être déduite de son quota initial à hauteur de 100% du montant total dépassé, conformément au calendrier visé au paragraphe 4 et la CPC ne pourra solliciter aucune des sous-consommations disponibles en vertu du présent mécanisme l'année suivante.</w:t>
      </w:r>
    </w:p>
    <w:p w14:paraId="2CFBAA8B" w14:textId="77777777" w:rsidR="00CD5F4C" w:rsidRPr="00A312E4" w:rsidRDefault="00CD5F4C" w:rsidP="00CD5F4C">
      <w:pPr>
        <w:tabs>
          <w:tab w:val="left" w:pos="284"/>
          <w:tab w:val="left" w:pos="567"/>
          <w:tab w:val="left" w:pos="851"/>
        </w:tabs>
        <w:autoSpaceDE w:val="0"/>
        <w:autoSpaceDN w:val="0"/>
        <w:adjustRightInd w:val="0"/>
        <w:jc w:val="both"/>
        <w:rPr>
          <w:rFonts w:eastAsia="Calibri" w:cs="TimesNewRomanPSMT"/>
          <w:sz w:val="20"/>
          <w:szCs w:val="20"/>
        </w:rPr>
      </w:pPr>
    </w:p>
    <w:p w14:paraId="67917116" w14:textId="77777777" w:rsidR="007F7A86" w:rsidRPr="00A312E4" w:rsidRDefault="007F7A86">
      <w:pPr>
        <w:rPr>
          <w:sz w:val="20"/>
          <w:szCs w:val="20"/>
        </w:rPr>
      </w:pPr>
      <w:r w:rsidRPr="00A312E4">
        <w:rPr>
          <w:sz w:val="20"/>
          <w:szCs w:val="20"/>
        </w:rPr>
        <w:br w:type="page"/>
      </w:r>
    </w:p>
    <w:p w14:paraId="4DCA6DF0" w14:textId="3636C71E" w:rsidR="00CD5F4C" w:rsidRPr="00A312E4" w:rsidRDefault="00CD5F4C" w:rsidP="00E2640A">
      <w:pPr>
        <w:tabs>
          <w:tab w:val="left" w:pos="567"/>
          <w:tab w:val="left" w:pos="851"/>
        </w:tabs>
        <w:autoSpaceDE w:val="0"/>
        <w:autoSpaceDN w:val="0"/>
        <w:adjustRightInd w:val="0"/>
        <w:ind w:left="426" w:hanging="426"/>
        <w:jc w:val="both"/>
        <w:rPr>
          <w:rFonts w:eastAsia="Calibri"/>
          <w:sz w:val="20"/>
          <w:szCs w:val="20"/>
        </w:rPr>
      </w:pPr>
      <w:r w:rsidRPr="00A312E4">
        <w:rPr>
          <w:sz w:val="20"/>
          <w:szCs w:val="20"/>
        </w:rPr>
        <w:lastRenderedPageBreak/>
        <w:t>6.</w:t>
      </w:r>
      <w:r w:rsidRPr="00A312E4">
        <w:rPr>
          <w:sz w:val="20"/>
          <w:szCs w:val="20"/>
        </w:rPr>
        <w:tab/>
        <w:t xml:space="preserve">Nonobstant la </w:t>
      </w:r>
      <w:r w:rsidRPr="00A312E4">
        <w:rPr>
          <w:i/>
          <w:sz w:val="20"/>
          <w:szCs w:val="20"/>
        </w:rPr>
        <w:t>Recommandation de l’ICCAT sur l’ajustement temporaire de quotas</w:t>
      </w:r>
      <w:r w:rsidR="005D6782" w:rsidRPr="00A312E4">
        <w:rPr>
          <w:sz w:val="20"/>
          <w:szCs w:val="20"/>
        </w:rPr>
        <w:t xml:space="preserve"> (</w:t>
      </w:r>
      <w:r w:rsidRPr="00A312E4">
        <w:rPr>
          <w:sz w:val="20"/>
          <w:szCs w:val="20"/>
        </w:rPr>
        <w:t>Rec. 01-12</w:t>
      </w:r>
      <w:r w:rsidR="005D6782" w:rsidRPr="00A312E4">
        <w:rPr>
          <w:sz w:val="20"/>
          <w:szCs w:val="20"/>
        </w:rPr>
        <w:t>)</w:t>
      </w:r>
      <w:r w:rsidRPr="00A312E4">
        <w:rPr>
          <w:sz w:val="20"/>
          <w:szCs w:val="20"/>
        </w:rPr>
        <w:t>, toutes les CPC auxquelles il est fait spécifiquement référence au paragraphe 3</w:t>
      </w:r>
      <w:r w:rsidR="00625E9F" w:rsidRPr="00A312E4">
        <w:rPr>
          <w:sz w:val="20"/>
          <w:szCs w:val="20"/>
        </w:rPr>
        <w:t xml:space="preserve"> </w:t>
      </w:r>
      <w:r w:rsidR="00805BD9" w:rsidRPr="00A312E4">
        <w:rPr>
          <w:sz w:val="20"/>
          <w:szCs w:val="20"/>
        </w:rPr>
        <w:t>a)</w:t>
      </w:r>
      <w:r w:rsidRPr="00A312E4">
        <w:rPr>
          <w:sz w:val="20"/>
          <w:szCs w:val="20"/>
        </w:rPr>
        <w:t xml:space="preserve"> pourraient transférer une partie de leur quota à une autre CPC pour autant que les deux CPC soient d'accord et fournissent une notification préalable au Secrétariat de l'ICCAT en ce qui concerne la quantité à transférer. Le Secrétariat </w:t>
      </w:r>
      <w:r w:rsidR="001309CE" w:rsidRPr="00A312E4">
        <w:rPr>
          <w:sz w:val="20"/>
          <w:szCs w:val="20"/>
        </w:rPr>
        <w:t xml:space="preserve">de l'ICCAT </w:t>
      </w:r>
      <w:r w:rsidRPr="00A312E4">
        <w:rPr>
          <w:sz w:val="20"/>
          <w:szCs w:val="20"/>
        </w:rPr>
        <w:t>devra diffuser cette notification à toutes les CPC.</w:t>
      </w:r>
    </w:p>
    <w:p w14:paraId="51F53617" w14:textId="47290279" w:rsidR="001A60EC" w:rsidRPr="00A312E4" w:rsidRDefault="001A60EC" w:rsidP="00CD5F4C">
      <w:pPr>
        <w:tabs>
          <w:tab w:val="left" w:pos="284"/>
          <w:tab w:val="left" w:pos="567"/>
          <w:tab w:val="left" w:pos="851"/>
        </w:tabs>
        <w:autoSpaceDE w:val="0"/>
        <w:autoSpaceDN w:val="0"/>
        <w:adjustRightInd w:val="0"/>
        <w:ind w:left="284" w:hanging="284"/>
        <w:jc w:val="both"/>
        <w:rPr>
          <w:rFonts w:eastAsia="Calibri"/>
          <w:sz w:val="20"/>
          <w:szCs w:val="20"/>
        </w:rPr>
      </w:pPr>
    </w:p>
    <w:p w14:paraId="11F11DA7" w14:textId="77777777" w:rsidR="00331D47" w:rsidRPr="00331D47" w:rsidRDefault="00331D47" w:rsidP="00331D47">
      <w:pPr>
        <w:tabs>
          <w:tab w:val="left" w:pos="567"/>
          <w:tab w:val="left" w:pos="851"/>
        </w:tabs>
        <w:autoSpaceDE w:val="0"/>
        <w:autoSpaceDN w:val="0"/>
        <w:adjustRightInd w:val="0"/>
        <w:ind w:left="426" w:hanging="426"/>
        <w:jc w:val="both"/>
        <w:rPr>
          <w:rFonts w:ascii="Cambria" w:eastAsia="Calibri" w:hAnsi="Cambria" w:cs="Times New Roman"/>
          <w:sz w:val="20"/>
          <w:szCs w:val="20"/>
        </w:rPr>
      </w:pPr>
      <w:r w:rsidRPr="00331D47">
        <w:rPr>
          <w:rFonts w:ascii="Cambria" w:eastAsia="MS Mincho" w:hAnsi="Cambria" w:cs="Times New Roman"/>
          <w:sz w:val="20"/>
          <w:szCs w:val="20"/>
        </w:rPr>
        <w:t>7.</w:t>
      </w:r>
      <w:r w:rsidRPr="00331D47">
        <w:rPr>
          <w:rFonts w:ascii="Cambria" w:eastAsia="MS Mincho" w:hAnsi="Cambria" w:cs="Times New Roman"/>
          <w:sz w:val="20"/>
          <w:szCs w:val="20"/>
        </w:rPr>
        <w:tab/>
        <w:t xml:space="preserve">Les CPC qui pêchent activement le germon de l’Atlantique Sud devront immédiatement améliorer leurs systèmes de déclaration des captures afin de garantir la transmission à l’ICCAT de données de prise et d’effort exactes et validées en ce qui concerne le germon de l’Atlantique Sud, conformément aux exigences de l’ICCAT en matière de déclaration des données de prise, d’effort et de taille de la tâche 1 et de la tâche 2. En outre, les CPC des États du port de l'Atlantique Sud devront déclarer les résultats de leurs inspections portuaires au Secrétariat de l’ICCAT en vertu de la </w:t>
      </w:r>
      <w:r w:rsidRPr="00331D47">
        <w:rPr>
          <w:rFonts w:ascii="Cambria" w:eastAsia="Cambria" w:hAnsi="Cambria" w:cs="Cambria"/>
          <w:i/>
          <w:iCs/>
          <w:sz w:val="20"/>
          <w:szCs w:val="20"/>
        </w:rPr>
        <w:t xml:space="preserve">Recommandation de l’ICCAT amendant la Recommandation 18-09 concernant des mesures du ressort de l’État du port visant à prévenir, contrecarrer et éliminer la pêche illicite, non déclarée et non règlementée </w:t>
      </w:r>
      <w:r w:rsidRPr="00331D47">
        <w:rPr>
          <w:rFonts w:ascii="Cambria" w:eastAsia="Cambria" w:hAnsi="Cambria" w:cs="Cambria"/>
          <w:sz w:val="20"/>
          <w:szCs w:val="20"/>
        </w:rPr>
        <w:t>(Rec. 23-17)</w:t>
      </w:r>
      <w:r w:rsidRPr="00331D47">
        <w:rPr>
          <w:rFonts w:ascii="Cambria" w:eastAsia="MS Mincho" w:hAnsi="Cambria" w:cs="Times New Roman"/>
          <w:sz w:val="20"/>
          <w:szCs w:val="20"/>
        </w:rPr>
        <w:t>. Le Secrétariat de l'ICCAT devra transmettre les rapports à la CPC du pavillon.</w:t>
      </w:r>
    </w:p>
    <w:p w14:paraId="383C96CB" w14:textId="77777777" w:rsidR="00CD5F4C" w:rsidRPr="00A312E4" w:rsidRDefault="00CD5F4C" w:rsidP="00CD5F4C">
      <w:pPr>
        <w:tabs>
          <w:tab w:val="left" w:pos="567"/>
          <w:tab w:val="left" w:pos="851"/>
        </w:tabs>
        <w:autoSpaceDE w:val="0"/>
        <w:autoSpaceDN w:val="0"/>
        <w:adjustRightInd w:val="0"/>
        <w:ind w:left="426" w:hanging="426"/>
        <w:jc w:val="both"/>
        <w:rPr>
          <w:rFonts w:eastAsia="Calibri"/>
          <w:sz w:val="20"/>
          <w:szCs w:val="20"/>
        </w:rPr>
      </w:pPr>
    </w:p>
    <w:p w14:paraId="0771B31B" w14:textId="3A5E205A" w:rsidR="00CD5F4C" w:rsidRPr="00A312E4" w:rsidRDefault="00CD5F4C" w:rsidP="00CD5F4C">
      <w:pPr>
        <w:tabs>
          <w:tab w:val="left" w:pos="567"/>
          <w:tab w:val="left" w:pos="851"/>
        </w:tabs>
        <w:autoSpaceDE w:val="0"/>
        <w:autoSpaceDN w:val="0"/>
        <w:adjustRightInd w:val="0"/>
        <w:ind w:left="426" w:hanging="426"/>
        <w:jc w:val="both"/>
        <w:rPr>
          <w:rFonts w:eastAsia="Calibri"/>
          <w:sz w:val="20"/>
          <w:szCs w:val="20"/>
        </w:rPr>
      </w:pPr>
      <w:r w:rsidRPr="00A312E4">
        <w:rPr>
          <w:sz w:val="20"/>
          <w:szCs w:val="20"/>
        </w:rPr>
        <w:t>8.</w:t>
      </w:r>
      <w:r w:rsidRPr="00A312E4">
        <w:rPr>
          <w:sz w:val="20"/>
          <w:szCs w:val="20"/>
        </w:rPr>
        <w:tab/>
        <w:t xml:space="preserve">La prochaine évaluation du stock de germon de l’Atlantique Sud aura lieu en </w:t>
      </w:r>
      <w:r w:rsidR="008A2A0D" w:rsidRPr="00A312E4">
        <w:rPr>
          <w:sz w:val="20"/>
          <w:szCs w:val="20"/>
        </w:rPr>
        <w:t>2026</w:t>
      </w:r>
      <w:r w:rsidRPr="00A312E4">
        <w:rPr>
          <w:sz w:val="20"/>
          <w:szCs w:val="20"/>
        </w:rPr>
        <w:t xml:space="preserve">. Les scientifiques des entités pêchant activement du germon de l’Atlantique Sud sont vivement encouragés à analyser leurs données halieutiques et à participer à l’évaluation de </w:t>
      </w:r>
      <w:r w:rsidR="008A2A0D" w:rsidRPr="00A312E4">
        <w:rPr>
          <w:sz w:val="20"/>
          <w:szCs w:val="20"/>
        </w:rPr>
        <w:t>2026</w:t>
      </w:r>
      <w:r w:rsidRPr="00A312E4">
        <w:rPr>
          <w:sz w:val="20"/>
          <w:szCs w:val="20"/>
        </w:rPr>
        <w:t>.</w:t>
      </w:r>
    </w:p>
    <w:p w14:paraId="7DD40F2B" w14:textId="77777777" w:rsidR="00C85F13" w:rsidRPr="00A312E4" w:rsidRDefault="00C85F13" w:rsidP="00CD5F4C">
      <w:pPr>
        <w:tabs>
          <w:tab w:val="left" w:pos="567"/>
          <w:tab w:val="left" w:pos="851"/>
        </w:tabs>
        <w:autoSpaceDE w:val="0"/>
        <w:autoSpaceDN w:val="0"/>
        <w:adjustRightInd w:val="0"/>
        <w:ind w:left="426" w:hanging="426"/>
        <w:jc w:val="both"/>
        <w:rPr>
          <w:rFonts w:eastAsia="Calibri"/>
          <w:sz w:val="20"/>
          <w:szCs w:val="20"/>
        </w:rPr>
      </w:pPr>
    </w:p>
    <w:p w14:paraId="41F3DBB4" w14:textId="5EDF3A6E" w:rsidR="00CD5F4C" w:rsidRPr="00A312E4" w:rsidRDefault="00CD5F4C" w:rsidP="00CD5F4C">
      <w:pPr>
        <w:tabs>
          <w:tab w:val="left" w:pos="567"/>
          <w:tab w:val="left" w:pos="851"/>
        </w:tabs>
        <w:autoSpaceDE w:val="0"/>
        <w:autoSpaceDN w:val="0"/>
        <w:adjustRightInd w:val="0"/>
        <w:ind w:left="426" w:hanging="426"/>
        <w:jc w:val="both"/>
        <w:rPr>
          <w:rFonts w:eastAsia="Calibri"/>
          <w:sz w:val="20"/>
          <w:szCs w:val="20"/>
        </w:rPr>
      </w:pPr>
      <w:r w:rsidRPr="00A312E4">
        <w:rPr>
          <w:sz w:val="20"/>
          <w:szCs w:val="20"/>
        </w:rPr>
        <w:t>9.</w:t>
      </w:r>
      <w:r w:rsidRPr="00A312E4">
        <w:rPr>
          <w:sz w:val="20"/>
          <w:szCs w:val="20"/>
        </w:rPr>
        <w:tab/>
        <w:t xml:space="preserve">Tous les aspects relatifs à la limite de capture et aux accords de répartition concernant le germon de l’Atlantique Sud devront être examinés et révisés à la réunion de la Commission de 2026, en tenant compte des résultats de l'évaluation actualisée du stock de germon de l’Atlantique Sud qui sera réalisée en </w:t>
      </w:r>
      <w:r w:rsidR="00311C03" w:rsidRPr="00A312E4">
        <w:rPr>
          <w:sz w:val="20"/>
          <w:szCs w:val="20"/>
        </w:rPr>
        <w:t>2026</w:t>
      </w:r>
      <w:r w:rsidRPr="00A312E4">
        <w:rPr>
          <w:sz w:val="20"/>
          <w:szCs w:val="20"/>
        </w:rPr>
        <w:t>. Cet examen et cette révision porteront aussi sur toute surconsommation dépassant le TAC de 2023</w:t>
      </w:r>
      <w:r w:rsidR="001309CE" w:rsidRPr="00A312E4">
        <w:rPr>
          <w:sz w:val="20"/>
          <w:szCs w:val="20"/>
        </w:rPr>
        <w:t xml:space="preserve"> à </w:t>
      </w:r>
      <w:r w:rsidRPr="00A312E4">
        <w:rPr>
          <w:sz w:val="20"/>
          <w:szCs w:val="20"/>
        </w:rPr>
        <w:t>2026.</w:t>
      </w:r>
    </w:p>
    <w:p w14:paraId="434050EC" w14:textId="77777777" w:rsidR="00CD5F4C" w:rsidRPr="00A312E4" w:rsidRDefault="00CD5F4C" w:rsidP="00CD5F4C">
      <w:pPr>
        <w:tabs>
          <w:tab w:val="left" w:pos="567"/>
          <w:tab w:val="left" w:pos="851"/>
        </w:tabs>
        <w:autoSpaceDE w:val="0"/>
        <w:autoSpaceDN w:val="0"/>
        <w:adjustRightInd w:val="0"/>
        <w:ind w:left="426" w:hanging="426"/>
        <w:jc w:val="both"/>
        <w:rPr>
          <w:rFonts w:eastAsia="Calibri"/>
          <w:sz w:val="20"/>
          <w:szCs w:val="20"/>
        </w:rPr>
      </w:pPr>
    </w:p>
    <w:p w14:paraId="531D0F18" w14:textId="0DDC09E2" w:rsidR="008A2A0D" w:rsidRPr="00A312E4" w:rsidRDefault="009B65E4" w:rsidP="008A2A0D">
      <w:pPr>
        <w:pStyle w:val="ListParagraph"/>
        <w:numPr>
          <w:ilvl w:val="0"/>
          <w:numId w:val="15"/>
        </w:numPr>
        <w:tabs>
          <w:tab w:val="left" w:pos="567"/>
          <w:tab w:val="left" w:pos="851"/>
        </w:tabs>
        <w:autoSpaceDE w:val="0"/>
        <w:autoSpaceDN w:val="0"/>
        <w:adjustRightInd w:val="0"/>
        <w:ind w:left="426" w:hanging="426"/>
        <w:jc w:val="both"/>
        <w:rPr>
          <w:rFonts w:eastAsia="Calibri"/>
          <w:sz w:val="20"/>
          <w:szCs w:val="20"/>
        </w:rPr>
      </w:pPr>
      <w:r w:rsidRPr="00A312E4">
        <w:rPr>
          <w:sz w:val="20"/>
          <w:szCs w:val="20"/>
        </w:rPr>
        <w:t>Les CPC devront émettre des autorisations spécifiques aux navires de 20 m ou plus de longueur hors tout battant leur pavillon qui sont autorisés à pêcher le germon de l’Atlantique Sud dans la zone de la Convention</w:t>
      </w:r>
      <w:r w:rsidR="001309CE" w:rsidRPr="00A312E4">
        <w:rPr>
          <w:sz w:val="20"/>
          <w:szCs w:val="20"/>
        </w:rPr>
        <w:t xml:space="preserve">. </w:t>
      </w:r>
      <w:r w:rsidRPr="00A312E4">
        <w:rPr>
          <w:sz w:val="20"/>
          <w:szCs w:val="20"/>
        </w:rPr>
        <w:t xml:space="preserve">Chaque CPC devra spécifier les navires qu'elle aura autorisés à cet effet sur la liste des navires soumise conformément aux dispositions de la </w:t>
      </w:r>
      <w:r w:rsidRPr="00A312E4">
        <w:rPr>
          <w:i/>
          <w:sz w:val="20"/>
          <w:szCs w:val="20"/>
        </w:rPr>
        <w:t>Recommandation de l’ICCAT concernant l’établissement d’un registre ICCAT de bateaux de 20 mètres ou plus de longueur hors-tout autorisés à opérer dans la zone de la Convention</w:t>
      </w:r>
      <w:r w:rsidRPr="00A312E4">
        <w:rPr>
          <w:sz w:val="20"/>
          <w:szCs w:val="20"/>
        </w:rPr>
        <w:t xml:space="preserve"> (Rec. 21-14). Les navires ne figurant pas sur cette liste ou y figurant sans la mention requise que la p</w:t>
      </w:r>
      <w:r w:rsidR="005153CD" w:rsidRPr="00A312E4">
        <w:rPr>
          <w:sz w:val="20"/>
          <w:szCs w:val="20"/>
        </w:rPr>
        <w:t>êche du germon de l’Atlantique S</w:t>
      </w:r>
      <w:r w:rsidRPr="00A312E4">
        <w:rPr>
          <w:sz w:val="20"/>
          <w:szCs w:val="20"/>
        </w:rPr>
        <w:t>ud est autorisée sont considérés comme n'étant pas autorisés à pêcher, à retenir à bord, à transborder, à transporter, à transférer, à traiter ou à débar</w:t>
      </w:r>
      <w:r w:rsidR="005153CD" w:rsidRPr="00A312E4">
        <w:rPr>
          <w:sz w:val="20"/>
          <w:szCs w:val="20"/>
        </w:rPr>
        <w:t>quer le germon de l’Atlantique S</w:t>
      </w:r>
      <w:r w:rsidRPr="00A312E4">
        <w:rPr>
          <w:sz w:val="20"/>
          <w:szCs w:val="20"/>
        </w:rPr>
        <w:t>ud.</w:t>
      </w:r>
    </w:p>
    <w:p w14:paraId="1DAA312E" w14:textId="77777777" w:rsidR="008A2A0D" w:rsidRPr="00A312E4" w:rsidRDefault="008A2A0D" w:rsidP="008A2A0D">
      <w:pPr>
        <w:pStyle w:val="ListParagraph"/>
        <w:tabs>
          <w:tab w:val="left" w:pos="567"/>
          <w:tab w:val="left" w:pos="851"/>
        </w:tabs>
        <w:autoSpaceDE w:val="0"/>
        <w:autoSpaceDN w:val="0"/>
        <w:adjustRightInd w:val="0"/>
        <w:ind w:left="426" w:hanging="426"/>
        <w:jc w:val="both"/>
        <w:rPr>
          <w:rFonts w:eastAsia="Calibri"/>
          <w:sz w:val="20"/>
          <w:szCs w:val="20"/>
        </w:rPr>
      </w:pPr>
    </w:p>
    <w:p w14:paraId="395D0684" w14:textId="6D316BD9" w:rsidR="008A2A0D" w:rsidRPr="00A312E4" w:rsidRDefault="008A2A0D" w:rsidP="00EE528C">
      <w:pPr>
        <w:pStyle w:val="ListParagraph"/>
        <w:numPr>
          <w:ilvl w:val="0"/>
          <w:numId w:val="15"/>
        </w:numPr>
        <w:tabs>
          <w:tab w:val="left" w:pos="567"/>
          <w:tab w:val="left" w:pos="851"/>
        </w:tabs>
        <w:autoSpaceDE w:val="0"/>
        <w:autoSpaceDN w:val="0"/>
        <w:adjustRightInd w:val="0"/>
        <w:ind w:left="426" w:hanging="426"/>
        <w:jc w:val="both"/>
        <w:rPr>
          <w:rFonts w:eastAsia="Calibri"/>
          <w:sz w:val="20"/>
          <w:szCs w:val="20"/>
        </w:rPr>
      </w:pPr>
      <w:r w:rsidRPr="00A312E4">
        <w:rPr>
          <w:rFonts w:eastAsia="Calibri"/>
          <w:sz w:val="20"/>
          <w:szCs w:val="20"/>
        </w:rPr>
        <w:t>Les CPC pourraient autoriser des prises accessoires de germon de l’Atlantique Sud par les navires non autorisés à pêcher du germon de l’Atlantique Sud en vertu du paragraphe 10</w:t>
      </w:r>
      <w:r w:rsidR="00E2640A" w:rsidRPr="00A312E4">
        <w:rPr>
          <w:rFonts w:eastAsia="Calibri"/>
          <w:sz w:val="20"/>
          <w:szCs w:val="20"/>
        </w:rPr>
        <w:t xml:space="preserve"> uniquement</w:t>
      </w:r>
      <w:r w:rsidRPr="00A312E4">
        <w:rPr>
          <w:rFonts w:eastAsia="Calibri"/>
          <w:sz w:val="20"/>
          <w:szCs w:val="20"/>
        </w:rPr>
        <w:t xml:space="preserve"> si la CPC établit une limite</w:t>
      </w:r>
      <w:r w:rsidR="00E2640A" w:rsidRPr="00A312E4">
        <w:rPr>
          <w:rFonts w:eastAsia="Calibri"/>
          <w:sz w:val="20"/>
          <w:szCs w:val="20"/>
        </w:rPr>
        <w:t xml:space="preserve"> de prise accessoire</w:t>
      </w:r>
      <w:r w:rsidRPr="00A312E4">
        <w:rPr>
          <w:rFonts w:eastAsia="Calibri"/>
          <w:sz w:val="20"/>
          <w:szCs w:val="20"/>
        </w:rPr>
        <w:t xml:space="preserve"> </w:t>
      </w:r>
      <w:r w:rsidR="00E2640A" w:rsidRPr="00A312E4">
        <w:rPr>
          <w:rFonts w:eastAsia="Calibri"/>
          <w:sz w:val="20"/>
          <w:szCs w:val="20"/>
        </w:rPr>
        <w:t xml:space="preserve">maximale de 5% </w:t>
      </w:r>
      <w:r w:rsidRPr="00A312E4">
        <w:rPr>
          <w:rFonts w:eastAsia="Calibri"/>
          <w:sz w:val="20"/>
          <w:szCs w:val="20"/>
        </w:rPr>
        <w:t xml:space="preserve">à bord </w:t>
      </w:r>
      <w:r w:rsidR="00E2640A" w:rsidRPr="00A312E4">
        <w:rPr>
          <w:rFonts w:eastAsia="Calibri"/>
          <w:sz w:val="20"/>
          <w:szCs w:val="20"/>
        </w:rPr>
        <w:t xml:space="preserve">par sortie </w:t>
      </w:r>
      <w:r w:rsidRPr="00A312E4">
        <w:rPr>
          <w:rFonts w:eastAsia="Calibri"/>
          <w:sz w:val="20"/>
          <w:szCs w:val="20"/>
        </w:rPr>
        <w:t xml:space="preserve">pour ces navires et que la prise accessoire en question est déduite de la limite de capture de la CPC. Chaque CPC devra soumettre dans son rapport annuel la limite de prise accessoire maximale </w:t>
      </w:r>
      <w:r w:rsidR="00E2640A" w:rsidRPr="00A312E4">
        <w:rPr>
          <w:rFonts w:eastAsia="Calibri"/>
          <w:sz w:val="20"/>
          <w:szCs w:val="20"/>
        </w:rPr>
        <w:t xml:space="preserve">par sortie </w:t>
      </w:r>
      <w:r w:rsidRPr="00A312E4">
        <w:rPr>
          <w:rFonts w:eastAsia="Calibri"/>
          <w:sz w:val="20"/>
          <w:szCs w:val="20"/>
        </w:rPr>
        <w:t>autorisée pour ces navires</w:t>
      </w:r>
      <w:r w:rsidR="00E2640A" w:rsidRPr="00A312E4">
        <w:rPr>
          <w:rFonts w:eastAsia="Calibri"/>
          <w:sz w:val="20"/>
          <w:szCs w:val="20"/>
        </w:rPr>
        <w:t xml:space="preserve"> et le montant total de germon de l’Atlantique Sud capturé en tant que prise accessoire</w:t>
      </w:r>
      <w:r w:rsidRPr="00A312E4">
        <w:rPr>
          <w:rFonts w:eastAsia="Calibri"/>
          <w:sz w:val="20"/>
          <w:szCs w:val="20"/>
        </w:rPr>
        <w:t xml:space="preserve">. </w:t>
      </w:r>
      <w:r w:rsidRPr="00A312E4">
        <w:rPr>
          <w:rFonts w:ascii="Cambria" w:eastAsia="Calibri" w:hAnsi="Cambria"/>
          <w:sz w:val="20"/>
          <w:szCs w:val="20"/>
        </w:rPr>
        <w:t>Cette information devra être compilée par le Secrétariat de l’ICCAT et mise à la disposition des CPC.</w:t>
      </w:r>
    </w:p>
    <w:p w14:paraId="7F85EEDD" w14:textId="77777777" w:rsidR="008A2A0D" w:rsidRPr="00A312E4" w:rsidRDefault="008A2A0D" w:rsidP="001A60EC">
      <w:pPr>
        <w:pStyle w:val="ListParagraph"/>
        <w:tabs>
          <w:tab w:val="left" w:pos="567"/>
          <w:tab w:val="left" w:pos="851"/>
        </w:tabs>
        <w:autoSpaceDE w:val="0"/>
        <w:autoSpaceDN w:val="0"/>
        <w:adjustRightInd w:val="0"/>
        <w:ind w:left="426" w:hanging="426"/>
        <w:jc w:val="both"/>
        <w:rPr>
          <w:rFonts w:eastAsia="Calibri"/>
          <w:sz w:val="20"/>
          <w:szCs w:val="20"/>
        </w:rPr>
      </w:pPr>
    </w:p>
    <w:p w14:paraId="5EEDE2B7" w14:textId="1532D76B" w:rsidR="009C4DD6" w:rsidRPr="00A312E4" w:rsidRDefault="00792840" w:rsidP="00792840">
      <w:pPr>
        <w:pStyle w:val="ListParagraph"/>
        <w:numPr>
          <w:ilvl w:val="0"/>
          <w:numId w:val="15"/>
        </w:numPr>
        <w:tabs>
          <w:tab w:val="left" w:pos="567"/>
          <w:tab w:val="left" w:pos="851"/>
        </w:tabs>
        <w:autoSpaceDE w:val="0"/>
        <w:autoSpaceDN w:val="0"/>
        <w:adjustRightInd w:val="0"/>
        <w:ind w:left="426" w:hanging="426"/>
        <w:jc w:val="both"/>
        <w:rPr>
          <w:rFonts w:eastAsia="Calibri"/>
          <w:sz w:val="20"/>
          <w:szCs w:val="20"/>
        </w:rPr>
      </w:pPr>
      <w:r w:rsidRPr="00A312E4">
        <w:rPr>
          <w:sz w:val="20"/>
          <w:szCs w:val="20"/>
        </w:rPr>
        <w:t>La présente Recommandation a</w:t>
      </w:r>
      <w:r w:rsidR="005B147E" w:rsidRPr="00A312E4">
        <w:rPr>
          <w:sz w:val="20"/>
          <w:szCs w:val="20"/>
        </w:rPr>
        <w:t>broge</w:t>
      </w:r>
      <w:r w:rsidRPr="00A312E4">
        <w:rPr>
          <w:sz w:val="20"/>
          <w:szCs w:val="20"/>
        </w:rPr>
        <w:t xml:space="preserve"> et remplace la </w:t>
      </w:r>
      <w:r w:rsidRPr="00A312E4">
        <w:rPr>
          <w:i/>
          <w:sz w:val="20"/>
          <w:szCs w:val="20"/>
        </w:rPr>
        <w:t xml:space="preserve">Recommandation de l'ICCAT sur les limites de capture de germon du sud pour la période 2017 – 2020 </w:t>
      </w:r>
      <w:r w:rsidRPr="00A312E4">
        <w:rPr>
          <w:sz w:val="20"/>
          <w:szCs w:val="20"/>
        </w:rPr>
        <w:t>(Rec. 16-07) et a</w:t>
      </w:r>
      <w:r w:rsidR="005B147E" w:rsidRPr="00A312E4">
        <w:rPr>
          <w:sz w:val="20"/>
          <w:szCs w:val="20"/>
        </w:rPr>
        <w:t xml:space="preserve">broge </w:t>
      </w:r>
      <w:r w:rsidRPr="00A312E4">
        <w:rPr>
          <w:sz w:val="20"/>
          <w:szCs w:val="20"/>
        </w:rPr>
        <w:t xml:space="preserve">et remplace également la </w:t>
      </w:r>
      <w:r w:rsidRPr="00A312E4">
        <w:rPr>
          <w:i/>
          <w:sz w:val="20"/>
          <w:szCs w:val="20"/>
        </w:rPr>
        <w:t>Recommandation supplémentaire de l’ICCAT a</w:t>
      </w:r>
      <w:r w:rsidR="00267996" w:rsidRPr="00A312E4">
        <w:rPr>
          <w:i/>
          <w:sz w:val="20"/>
          <w:szCs w:val="20"/>
        </w:rPr>
        <w:t>mendant la Recommandation 16-07</w:t>
      </w:r>
      <w:r w:rsidRPr="00A312E4">
        <w:rPr>
          <w:i/>
          <w:sz w:val="20"/>
          <w:szCs w:val="20"/>
        </w:rPr>
        <w:t xml:space="preserve"> sur les limites de capture de germon de l’Atlantique Sud pour la période 2017 – 2020</w:t>
      </w:r>
      <w:r w:rsidR="00E91DFB" w:rsidRPr="00A312E4">
        <w:rPr>
          <w:i/>
          <w:sz w:val="20"/>
          <w:szCs w:val="20"/>
        </w:rPr>
        <w:t xml:space="preserve"> </w:t>
      </w:r>
      <w:r w:rsidR="00E91DFB" w:rsidRPr="00A312E4">
        <w:rPr>
          <w:sz w:val="20"/>
          <w:szCs w:val="20"/>
        </w:rPr>
        <w:t>(Rec.</w:t>
      </w:r>
      <w:r w:rsidRPr="00A312E4">
        <w:rPr>
          <w:sz w:val="20"/>
          <w:szCs w:val="20"/>
        </w:rPr>
        <w:t xml:space="preserve"> 21-05).</w:t>
      </w:r>
    </w:p>
    <w:sectPr w:rsidR="009C4DD6" w:rsidRPr="00A312E4" w:rsidSect="00CD5F4C">
      <w:footerReference w:type="default" r:id="rId8"/>
      <w:pgSz w:w="11907" w:h="16840" w:code="9"/>
      <w:pgMar w:top="1418" w:right="1418" w:bottom="1418" w:left="1418" w:header="851"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8E2C" w14:textId="77777777" w:rsidR="00513C8C" w:rsidRDefault="00513C8C" w:rsidP="005928F3">
      <w:r>
        <w:separator/>
      </w:r>
    </w:p>
  </w:endnote>
  <w:endnote w:type="continuationSeparator" w:id="0">
    <w:p w14:paraId="15EF23BC" w14:textId="77777777" w:rsidR="00513C8C" w:rsidRDefault="00513C8C" w:rsidP="0059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050632"/>
      <w:docPartObj>
        <w:docPartGallery w:val="Page Numbers (Bottom of Page)"/>
        <w:docPartUnique/>
      </w:docPartObj>
    </w:sdtPr>
    <w:sdtEndPr>
      <w:rPr>
        <w:noProof/>
        <w:sz w:val="20"/>
        <w:szCs w:val="20"/>
      </w:rPr>
    </w:sdtEndPr>
    <w:sdtContent>
      <w:p w14:paraId="7FB0A1D7" w14:textId="16BFC659" w:rsidR="001029FF" w:rsidRPr="00583EEB" w:rsidRDefault="00583EEB" w:rsidP="00583EEB">
        <w:pPr>
          <w:pStyle w:val="Footer"/>
          <w:jc w:val="center"/>
          <w:rPr>
            <w:sz w:val="20"/>
            <w:szCs w:val="20"/>
          </w:rPr>
        </w:pPr>
        <w:r w:rsidRPr="00583EEB">
          <w:rPr>
            <w:sz w:val="20"/>
            <w:szCs w:val="20"/>
          </w:rPr>
          <w:fldChar w:fldCharType="begin"/>
        </w:r>
        <w:r w:rsidRPr="00583EEB">
          <w:rPr>
            <w:sz w:val="20"/>
            <w:szCs w:val="20"/>
          </w:rPr>
          <w:instrText xml:space="preserve"> PAGE   \* MERGEFORMAT </w:instrText>
        </w:r>
        <w:r w:rsidRPr="00583EEB">
          <w:rPr>
            <w:sz w:val="20"/>
            <w:szCs w:val="20"/>
          </w:rPr>
          <w:fldChar w:fldCharType="separate"/>
        </w:r>
        <w:r w:rsidRPr="00583EEB">
          <w:rPr>
            <w:noProof/>
            <w:sz w:val="20"/>
            <w:szCs w:val="20"/>
          </w:rPr>
          <w:t>2</w:t>
        </w:r>
        <w:r w:rsidRPr="00583EE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154F" w14:textId="77777777" w:rsidR="00513C8C" w:rsidRDefault="00513C8C" w:rsidP="005928F3">
      <w:r>
        <w:separator/>
      </w:r>
    </w:p>
  </w:footnote>
  <w:footnote w:type="continuationSeparator" w:id="0">
    <w:p w14:paraId="714E778D" w14:textId="77777777" w:rsidR="00513C8C" w:rsidRDefault="00513C8C" w:rsidP="005928F3">
      <w:r>
        <w:continuationSeparator/>
      </w:r>
    </w:p>
  </w:footnote>
  <w:footnote w:id="1">
    <w:p w14:paraId="38484F59" w14:textId="6A82450A" w:rsidR="009036D3" w:rsidRPr="009036D3" w:rsidRDefault="009036D3" w:rsidP="009036D3">
      <w:pPr>
        <w:pStyle w:val="FootnoteText"/>
        <w:jc w:val="both"/>
        <w:rPr>
          <w:rFonts w:asciiTheme="minorHAnsi" w:hAnsiTheme="minorHAnsi"/>
          <w:sz w:val="16"/>
          <w:szCs w:val="16"/>
        </w:rPr>
      </w:pPr>
      <w:r>
        <w:rPr>
          <w:rStyle w:val="FootnoteReference"/>
          <w:rFonts w:asciiTheme="minorHAnsi" w:hAnsiTheme="minorHAnsi"/>
          <w:sz w:val="16"/>
          <w:szCs w:val="16"/>
        </w:rPr>
        <w:footnoteRef/>
      </w:r>
      <w:r>
        <w:rPr>
          <w:rFonts w:asciiTheme="minorHAnsi" w:hAnsiTheme="minorHAnsi"/>
          <w:sz w:val="16"/>
          <w:szCs w:val="16"/>
        </w:rPr>
        <w:t xml:space="preserve"> Le Royaume-Uni a rejoint l’ICCAT en 2020</w:t>
      </w:r>
      <w:r w:rsidR="00A3190B">
        <w:rPr>
          <w:rFonts w:asciiTheme="minorHAnsi" w:hAnsiTheme="minorHAnsi"/>
          <w:sz w:val="16"/>
          <w:szCs w:val="16"/>
        </w:rPr>
        <w:t xml:space="preserve">, et inclut </w:t>
      </w:r>
      <w:r w:rsidR="00543347">
        <w:rPr>
          <w:rFonts w:asciiTheme="minorHAnsi" w:hAnsiTheme="minorHAnsi"/>
          <w:sz w:val="16"/>
          <w:szCs w:val="16"/>
        </w:rPr>
        <w:t>ses</w:t>
      </w:r>
      <w:r>
        <w:rPr>
          <w:rFonts w:asciiTheme="minorHAnsi" w:hAnsiTheme="minorHAnsi"/>
          <w:sz w:val="16"/>
          <w:szCs w:val="16"/>
        </w:rPr>
        <w:t xml:space="preserve"> Territoires d’Outre-Mer.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BD3574"/>
    <w:multiLevelType w:val="hybridMultilevel"/>
    <w:tmpl w:val="07860BB6"/>
    <w:lvl w:ilvl="0" w:tplc="42401926">
      <w:start w:val="1"/>
      <w:numFmt w:val="lowerLetter"/>
      <w:lvlText w:val="%1)"/>
      <w:lvlJc w:val="left"/>
      <w:pPr>
        <w:ind w:left="640" w:hanging="360"/>
      </w:pPr>
      <w:rPr>
        <w:rFonts w:hint="default"/>
      </w:rPr>
    </w:lvl>
    <w:lvl w:ilvl="1" w:tplc="1C090019" w:tentative="1">
      <w:start w:val="1"/>
      <w:numFmt w:val="lowerLetter"/>
      <w:lvlText w:val="%2."/>
      <w:lvlJc w:val="left"/>
      <w:pPr>
        <w:ind w:left="1360" w:hanging="360"/>
      </w:pPr>
    </w:lvl>
    <w:lvl w:ilvl="2" w:tplc="1C09001B" w:tentative="1">
      <w:start w:val="1"/>
      <w:numFmt w:val="lowerRoman"/>
      <w:lvlText w:val="%3."/>
      <w:lvlJc w:val="right"/>
      <w:pPr>
        <w:ind w:left="2080" w:hanging="180"/>
      </w:pPr>
    </w:lvl>
    <w:lvl w:ilvl="3" w:tplc="1C09000F" w:tentative="1">
      <w:start w:val="1"/>
      <w:numFmt w:val="decimal"/>
      <w:lvlText w:val="%4."/>
      <w:lvlJc w:val="left"/>
      <w:pPr>
        <w:ind w:left="2800" w:hanging="360"/>
      </w:pPr>
    </w:lvl>
    <w:lvl w:ilvl="4" w:tplc="1C090019" w:tentative="1">
      <w:start w:val="1"/>
      <w:numFmt w:val="lowerLetter"/>
      <w:lvlText w:val="%5."/>
      <w:lvlJc w:val="left"/>
      <w:pPr>
        <w:ind w:left="3520" w:hanging="360"/>
      </w:pPr>
    </w:lvl>
    <w:lvl w:ilvl="5" w:tplc="1C09001B" w:tentative="1">
      <w:start w:val="1"/>
      <w:numFmt w:val="lowerRoman"/>
      <w:lvlText w:val="%6."/>
      <w:lvlJc w:val="right"/>
      <w:pPr>
        <w:ind w:left="4240" w:hanging="180"/>
      </w:pPr>
    </w:lvl>
    <w:lvl w:ilvl="6" w:tplc="1C09000F" w:tentative="1">
      <w:start w:val="1"/>
      <w:numFmt w:val="decimal"/>
      <w:lvlText w:val="%7."/>
      <w:lvlJc w:val="left"/>
      <w:pPr>
        <w:ind w:left="4960" w:hanging="360"/>
      </w:pPr>
    </w:lvl>
    <w:lvl w:ilvl="7" w:tplc="1C090019" w:tentative="1">
      <w:start w:val="1"/>
      <w:numFmt w:val="lowerLetter"/>
      <w:lvlText w:val="%8."/>
      <w:lvlJc w:val="left"/>
      <w:pPr>
        <w:ind w:left="5680" w:hanging="360"/>
      </w:pPr>
    </w:lvl>
    <w:lvl w:ilvl="8" w:tplc="1C09001B" w:tentative="1">
      <w:start w:val="1"/>
      <w:numFmt w:val="lowerRoman"/>
      <w:lvlText w:val="%9."/>
      <w:lvlJc w:val="right"/>
      <w:pPr>
        <w:ind w:left="6400" w:hanging="180"/>
      </w:pPr>
    </w:lvl>
  </w:abstractNum>
  <w:abstractNum w:abstractNumId="3" w15:restartNumberingAfterBreak="0">
    <w:nsid w:val="1F890B51"/>
    <w:multiLevelType w:val="hybridMultilevel"/>
    <w:tmpl w:val="C79659A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26621"/>
    <w:multiLevelType w:val="hybridMultilevel"/>
    <w:tmpl w:val="C79659A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62436"/>
    <w:multiLevelType w:val="hybridMultilevel"/>
    <w:tmpl w:val="BCBAB8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0A00C8"/>
    <w:multiLevelType w:val="hybridMultilevel"/>
    <w:tmpl w:val="53822AA8"/>
    <w:lvl w:ilvl="0" w:tplc="DE26D7AA">
      <w:start w:val="1"/>
      <w:numFmt w:val="decimal"/>
      <w:lvlText w:val="%1."/>
      <w:lvlJc w:val="left"/>
      <w:pPr>
        <w:ind w:left="542" w:hanging="285"/>
        <w:jc w:val="right"/>
      </w:pPr>
      <w:rPr>
        <w:rFonts w:ascii="Times New Roman" w:eastAsia="Times New Roman" w:hAnsi="Times New Roman" w:hint="default"/>
        <w:sz w:val="20"/>
        <w:szCs w:val="20"/>
      </w:rPr>
    </w:lvl>
    <w:lvl w:ilvl="1" w:tplc="271814F8">
      <w:start w:val="1"/>
      <w:numFmt w:val="bullet"/>
      <w:lvlText w:val="•"/>
      <w:lvlJc w:val="left"/>
      <w:pPr>
        <w:ind w:left="1447" w:hanging="285"/>
      </w:pPr>
      <w:rPr>
        <w:rFonts w:hint="default"/>
      </w:rPr>
    </w:lvl>
    <w:lvl w:ilvl="2" w:tplc="AFD4EF56">
      <w:start w:val="1"/>
      <w:numFmt w:val="bullet"/>
      <w:lvlText w:val="•"/>
      <w:lvlJc w:val="left"/>
      <w:pPr>
        <w:ind w:left="2351" w:hanging="285"/>
      </w:pPr>
      <w:rPr>
        <w:rFonts w:hint="default"/>
      </w:rPr>
    </w:lvl>
    <w:lvl w:ilvl="3" w:tplc="75F47FDC">
      <w:start w:val="1"/>
      <w:numFmt w:val="bullet"/>
      <w:lvlText w:val="•"/>
      <w:lvlJc w:val="left"/>
      <w:pPr>
        <w:ind w:left="3255" w:hanging="285"/>
      </w:pPr>
      <w:rPr>
        <w:rFonts w:hint="default"/>
      </w:rPr>
    </w:lvl>
    <w:lvl w:ilvl="4" w:tplc="8DEE4CD6">
      <w:start w:val="1"/>
      <w:numFmt w:val="bullet"/>
      <w:lvlText w:val="•"/>
      <w:lvlJc w:val="left"/>
      <w:pPr>
        <w:ind w:left="4159" w:hanging="285"/>
      </w:pPr>
      <w:rPr>
        <w:rFonts w:hint="default"/>
      </w:rPr>
    </w:lvl>
    <w:lvl w:ilvl="5" w:tplc="0848EED8">
      <w:start w:val="1"/>
      <w:numFmt w:val="bullet"/>
      <w:lvlText w:val="•"/>
      <w:lvlJc w:val="left"/>
      <w:pPr>
        <w:ind w:left="5063" w:hanging="285"/>
      </w:pPr>
      <w:rPr>
        <w:rFonts w:hint="default"/>
      </w:rPr>
    </w:lvl>
    <w:lvl w:ilvl="6" w:tplc="5AEEBC10">
      <w:start w:val="1"/>
      <w:numFmt w:val="bullet"/>
      <w:lvlText w:val="•"/>
      <w:lvlJc w:val="left"/>
      <w:pPr>
        <w:ind w:left="5967" w:hanging="285"/>
      </w:pPr>
      <w:rPr>
        <w:rFonts w:hint="default"/>
      </w:rPr>
    </w:lvl>
    <w:lvl w:ilvl="7" w:tplc="586817E6">
      <w:start w:val="1"/>
      <w:numFmt w:val="bullet"/>
      <w:lvlText w:val="•"/>
      <w:lvlJc w:val="left"/>
      <w:pPr>
        <w:ind w:left="6871" w:hanging="285"/>
      </w:pPr>
      <w:rPr>
        <w:rFonts w:hint="default"/>
      </w:rPr>
    </w:lvl>
    <w:lvl w:ilvl="8" w:tplc="1B2AA432">
      <w:start w:val="1"/>
      <w:numFmt w:val="bullet"/>
      <w:lvlText w:val="•"/>
      <w:lvlJc w:val="left"/>
      <w:pPr>
        <w:ind w:left="7776" w:hanging="285"/>
      </w:pPr>
      <w:rPr>
        <w:rFonts w:hint="default"/>
      </w:rPr>
    </w:lvl>
  </w:abstractNum>
  <w:abstractNum w:abstractNumId="7" w15:restartNumberingAfterBreak="0">
    <w:nsid w:val="2D926CA2"/>
    <w:multiLevelType w:val="hybridMultilevel"/>
    <w:tmpl w:val="9ECC6C84"/>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8"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9" w15:restartNumberingAfterBreak="0">
    <w:nsid w:val="3C636732"/>
    <w:multiLevelType w:val="hybridMultilevel"/>
    <w:tmpl w:val="4C06E212"/>
    <w:lvl w:ilvl="0" w:tplc="6B60AA36">
      <w:start w:val="5"/>
      <w:numFmt w:val="decimal"/>
      <w:lvlText w:val="%1."/>
      <w:lvlJc w:val="left"/>
      <w:pPr>
        <w:ind w:left="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37BB6"/>
    <w:multiLevelType w:val="hybridMultilevel"/>
    <w:tmpl w:val="D2803962"/>
    <w:lvl w:ilvl="0" w:tplc="A42C9B2E">
      <w:start w:val="10"/>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B64C0"/>
    <w:multiLevelType w:val="hybridMultilevel"/>
    <w:tmpl w:val="AE5C6CD4"/>
    <w:lvl w:ilvl="0" w:tplc="4B3CAC82">
      <w:start w:val="1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814E4"/>
    <w:multiLevelType w:val="hybridMultilevel"/>
    <w:tmpl w:val="FF586CBC"/>
    <w:lvl w:ilvl="0" w:tplc="E32E1DA2">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90D50"/>
    <w:multiLevelType w:val="hybridMultilevel"/>
    <w:tmpl w:val="CA000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47172"/>
    <w:multiLevelType w:val="hybridMultilevel"/>
    <w:tmpl w:val="F2067F10"/>
    <w:lvl w:ilvl="0" w:tplc="D5604E3E">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3776E"/>
    <w:multiLevelType w:val="hybridMultilevel"/>
    <w:tmpl w:val="FDC2B63A"/>
    <w:lvl w:ilvl="0" w:tplc="F058E80C">
      <w:start w:val="10"/>
      <w:numFmt w:val="decimal"/>
      <w:lvlText w:val="%1."/>
      <w:lvlJc w:val="left"/>
      <w:pPr>
        <w:ind w:left="3823"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num w:numId="1" w16cid:durableId="214972922">
    <w:abstractNumId w:val="0"/>
  </w:num>
  <w:num w:numId="2" w16cid:durableId="1130902870">
    <w:abstractNumId w:val="1"/>
  </w:num>
  <w:num w:numId="3" w16cid:durableId="1566910006">
    <w:abstractNumId w:val="6"/>
  </w:num>
  <w:num w:numId="4" w16cid:durableId="1630673250">
    <w:abstractNumId w:val="9"/>
  </w:num>
  <w:num w:numId="5" w16cid:durableId="82655940">
    <w:abstractNumId w:val="12"/>
  </w:num>
  <w:num w:numId="6" w16cid:durableId="1160197246">
    <w:abstractNumId w:val="13"/>
  </w:num>
  <w:num w:numId="7" w16cid:durableId="731006023">
    <w:abstractNumId w:val="4"/>
  </w:num>
  <w:num w:numId="8" w16cid:durableId="85806031">
    <w:abstractNumId w:val="7"/>
  </w:num>
  <w:num w:numId="9" w16cid:durableId="334191274">
    <w:abstractNumId w:val="3"/>
  </w:num>
  <w:num w:numId="10" w16cid:durableId="1384213887">
    <w:abstractNumId w:val="14"/>
  </w:num>
  <w:num w:numId="11" w16cid:durableId="1954435583">
    <w:abstractNumId w:val="10"/>
  </w:num>
  <w:num w:numId="12" w16cid:durableId="1201286153">
    <w:abstractNumId w:val="11"/>
  </w:num>
  <w:num w:numId="13" w16cid:durableId="1446080413">
    <w:abstractNumId w:val="8"/>
  </w:num>
  <w:num w:numId="14" w16cid:durableId="845098032">
    <w:abstractNumId w:val="5"/>
  </w:num>
  <w:num w:numId="15" w16cid:durableId="663818526">
    <w:abstractNumId w:val="15"/>
  </w:num>
  <w:num w:numId="16" w16cid:durableId="999163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11"/>
    <w:rsid w:val="00004822"/>
    <w:rsid w:val="00007F10"/>
    <w:rsid w:val="00013793"/>
    <w:rsid w:val="00013BAF"/>
    <w:rsid w:val="00014C9F"/>
    <w:rsid w:val="00017B3F"/>
    <w:rsid w:val="00023CB1"/>
    <w:rsid w:val="00032EE7"/>
    <w:rsid w:val="000342CC"/>
    <w:rsid w:val="00041D38"/>
    <w:rsid w:val="00052DB3"/>
    <w:rsid w:val="0006441A"/>
    <w:rsid w:val="00074520"/>
    <w:rsid w:val="000748F2"/>
    <w:rsid w:val="00083098"/>
    <w:rsid w:val="000838DB"/>
    <w:rsid w:val="00086D44"/>
    <w:rsid w:val="00087141"/>
    <w:rsid w:val="000934D9"/>
    <w:rsid w:val="0009531B"/>
    <w:rsid w:val="000A0F25"/>
    <w:rsid w:val="000A456E"/>
    <w:rsid w:val="000B2A27"/>
    <w:rsid w:val="000B6443"/>
    <w:rsid w:val="000C3B1B"/>
    <w:rsid w:val="000C7826"/>
    <w:rsid w:val="000E0650"/>
    <w:rsid w:val="000E5173"/>
    <w:rsid w:val="001029FF"/>
    <w:rsid w:val="0010455C"/>
    <w:rsid w:val="00105947"/>
    <w:rsid w:val="001059BA"/>
    <w:rsid w:val="001063AD"/>
    <w:rsid w:val="001108BC"/>
    <w:rsid w:val="00112FE6"/>
    <w:rsid w:val="0011668D"/>
    <w:rsid w:val="00120438"/>
    <w:rsid w:val="00121375"/>
    <w:rsid w:val="001219A4"/>
    <w:rsid w:val="00123AB3"/>
    <w:rsid w:val="001245DD"/>
    <w:rsid w:val="001309CE"/>
    <w:rsid w:val="00132783"/>
    <w:rsid w:val="001421B1"/>
    <w:rsid w:val="00153C35"/>
    <w:rsid w:val="00170143"/>
    <w:rsid w:val="0017043A"/>
    <w:rsid w:val="00171448"/>
    <w:rsid w:val="00173549"/>
    <w:rsid w:val="0017384E"/>
    <w:rsid w:val="00181115"/>
    <w:rsid w:val="00183D1C"/>
    <w:rsid w:val="00194A0F"/>
    <w:rsid w:val="001A37D2"/>
    <w:rsid w:val="001A60EC"/>
    <w:rsid w:val="001A76F3"/>
    <w:rsid w:val="001B11C7"/>
    <w:rsid w:val="001C0941"/>
    <w:rsid w:val="001C7E9A"/>
    <w:rsid w:val="001D3991"/>
    <w:rsid w:val="001E34D7"/>
    <w:rsid w:val="001F5B93"/>
    <w:rsid w:val="0020011E"/>
    <w:rsid w:val="00201249"/>
    <w:rsid w:val="00205105"/>
    <w:rsid w:val="00214CF8"/>
    <w:rsid w:val="002163A3"/>
    <w:rsid w:val="0022040C"/>
    <w:rsid w:val="00220E87"/>
    <w:rsid w:val="0022158C"/>
    <w:rsid w:val="00221948"/>
    <w:rsid w:val="00222AB8"/>
    <w:rsid w:val="00224E36"/>
    <w:rsid w:val="00226812"/>
    <w:rsid w:val="00233F23"/>
    <w:rsid w:val="00236F51"/>
    <w:rsid w:val="00244AFE"/>
    <w:rsid w:val="0025167B"/>
    <w:rsid w:val="00251CCE"/>
    <w:rsid w:val="00253BD8"/>
    <w:rsid w:val="00266F0F"/>
    <w:rsid w:val="00267996"/>
    <w:rsid w:val="0027120F"/>
    <w:rsid w:val="00275033"/>
    <w:rsid w:val="00281B1A"/>
    <w:rsid w:val="002821CA"/>
    <w:rsid w:val="00297BB6"/>
    <w:rsid w:val="002A0994"/>
    <w:rsid w:val="002A5029"/>
    <w:rsid w:val="002B0A59"/>
    <w:rsid w:val="002B158B"/>
    <w:rsid w:val="002B5184"/>
    <w:rsid w:val="002B5F2D"/>
    <w:rsid w:val="002B685F"/>
    <w:rsid w:val="002C65D8"/>
    <w:rsid w:val="002D30D5"/>
    <w:rsid w:val="002D3E0D"/>
    <w:rsid w:val="002D711D"/>
    <w:rsid w:val="002D7362"/>
    <w:rsid w:val="002F23B8"/>
    <w:rsid w:val="002F31A0"/>
    <w:rsid w:val="00300AF9"/>
    <w:rsid w:val="00311C03"/>
    <w:rsid w:val="003168A9"/>
    <w:rsid w:val="0032174C"/>
    <w:rsid w:val="00321CFF"/>
    <w:rsid w:val="00325C55"/>
    <w:rsid w:val="003267B4"/>
    <w:rsid w:val="00331D47"/>
    <w:rsid w:val="00335BC9"/>
    <w:rsid w:val="00336BCE"/>
    <w:rsid w:val="00343304"/>
    <w:rsid w:val="0034396C"/>
    <w:rsid w:val="003454B7"/>
    <w:rsid w:val="00347C80"/>
    <w:rsid w:val="00356410"/>
    <w:rsid w:val="003674CA"/>
    <w:rsid w:val="0038333C"/>
    <w:rsid w:val="00396774"/>
    <w:rsid w:val="003A0C02"/>
    <w:rsid w:val="003D61D9"/>
    <w:rsid w:val="003D6DA3"/>
    <w:rsid w:val="003E0928"/>
    <w:rsid w:val="003E5593"/>
    <w:rsid w:val="003F0A18"/>
    <w:rsid w:val="003F7CB2"/>
    <w:rsid w:val="00403D1F"/>
    <w:rsid w:val="00405350"/>
    <w:rsid w:val="004064E0"/>
    <w:rsid w:val="00406C57"/>
    <w:rsid w:val="00412756"/>
    <w:rsid w:val="0041593F"/>
    <w:rsid w:val="00426B01"/>
    <w:rsid w:val="00433354"/>
    <w:rsid w:val="0043618D"/>
    <w:rsid w:val="004368BC"/>
    <w:rsid w:val="00441053"/>
    <w:rsid w:val="004430CC"/>
    <w:rsid w:val="004635A8"/>
    <w:rsid w:val="00465B7C"/>
    <w:rsid w:val="00465B90"/>
    <w:rsid w:val="00475A93"/>
    <w:rsid w:val="00490243"/>
    <w:rsid w:val="0049149A"/>
    <w:rsid w:val="004942B1"/>
    <w:rsid w:val="004955D7"/>
    <w:rsid w:val="00495AF5"/>
    <w:rsid w:val="004A1A2C"/>
    <w:rsid w:val="004A3727"/>
    <w:rsid w:val="004B0AD8"/>
    <w:rsid w:val="004B6E18"/>
    <w:rsid w:val="004B7223"/>
    <w:rsid w:val="004C585C"/>
    <w:rsid w:val="004C60E8"/>
    <w:rsid w:val="004C620F"/>
    <w:rsid w:val="004D2380"/>
    <w:rsid w:val="004E30A1"/>
    <w:rsid w:val="004F2515"/>
    <w:rsid w:val="004F7E0D"/>
    <w:rsid w:val="0050405D"/>
    <w:rsid w:val="00513C8C"/>
    <w:rsid w:val="005153CD"/>
    <w:rsid w:val="00516746"/>
    <w:rsid w:val="0052196F"/>
    <w:rsid w:val="00525AB8"/>
    <w:rsid w:val="0052627A"/>
    <w:rsid w:val="005279B6"/>
    <w:rsid w:val="0053132D"/>
    <w:rsid w:val="00543347"/>
    <w:rsid w:val="00550527"/>
    <w:rsid w:val="00550E8A"/>
    <w:rsid w:val="0055453F"/>
    <w:rsid w:val="00556F5A"/>
    <w:rsid w:val="005578D7"/>
    <w:rsid w:val="00557D72"/>
    <w:rsid w:val="0056332B"/>
    <w:rsid w:val="0056350A"/>
    <w:rsid w:val="005656E7"/>
    <w:rsid w:val="00565CCD"/>
    <w:rsid w:val="005839EE"/>
    <w:rsid w:val="00583EEB"/>
    <w:rsid w:val="005928F3"/>
    <w:rsid w:val="0059464B"/>
    <w:rsid w:val="005B0BA4"/>
    <w:rsid w:val="005B147E"/>
    <w:rsid w:val="005B753B"/>
    <w:rsid w:val="005B7819"/>
    <w:rsid w:val="005D2E2A"/>
    <w:rsid w:val="005D596F"/>
    <w:rsid w:val="005D6782"/>
    <w:rsid w:val="005E274D"/>
    <w:rsid w:val="005F537B"/>
    <w:rsid w:val="005F5B93"/>
    <w:rsid w:val="006023D6"/>
    <w:rsid w:val="00620167"/>
    <w:rsid w:val="00624A4C"/>
    <w:rsid w:val="00625E9F"/>
    <w:rsid w:val="00633840"/>
    <w:rsid w:val="006360E8"/>
    <w:rsid w:val="00640266"/>
    <w:rsid w:val="006406CB"/>
    <w:rsid w:val="00644FFE"/>
    <w:rsid w:val="006456E4"/>
    <w:rsid w:val="00646EEB"/>
    <w:rsid w:val="0067662B"/>
    <w:rsid w:val="006836CF"/>
    <w:rsid w:val="00686ADB"/>
    <w:rsid w:val="006922D0"/>
    <w:rsid w:val="00692AAA"/>
    <w:rsid w:val="006930F1"/>
    <w:rsid w:val="006A3447"/>
    <w:rsid w:val="006A50FC"/>
    <w:rsid w:val="006B206A"/>
    <w:rsid w:val="006B3B85"/>
    <w:rsid w:val="006B54B7"/>
    <w:rsid w:val="006D1996"/>
    <w:rsid w:val="006E51B3"/>
    <w:rsid w:val="006F030E"/>
    <w:rsid w:val="006F339B"/>
    <w:rsid w:val="006F51DB"/>
    <w:rsid w:val="00700253"/>
    <w:rsid w:val="00701005"/>
    <w:rsid w:val="00705BB7"/>
    <w:rsid w:val="00712862"/>
    <w:rsid w:val="0071582C"/>
    <w:rsid w:val="00716155"/>
    <w:rsid w:val="007161E0"/>
    <w:rsid w:val="007219EB"/>
    <w:rsid w:val="007245F6"/>
    <w:rsid w:val="00732E01"/>
    <w:rsid w:val="00735BF8"/>
    <w:rsid w:val="00737933"/>
    <w:rsid w:val="00745F14"/>
    <w:rsid w:val="00754070"/>
    <w:rsid w:val="00773CF2"/>
    <w:rsid w:val="00774DF1"/>
    <w:rsid w:val="0078240B"/>
    <w:rsid w:val="007856D0"/>
    <w:rsid w:val="00792840"/>
    <w:rsid w:val="007A1ACE"/>
    <w:rsid w:val="007A578E"/>
    <w:rsid w:val="007A698A"/>
    <w:rsid w:val="007B1B7F"/>
    <w:rsid w:val="007B3401"/>
    <w:rsid w:val="007B374D"/>
    <w:rsid w:val="007B6513"/>
    <w:rsid w:val="007B6607"/>
    <w:rsid w:val="007C069B"/>
    <w:rsid w:val="007C0DF4"/>
    <w:rsid w:val="007D7FC4"/>
    <w:rsid w:val="007E6F08"/>
    <w:rsid w:val="007F0261"/>
    <w:rsid w:val="007F3645"/>
    <w:rsid w:val="007F7A86"/>
    <w:rsid w:val="00805BD9"/>
    <w:rsid w:val="00811F9E"/>
    <w:rsid w:val="00814DB1"/>
    <w:rsid w:val="00821F9B"/>
    <w:rsid w:val="00826631"/>
    <w:rsid w:val="008567C9"/>
    <w:rsid w:val="008607EC"/>
    <w:rsid w:val="00861C56"/>
    <w:rsid w:val="008626D3"/>
    <w:rsid w:val="008633BF"/>
    <w:rsid w:val="00864262"/>
    <w:rsid w:val="008654C4"/>
    <w:rsid w:val="00887A57"/>
    <w:rsid w:val="00892B6E"/>
    <w:rsid w:val="00897E10"/>
    <w:rsid w:val="008A0D4A"/>
    <w:rsid w:val="008A2A0D"/>
    <w:rsid w:val="008A33F8"/>
    <w:rsid w:val="008B38AF"/>
    <w:rsid w:val="008C67C5"/>
    <w:rsid w:val="008D46E6"/>
    <w:rsid w:val="008D5214"/>
    <w:rsid w:val="008E17D4"/>
    <w:rsid w:val="008E4848"/>
    <w:rsid w:val="008E553E"/>
    <w:rsid w:val="008F5292"/>
    <w:rsid w:val="008F6911"/>
    <w:rsid w:val="009036D3"/>
    <w:rsid w:val="0090450B"/>
    <w:rsid w:val="0091301E"/>
    <w:rsid w:val="00914F1E"/>
    <w:rsid w:val="009160B9"/>
    <w:rsid w:val="00933180"/>
    <w:rsid w:val="0093651F"/>
    <w:rsid w:val="00944363"/>
    <w:rsid w:val="00950B6A"/>
    <w:rsid w:val="00961A1F"/>
    <w:rsid w:val="009629B2"/>
    <w:rsid w:val="00964F25"/>
    <w:rsid w:val="009670CE"/>
    <w:rsid w:val="00973CA2"/>
    <w:rsid w:val="00976438"/>
    <w:rsid w:val="00995B08"/>
    <w:rsid w:val="0099723A"/>
    <w:rsid w:val="009A2CBB"/>
    <w:rsid w:val="009B1806"/>
    <w:rsid w:val="009B5451"/>
    <w:rsid w:val="009B65E4"/>
    <w:rsid w:val="009B6C5E"/>
    <w:rsid w:val="009C05B5"/>
    <w:rsid w:val="009C072A"/>
    <w:rsid w:val="009C11C9"/>
    <w:rsid w:val="009C2975"/>
    <w:rsid w:val="009C4DD6"/>
    <w:rsid w:val="009D2C3E"/>
    <w:rsid w:val="009D426C"/>
    <w:rsid w:val="009E160A"/>
    <w:rsid w:val="009E1BB9"/>
    <w:rsid w:val="009E5BB7"/>
    <w:rsid w:val="009E6F37"/>
    <w:rsid w:val="009E77BA"/>
    <w:rsid w:val="00A04CA4"/>
    <w:rsid w:val="00A107FA"/>
    <w:rsid w:val="00A12366"/>
    <w:rsid w:val="00A301D2"/>
    <w:rsid w:val="00A312E4"/>
    <w:rsid w:val="00A3190B"/>
    <w:rsid w:val="00A411BA"/>
    <w:rsid w:val="00A46D5A"/>
    <w:rsid w:val="00A55A05"/>
    <w:rsid w:val="00A61B18"/>
    <w:rsid w:val="00A64CA1"/>
    <w:rsid w:val="00A64D0F"/>
    <w:rsid w:val="00A67128"/>
    <w:rsid w:val="00A7456E"/>
    <w:rsid w:val="00A7461C"/>
    <w:rsid w:val="00A75ABB"/>
    <w:rsid w:val="00A766B0"/>
    <w:rsid w:val="00A86D67"/>
    <w:rsid w:val="00A92496"/>
    <w:rsid w:val="00A9338C"/>
    <w:rsid w:val="00AA2FE7"/>
    <w:rsid w:val="00AB343C"/>
    <w:rsid w:val="00AB3862"/>
    <w:rsid w:val="00AB58C0"/>
    <w:rsid w:val="00AC3F69"/>
    <w:rsid w:val="00AC4A8B"/>
    <w:rsid w:val="00AC712E"/>
    <w:rsid w:val="00AD148F"/>
    <w:rsid w:val="00AD17AA"/>
    <w:rsid w:val="00AD4618"/>
    <w:rsid w:val="00AD4C25"/>
    <w:rsid w:val="00AE11DC"/>
    <w:rsid w:val="00AE2CD5"/>
    <w:rsid w:val="00AE4D3D"/>
    <w:rsid w:val="00AE6850"/>
    <w:rsid w:val="00AF0B36"/>
    <w:rsid w:val="00AF174C"/>
    <w:rsid w:val="00AF3024"/>
    <w:rsid w:val="00B12733"/>
    <w:rsid w:val="00B12AF2"/>
    <w:rsid w:val="00B24273"/>
    <w:rsid w:val="00B27E86"/>
    <w:rsid w:val="00B3495A"/>
    <w:rsid w:val="00B46CED"/>
    <w:rsid w:val="00B47636"/>
    <w:rsid w:val="00B66512"/>
    <w:rsid w:val="00B82B8B"/>
    <w:rsid w:val="00BB2BF5"/>
    <w:rsid w:val="00BC0EE6"/>
    <w:rsid w:val="00BC6ACF"/>
    <w:rsid w:val="00BD07E8"/>
    <w:rsid w:val="00BD0F61"/>
    <w:rsid w:val="00BD77E4"/>
    <w:rsid w:val="00BD7809"/>
    <w:rsid w:val="00BD7D00"/>
    <w:rsid w:val="00BE2798"/>
    <w:rsid w:val="00BE3A79"/>
    <w:rsid w:val="00BF3CF7"/>
    <w:rsid w:val="00BF42C3"/>
    <w:rsid w:val="00BF43F9"/>
    <w:rsid w:val="00BF4FAE"/>
    <w:rsid w:val="00C0095D"/>
    <w:rsid w:val="00C07A27"/>
    <w:rsid w:val="00C07E90"/>
    <w:rsid w:val="00C112FF"/>
    <w:rsid w:val="00C2173C"/>
    <w:rsid w:val="00C30132"/>
    <w:rsid w:val="00C33033"/>
    <w:rsid w:val="00C370C0"/>
    <w:rsid w:val="00C40336"/>
    <w:rsid w:val="00C55B5E"/>
    <w:rsid w:val="00C644C7"/>
    <w:rsid w:val="00C72963"/>
    <w:rsid w:val="00C801DE"/>
    <w:rsid w:val="00C82E68"/>
    <w:rsid w:val="00C85F13"/>
    <w:rsid w:val="00C9703C"/>
    <w:rsid w:val="00CA2934"/>
    <w:rsid w:val="00CB5F95"/>
    <w:rsid w:val="00CC15D6"/>
    <w:rsid w:val="00CC2781"/>
    <w:rsid w:val="00CD0186"/>
    <w:rsid w:val="00CD2C3A"/>
    <w:rsid w:val="00CD58ED"/>
    <w:rsid w:val="00CD5F4C"/>
    <w:rsid w:val="00CD5FDF"/>
    <w:rsid w:val="00CE5C35"/>
    <w:rsid w:val="00CF014A"/>
    <w:rsid w:val="00CF07DD"/>
    <w:rsid w:val="00CF4028"/>
    <w:rsid w:val="00D06602"/>
    <w:rsid w:val="00D167B5"/>
    <w:rsid w:val="00D17C41"/>
    <w:rsid w:val="00D21181"/>
    <w:rsid w:val="00D23935"/>
    <w:rsid w:val="00D23A57"/>
    <w:rsid w:val="00D31F22"/>
    <w:rsid w:val="00D347EA"/>
    <w:rsid w:val="00D373CE"/>
    <w:rsid w:val="00D418C6"/>
    <w:rsid w:val="00D4432C"/>
    <w:rsid w:val="00D46D3B"/>
    <w:rsid w:val="00D4704A"/>
    <w:rsid w:val="00D6786E"/>
    <w:rsid w:val="00D72AA2"/>
    <w:rsid w:val="00D775C4"/>
    <w:rsid w:val="00D81FF1"/>
    <w:rsid w:val="00D85DD7"/>
    <w:rsid w:val="00D90B4F"/>
    <w:rsid w:val="00D92528"/>
    <w:rsid w:val="00D96DF6"/>
    <w:rsid w:val="00DA6093"/>
    <w:rsid w:val="00DC2E21"/>
    <w:rsid w:val="00DC7503"/>
    <w:rsid w:val="00DD14F9"/>
    <w:rsid w:val="00DD2B40"/>
    <w:rsid w:val="00DE7012"/>
    <w:rsid w:val="00DF01B0"/>
    <w:rsid w:val="00DF5C8D"/>
    <w:rsid w:val="00E03817"/>
    <w:rsid w:val="00E12418"/>
    <w:rsid w:val="00E124E2"/>
    <w:rsid w:val="00E25E7F"/>
    <w:rsid w:val="00E2640A"/>
    <w:rsid w:val="00E41312"/>
    <w:rsid w:val="00E41FA3"/>
    <w:rsid w:val="00E556D3"/>
    <w:rsid w:val="00E55A9A"/>
    <w:rsid w:val="00E56B8C"/>
    <w:rsid w:val="00E66E1A"/>
    <w:rsid w:val="00E82A79"/>
    <w:rsid w:val="00E83388"/>
    <w:rsid w:val="00E91DFB"/>
    <w:rsid w:val="00E95240"/>
    <w:rsid w:val="00EB5154"/>
    <w:rsid w:val="00EC14EF"/>
    <w:rsid w:val="00EC1EC9"/>
    <w:rsid w:val="00EE2FE5"/>
    <w:rsid w:val="00EF6389"/>
    <w:rsid w:val="00EF79F2"/>
    <w:rsid w:val="00F15CA6"/>
    <w:rsid w:val="00F2266C"/>
    <w:rsid w:val="00F26F2D"/>
    <w:rsid w:val="00F3192E"/>
    <w:rsid w:val="00F423A9"/>
    <w:rsid w:val="00F46BFA"/>
    <w:rsid w:val="00F46F0C"/>
    <w:rsid w:val="00F523E4"/>
    <w:rsid w:val="00F5282D"/>
    <w:rsid w:val="00F65770"/>
    <w:rsid w:val="00F8549E"/>
    <w:rsid w:val="00F96C54"/>
    <w:rsid w:val="00FA035A"/>
    <w:rsid w:val="00FA37FD"/>
    <w:rsid w:val="00FA4A14"/>
    <w:rsid w:val="00FB047C"/>
    <w:rsid w:val="00FB3362"/>
    <w:rsid w:val="00FB41C3"/>
    <w:rsid w:val="00FC6223"/>
    <w:rsid w:val="00FE15CD"/>
    <w:rsid w:val="00FE6EAA"/>
    <w:rsid w:val="00FF0666"/>
    <w:rsid w:val="00FF3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03DA96D"/>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91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838DB"/>
    <w:rPr>
      <w:sz w:val="18"/>
      <w:szCs w:val="18"/>
    </w:rPr>
  </w:style>
  <w:style w:type="paragraph" w:styleId="CommentText">
    <w:name w:val="annotation text"/>
    <w:basedOn w:val="Normal"/>
    <w:link w:val="CommentTextChar"/>
    <w:uiPriority w:val="99"/>
    <w:unhideWhenUsed/>
    <w:rsid w:val="000838DB"/>
  </w:style>
  <w:style w:type="character" w:customStyle="1" w:styleId="CommentTextChar">
    <w:name w:val="Comment Text Char"/>
    <w:basedOn w:val="DefaultParagraphFont"/>
    <w:link w:val="CommentText"/>
    <w:uiPriority w:val="99"/>
    <w:rsid w:val="000838DB"/>
  </w:style>
  <w:style w:type="paragraph" w:styleId="CommentSubject">
    <w:name w:val="annotation subject"/>
    <w:basedOn w:val="CommentText"/>
    <w:next w:val="CommentText"/>
    <w:link w:val="CommentSubjectChar"/>
    <w:uiPriority w:val="99"/>
    <w:semiHidden/>
    <w:unhideWhenUsed/>
    <w:rsid w:val="000838DB"/>
    <w:rPr>
      <w:b/>
      <w:bCs/>
      <w:sz w:val="20"/>
      <w:szCs w:val="20"/>
    </w:rPr>
  </w:style>
  <w:style w:type="character" w:customStyle="1" w:styleId="CommentSubjectChar">
    <w:name w:val="Comment Subject Char"/>
    <w:basedOn w:val="CommentTextChar"/>
    <w:link w:val="CommentSubject"/>
    <w:uiPriority w:val="99"/>
    <w:semiHidden/>
    <w:rsid w:val="000838DB"/>
    <w:rPr>
      <w:b/>
      <w:bCs/>
      <w:sz w:val="20"/>
      <w:szCs w:val="20"/>
    </w:rPr>
  </w:style>
  <w:style w:type="paragraph" w:styleId="BodyText">
    <w:name w:val="Body Text"/>
    <w:basedOn w:val="Normal"/>
    <w:link w:val="BodyTextChar"/>
    <w:uiPriority w:val="1"/>
    <w:qFormat/>
    <w:rsid w:val="0056350A"/>
    <w:pPr>
      <w:widowControl w:val="0"/>
      <w:ind w:left="542" w:hanging="284"/>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56350A"/>
    <w:rPr>
      <w:rFonts w:ascii="Times New Roman" w:eastAsia="Times New Roman" w:hAnsi="Times New Roman"/>
      <w:sz w:val="20"/>
      <w:szCs w:val="20"/>
    </w:rPr>
  </w:style>
  <w:style w:type="paragraph" w:customStyle="1" w:styleId="TableParagraph">
    <w:name w:val="Table Paragraph"/>
    <w:basedOn w:val="Normal"/>
    <w:uiPriority w:val="1"/>
    <w:qFormat/>
    <w:rsid w:val="0056350A"/>
    <w:pPr>
      <w:widowControl w:val="0"/>
    </w:pPr>
    <w:rPr>
      <w:rFonts w:eastAsiaTheme="minorHAnsi"/>
      <w:sz w:val="22"/>
      <w:szCs w:val="22"/>
    </w:rPr>
  </w:style>
  <w:style w:type="paragraph" w:styleId="ListParagraph">
    <w:name w:val="List Paragraph"/>
    <w:basedOn w:val="Normal"/>
    <w:uiPriority w:val="34"/>
    <w:qFormat/>
    <w:rsid w:val="0056350A"/>
    <w:pPr>
      <w:ind w:left="720"/>
      <w:contextualSpacing/>
    </w:pPr>
  </w:style>
  <w:style w:type="paragraph" w:styleId="Revision">
    <w:name w:val="Revision"/>
    <w:hidden/>
    <w:uiPriority w:val="99"/>
    <w:semiHidden/>
    <w:rsid w:val="00D46D3B"/>
  </w:style>
  <w:style w:type="paragraph" w:styleId="Header">
    <w:name w:val="header"/>
    <w:basedOn w:val="Normal"/>
    <w:link w:val="HeaderChar"/>
    <w:uiPriority w:val="99"/>
    <w:unhideWhenUsed/>
    <w:rsid w:val="005928F3"/>
    <w:pPr>
      <w:tabs>
        <w:tab w:val="center" w:pos="4680"/>
        <w:tab w:val="right" w:pos="9360"/>
      </w:tabs>
    </w:pPr>
  </w:style>
  <w:style w:type="character" w:customStyle="1" w:styleId="HeaderChar">
    <w:name w:val="Header Char"/>
    <w:basedOn w:val="DefaultParagraphFont"/>
    <w:link w:val="Header"/>
    <w:uiPriority w:val="99"/>
    <w:rsid w:val="005928F3"/>
  </w:style>
  <w:style w:type="paragraph" w:styleId="Footer">
    <w:name w:val="footer"/>
    <w:basedOn w:val="Normal"/>
    <w:link w:val="FooterChar"/>
    <w:uiPriority w:val="99"/>
    <w:unhideWhenUsed/>
    <w:rsid w:val="005928F3"/>
    <w:pPr>
      <w:tabs>
        <w:tab w:val="center" w:pos="4680"/>
        <w:tab w:val="right" w:pos="9360"/>
      </w:tabs>
    </w:pPr>
  </w:style>
  <w:style w:type="character" w:customStyle="1" w:styleId="FooterChar">
    <w:name w:val="Footer Char"/>
    <w:basedOn w:val="DefaultParagraphFont"/>
    <w:link w:val="Footer"/>
    <w:uiPriority w:val="99"/>
    <w:rsid w:val="005928F3"/>
  </w:style>
  <w:style w:type="paragraph" w:customStyle="1" w:styleId="Notedebasd">
    <w:name w:val="Note de bas d"/>
    <w:basedOn w:val="Normal"/>
    <w:uiPriority w:val="99"/>
    <w:rsid w:val="007D7FC4"/>
    <w:rPr>
      <w:rFonts w:ascii="Times New Roman" w:eastAsia="Times New Roman" w:hAnsi="Times New Roman" w:cs="Times New Roman"/>
      <w:sz w:val="20"/>
      <w:szCs w:val="20"/>
    </w:rPr>
  </w:style>
  <w:style w:type="paragraph" w:styleId="FootnoteText">
    <w:name w:val="footnote text"/>
    <w:aliases w:val="ft"/>
    <w:basedOn w:val="Normal"/>
    <w:link w:val="FootnoteTextChar1"/>
    <w:unhideWhenUsed/>
    <w:rsid w:val="007D7FC4"/>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rsid w:val="007D7FC4"/>
    <w:rPr>
      <w:sz w:val="20"/>
      <w:szCs w:val="20"/>
    </w:rPr>
  </w:style>
  <w:style w:type="character" w:customStyle="1" w:styleId="FootnoteTextChar1">
    <w:name w:val="Footnote Text Char1"/>
    <w:aliases w:val="ft Char1"/>
    <w:basedOn w:val="DefaultParagraphFont"/>
    <w:link w:val="FootnoteText"/>
    <w:uiPriority w:val="99"/>
    <w:rsid w:val="007D7FC4"/>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unhideWhenUsed/>
    <w:rsid w:val="007D7FC4"/>
    <w:rPr>
      <w:vertAlign w:val="superscript"/>
    </w:rPr>
  </w:style>
  <w:style w:type="paragraph" w:customStyle="1" w:styleId="Default">
    <w:name w:val="Default"/>
    <w:rsid w:val="007E6F08"/>
    <w:pPr>
      <w:autoSpaceDE w:val="0"/>
      <w:autoSpaceDN w:val="0"/>
      <w:adjustRightInd w:val="0"/>
    </w:pPr>
    <w:rPr>
      <w:rFonts w:ascii="Cambria" w:hAnsi="Cambria" w:cs="Cambria"/>
      <w:color w:val="000000"/>
    </w:rPr>
  </w:style>
  <w:style w:type="paragraph" w:customStyle="1" w:styleId="m6603725773781091157gmail-m4076771385912426187gmail-msolistparagraph">
    <w:name w:val="m_6603725773781091157gmail-m4076771385912426187gmail-msolistparagraph"/>
    <w:basedOn w:val="Normal"/>
    <w:rsid w:val="00C07E90"/>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C07E90"/>
  </w:style>
  <w:style w:type="paragraph" w:styleId="Title">
    <w:name w:val="Title"/>
    <w:basedOn w:val="Normal"/>
    <w:next w:val="Normal"/>
    <w:link w:val="TitleChar"/>
    <w:uiPriority w:val="10"/>
    <w:qFormat/>
    <w:rsid w:val="009C4DD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4DD6"/>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9C4DD6"/>
    <w:rPr>
      <w:b/>
      <w:bCs/>
      <w:smallCaps/>
      <w:spacing w:val="5"/>
    </w:rPr>
  </w:style>
  <w:style w:type="table" w:styleId="TableGrid">
    <w:name w:val="Table Grid"/>
    <w:basedOn w:val="TableNormal"/>
    <w:uiPriority w:val="39"/>
    <w:rsid w:val="009C4DD6"/>
    <w:rPr>
      <w:rFonts w:ascii="Times New Roman" w:eastAsiaTheme="minorHAns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CD5F4C"/>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D5F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11">
    <w:name w:val="fontstyle11"/>
    <w:basedOn w:val="DefaultParagraphFont"/>
    <w:qFormat/>
    <w:rsid w:val="00556F5A"/>
    <w:rPr>
      <w:rFonts w:ascii="Cambria" w:hAnsi="Cambr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2599">
      <w:bodyDiv w:val="1"/>
      <w:marLeft w:val="0"/>
      <w:marRight w:val="0"/>
      <w:marTop w:val="0"/>
      <w:marBottom w:val="0"/>
      <w:divBdr>
        <w:top w:val="none" w:sz="0" w:space="0" w:color="auto"/>
        <w:left w:val="none" w:sz="0" w:space="0" w:color="auto"/>
        <w:bottom w:val="none" w:sz="0" w:space="0" w:color="auto"/>
        <w:right w:val="none" w:sz="0" w:space="0" w:color="auto"/>
      </w:divBdr>
      <w:divsChild>
        <w:div w:id="841436416">
          <w:marLeft w:val="0"/>
          <w:marRight w:val="0"/>
          <w:marTop w:val="0"/>
          <w:marBottom w:val="0"/>
          <w:divBdr>
            <w:top w:val="none" w:sz="0" w:space="0" w:color="auto"/>
            <w:left w:val="none" w:sz="0" w:space="0" w:color="auto"/>
            <w:bottom w:val="none" w:sz="0" w:space="0" w:color="auto"/>
            <w:right w:val="none" w:sz="0" w:space="0" w:color="auto"/>
          </w:divBdr>
        </w:div>
      </w:divsChild>
    </w:div>
    <w:div w:id="357246181">
      <w:bodyDiv w:val="1"/>
      <w:marLeft w:val="0"/>
      <w:marRight w:val="0"/>
      <w:marTop w:val="0"/>
      <w:marBottom w:val="0"/>
      <w:divBdr>
        <w:top w:val="none" w:sz="0" w:space="0" w:color="auto"/>
        <w:left w:val="none" w:sz="0" w:space="0" w:color="auto"/>
        <w:bottom w:val="none" w:sz="0" w:space="0" w:color="auto"/>
        <w:right w:val="none" w:sz="0" w:space="0" w:color="auto"/>
      </w:divBdr>
    </w:div>
    <w:div w:id="445586923">
      <w:bodyDiv w:val="1"/>
      <w:marLeft w:val="0"/>
      <w:marRight w:val="0"/>
      <w:marTop w:val="0"/>
      <w:marBottom w:val="0"/>
      <w:divBdr>
        <w:top w:val="none" w:sz="0" w:space="0" w:color="auto"/>
        <w:left w:val="none" w:sz="0" w:space="0" w:color="auto"/>
        <w:bottom w:val="none" w:sz="0" w:space="0" w:color="auto"/>
        <w:right w:val="none" w:sz="0" w:space="0" w:color="auto"/>
      </w:divBdr>
    </w:div>
    <w:div w:id="446629758">
      <w:bodyDiv w:val="1"/>
      <w:marLeft w:val="0"/>
      <w:marRight w:val="0"/>
      <w:marTop w:val="0"/>
      <w:marBottom w:val="0"/>
      <w:divBdr>
        <w:top w:val="none" w:sz="0" w:space="0" w:color="auto"/>
        <w:left w:val="none" w:sz="0" w:space="0" w:color="auto"/>
        <w:bottom w:val="none" w:sz="0" w:space="0" w:color="auto"/>
        <w:right w:val="none" w:sz="0" w:space="0" w:color="auto"/>
      </w:divBdr>
    </w:div>
    <w:div w:id="460000724">
      <w:bodyDiv w:val="1"/>
      <w:marLeft w:val="0"/>
      <w:marRight w:val="0"/>
      <w:marTop w:val="0"/>
      <w:marBottom w:val="0"/>
      <w:divBdr>
        <w:top w:val="none" w:sz="0" w:space="0" w:color="auto"/>
        <w:left w:val="none" w:sz="0" w:space="0" w:color="auto"/>
        <w:bottom w:val="none" w:sz="0" w:space="0" w:color="auto"/>
        <w:right w:val="none" w:sz="0" w:space="0" w:color="auto"/>
      </w:divBdr>
    </w:div>
    <w:div w:id="554005079">
      <w:bodyDiv w:val="1"/>
      <w:marLeft w:val="0"/>
      <w:marRight w:val="0"/>
      <w:marTop w:val="0"/>
      <w:marBottom w:val="0"/>
      <w:divBdr>
        <w:top w:val="none" w:sz="0" w:space="0" w:color="auto"/>
        <w:left w:val="none" w:sz="0" w:space="0" w:color="auto"/>
        <w:bottom w:val="none" w:sz="0" w:space="0" w:color="auto"/>
        <w:right w:val="none" w:sz="0" w:space="0" w:color="auto"/>
      </w:divBdr>
    </w:div>
    <w:div w:id="797718512">
      <w:bodyDiv w:val="1"/>
      <w:marLeft w:val="0"/>
      <w:marRight w:val="0"/>
      <w:marTop w:val="0"/>
      <w:marBottom w:val="0"/>
      <w:divBdr>
        <w:top w:val="none" w:sz="0" w:space="0" w:color="auto"/>
        <w:left w:val="none" w:sz="0" w:space="0" w:color="auto"/>
        <w:bottom w:val="none" w:sz="0" w:space="0" w:color="auto"/>
        <w:right w:val="none" w:sz="0" w:space="0" w:color="auto"/>
      </w:divBdr>
    </w:div>
    <w:div w:id="1148784920">
      <w:bodyDiv w:val="1"/>
      <w:marLeft w:val="0"/>
      <w:marRight w:val="0"/>
      <w:marTop w:val="0"/>
      <w:marBottom w:val="0"/>
      <w:divBdr>
        <w:top w:val="none" w:sz="0" w:space="0" w:color="auto"/>
        <w:left w:val="none" w:sz="0" w:space="0" w:color="auto"/>
        <w:bottom w:val="none" w:sz="0" w:space="0" w:color="auto"/>
        <w:right w:val="none" w:sz="0" w:space="0" w:color="auto"/>
      </w:divBdr>
    </w:div>
    <w:div w:id="1284994013">
      <w:bodyDiv w:val="1"/>
      <w:marLeft w:val="0"/>
      <w:marRight w:val="0"/>
      <w:marTop w:val="0"/>
      <w:marBottom w:val="0"/>
      <w:divBdr>
        <w:top w:val="none" w:sz="0" w:space="0" w:color="auto"/>
        <w:left w:val="none" w:sz="0" w:space="0" w:color="auto"/>
        <w:bottom w:val="none" w:sz="0" w:space="0" w:color="auto"/>
        <w:right w:val="none" w:sz="0" w:space="0" w:color="auto"/>
      </w:divBdr>
    </w:div>
    <w:div w:id="1384989698">
      <w:bodyDiv w:val="1"/>
      <w:marLeft w:val="0"/>
      <w:marRight w:val="0"/>
      <w:marTop w:val="0"/>
      <w:marBottom w:val="0"/>
      <w:divBdr>
        <w:top w:val="none" w:sz="0" w:space="0" w:color="auto"/>
        <w:left w:val="none" w:sz="0" w:space="0" w:color="auto"/>
        <w:bottom w:val="none" w:sz="0" w:space="0" w:color="auto"/>
        <w:right w:val="none" w:sz="0" w:space="0" w:color="auto"/>
      </w:divBdr>
    </w:div>
    <w:div w:id="1523007466">
      <w:bodyDiv w:val="1"/>
      <w:marLeft w:val="0"/>
      <w:marRight w:val="0"/>
      <w:marTop w:val="0"/>
      <w:marBottom w:val="0"/>
      <w:divBdr>
        <w:top w:val="none" w:sz="0" w:space="0" w:color="auto"/>
        <w:left w:val="none" w:sz="0" w:space="0" w:color="auto"/>
        <w:bottom w:val="none" w:sz="0" w:space="0" w:color="auto"/>
        <w:right w:val="none" w:sz="0" w:space="0" w:color="auto"/>
      </w:divBdr>
    </w:div>
    <w:div w:id="1554846445">
      <w:bodyDiv w:val="1"/>
      <w:marLeft w:val="0"/>
      <w:marRight w:val="0"/>
      <w:marTop w:val="0"/>
      <w:marBottom w:val="0"/>
      <w:divBdr>
        <w:top w:val="none" w:sz="0" w:space="0" w:color="auto"/>
        <w:left w:val="none" w:sz="0" w:space="0" w:color="auto"/>
        <w:bottom w:val="none" w:sz="0" w:space="0" w:color="auto"/>
        <w:right w:val="none" w:sz="0" w:space="0" w:color="auto"/>
      </w:divBdr>
    </w:div>
    <w:div w:id="1639989653">
      <w:bodyDiv w:val="1"/>
      <w:marLeft w:val="0"/>
      <w:marRight w:val="0"/>
      <w:marTop w:val="0"/>
      <w:marBottom w:val="0"/>
      <w:divBdr>
        <w:top w:val="none" w:sz="0" w:space="0" w:color="auto"/>
        <w:left w:val="none" w:sz="0" w:space="0" w:color="auto"/>
        <w:bottom w:val="none" w:sz="0" w:space="0" w:color="auto"/>
        <w:right w:val="none" w:sz="0" w:space="0" w:color="auto"/>
      </w:divBdr>
    </w:div>
    <w:div w:id="1703748027">
      <w:bodyDiv w:val="1"/>
      <w:marLeft w:val="0"/>
      <w:marRight w:val="0"/>
      <w:marTop w:val="0"/>
      <w:marBottom w:val="0"/>
      <w:divBdr>
        <w:top w:val="none" w:sz="0" w:space="0" w:color="auto"/>
        <w:left w:val="none" w:sz="0" w:space="0" w:color="auto"/>
        <w:bottom w:val="none" w:sz="0" w:space="0" w:color="auto"/>
        <w:right w:val="none" w:sz="0" w:space="0" w:color="auto"/>
      </w:divBdr>
    </w:div>
    <w:div w:id="1926374489">
      <w:bodyDiv w:val="1"/>
      <w:marLeft w:val="0"/>
      <w:marRight w:val="0"/>
      <w:marTop w:val="0"/>
      <w:marBottom w:val="0"/>
      <w:divBdr>
        <w:top w:val="none" w:sz="0" w:space="0" w:color="auto"/>
        <w:left w:val="none" w:sz="0" w:space="0" w:color="auto"/>
        <w:bottom w:val="none" w:sz="0" w:space="0" w:color="auto"/>
        <w:right w:val="none" w:sz="0" w:space="0" w:color="auto"/>
      </w:divBdr>
    </w:div>
    <w:div w:id="1966427596">
      <w:bodyDiv w:val="1"/>
      <w:marLeft w:val="0"/>
      <w:marRight w:val="0"/>
      <w:marTop w:val="0"/>
      <w:marBottom w:val="0"/>
      <w:divBdr>
        <w:top w:val="none" w:sz="0" w:space="0" w:color="auto"/>
        <w:left w:val="none" w:sz="0" w:space="0" w:color="auto"/>
        <w:bottom w:val="none" w:sz="0" w:space="0" w:color="auto"/>
        <w:right w:val="none" w:sz="0" w:space="0" w:color="auto"/>
      </w:divBdr>
    </w:div>
    <w:div w:id="2057779702">
      <w:bodyDiv w:val="1"/>
      <w:marLeft w:val="0"/>
      <w:marRight w:val="0"/>
      <w:marTop w:val="0"/>
      <w:marBottom w:val="0"/>
      <w:divBdr>
        <w:top w:val="none" w:sz="0" w:space="0" w:color="auto"/>
        <w:left w:val="none" w:sz="0" w:space="0" w:color="auto"/>
        <w:bottom w:val="none" w:sz="0" w:space="0" w:color="auto"/>
        <w:right w:val="none" w:sz="0" w:space="0" w:color="auto"/>
      </w:divBdr>
    </w:div>
    <w:div w:id="2103338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9E026-A528-4129-A3CF-3CE6AA66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1449</Words>
  <Characters>8033</Characters>
  <Application>Microsoft Office Word</Application>
  <DocSecurity>0</DocSecurity>
  <Lines>191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2022-11-19T20:06:00Z</dcterms:created>
  <dcterms:modified xsi:type="dcterms:W3CDTF">2025-01-13T11:14:00Z</dcterms:modified>
</cp:coreProperties>
</file>